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Fluidra, S.A.</w:t>
      </w:r>
    </w:p>
    <w:p>
      <w:pPr>
        <w:spacing w:after="60"/>
        <w:rPr>
          <w:color w:val="52514E"/>
          <w:sz w:val="22"/>
          <w:szCs w:val="22"/>
        </w:rPr>
      </w:pPr>
      <w:r>
        <w:rPr>
          <w:color w:val="52514E"/>
          <w:sz w:val="22"/>
          <w:szCs w:val="22"/>
        </w:rPr>
        <w:t xml:space="preserve">FDR · Bolsas de Madrid, Barcelona, Bilbao y Valencia (Mercado Continuo) · ISIN ES0137650018 · Industria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17,61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21,32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+24,7 % (base +28,7 %)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22,48 EUR · mercado 27,25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3.307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Fluidra,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FDR / ES0137650018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de Madrid, Barcelona, Bilbao y Valencia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(GICS) / Equipos de piscina y wellness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Sant Cugat del Vallès (Barcelona) · 1969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www.fluidra.com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17,61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16,91 – 26,22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4.435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5,9 M EUR/día (321.000 acciones, 3 meses) [42]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21,32 EUR</w:t>
      </w:r>
      <w:r>
        <w:t xml:space="preserve"> frente a 17,61 · Rentabilidad a 12 meses </w:t>
      </w:r>
      <w:r>
        <w:rPr>
          <w:b/>
          <w:bCs/>
        </w:rPr>
        <w:t xml:space="preserve">+24,7 % (base +28,7 %)</w:t>
      </w:r>
      <w:r>
        <w:t xml:space="preserve"> · Valor intrínseco 22,48 EUR · con la prima implícita del mercado: 27,25 (+54,7 %) · Alcista / bajista +63,1 % / -18,2 %</w:t>
      </w:r>
    </w:p>
    <w:p>
      <w:pPr>
        <w:spacing w:after="100"/>
      </w:pPr>
      <w:r>
        <w:rPr>
          <w:b/>
        </w:rPr>
        <w:t xml:space="preserve">La recomendación y por qué.</w:t>
      </w:r>
      <w:r>
        <w:t xml:space="preserve"> Comprar según la regla a 12 meses, con convicción media. El objetivo a 12 meses es de 21,32 EUR ponderado y 22,01 EUR en el base, frente a 17,61 EUR (cierre del 19 de octubre): un 24,7 % y un 28,7 % con el dividendo. El valor intrínseco es de 22,48 EUR (+27,7 %) y el objetivo medio de los analistas, de 25,93 EUR. Asimetría de 3,47 veces (alcista +63,1 %, bajista −18,2 %). El precio descuenta un valle permanente del ciclo con unas cifras iguales a las del consenso. El motor sugiere convicción alta; la dejamos en media porque la compra no es robusta: con la regla v2 de control la rentabilidad es del 13,7 % y con un BPA un 10 % peor, del 12,6 %. La subiría un volumen positivo en Norteamérica el 29 de octubre.</w:t>
      </w:r>
    </w:p>
    <w:p>
      <w:pPr>
        <w:spacing w:after="100"/>
      </w:pPr>
      <w:r>
        <w:rPr>
          <w:b/>
        </w:rPr>
        <w:t xml:space="preserve">El negocio.</w:t>
      </w:r>
      <w:r>
        <w:t xml:space="preserve"> Primer fabricante mundial de equipos de piscina, con el 13 % de un mercado de 17.400 M EUR [1]; el 65 % de las ventas es reposición de una base instalada que crece [1] y un distribuidor de EE. UU. compra el 21 % [1]. El ROIC del 8,3 % apenas iguala el WACC del 8,16 %, lastrado por el fondo de comercio de Zodiac (47 % del capital invertido): crecer añade poco valor. La calidad sí sostiene el crecimiento proyectado (veredicto Sí): un 4,1 % anual, por debajo del mercado (4-6 %), con la cuota bajando al 11,7 % en 2033e.</w:t>
      </w:r>
    </w:p>
    <w:p>
      <w:pPr>
        <w:spacing w:after="100"/>
      </w:pPr>
      <w:r>
        <w:rPr>
          <w:b/>
        </w:rPr>
        <w:t xml:space="preserve">Sector y finanzas.</w:t>
      </w:r>
      <w:r>
        <w:t xml:space="preserve"> La obra nueva está un 21 % por debajo de su media [3] y el canal de EE. UU. sigue frágil: Pentair recortó previsiones en julio [93] y Leslie's prepara un concurso de acreedores [89]. El margen reportado de 2025 (21,6 %) es el mejor desde 2021, el flujo libre rinde un 8,0 % y la deuda neta ajustada es de 2,6 veces el EBITDA, sin vencimientos hasta enero de 2029 [7]. La reestructuración se repite cada año (50-55 M en 2026 [7]): el DCF proyecta el EBITDA reportado.</w:t>
      </w:r>
    </w:p>
    <w:p>
      <w:pPr>
        <w:spacing w:after="100"/>
      </w:pPr>
      <w:r>
        <w:rPr>
          <w:b/>
        </w:rPr>
        <w:t xml:space="preserve">Equipo y gobierno.</w:t>
      </w:r>
      <w:r>
        <w:t xml:space="preserve"> Familias fundadoras y Rhône controlan de hecho la junta (40 % [34]) con un presidente ejecutivo de una de ellas; la política de remuneración de 2025 tuvo solo un 73 % a favor [35]. Cambió el director financiero (Juan Graham desde agosto [39]) y un consejero compró unos 14 M en marzo [41].</w:t>
      </w:r>
    </w:p>
    <w:p>
      <w:pPr>
        <w:spacing w:after="100"/>
      </w:pPr>
      <w:r>
        <w:rPr>
          <w:b/>
        </w:rPr>
        <w:t xml:space="preserve">Valoración.</w:t>
      </w:r>
      <w:r>
        <w:t xml:space="preserve"> DCF de 23,85 EUR y comparables de 20,24 EUR: cotiza a 8,6 veces el EBITDA de los próximos 12 meses (mediana de los comparables, 10,1) y un 20 % por debajo de su media histórica. El DCF inverso supone ventas que caen un 1,4 % al año hasta 2033 o un margen del 19,9 %, el del desestocaje; con nuestras cifras rinde un 9,7 % anual frente al 8,2 % del WACC y al 7,1 % del mercado. Quedamos un 15,1 % por debajo de los analistas por el margen reportado y el tope del PER base (16,8 veces).</w:t>
      </w:r>
    </w:p>
    <w:p>
      <w:pPr>
        <w:spacing w:after="100"/>
      </w:pPr>
      <w:r>
        <w:rPr>
          <w:b/>
        </w:rPr>
        <w:t xml:space="preserve">Riesgos y catalizadores.</w:t>
      </w:r>
      <w:r>
        <w:t xml:space="preserve"> Un nuevo desestocaje en EE. UU. (bajista de 14,40 EUR), los robots chinos (cada punto de margen vale un 7 % del valor) y los aranceles. Catalizadores: Pentair y Pool (21-23 de octubre), los nueve meses (29 de octubre [90]) y la guía de 2027 en febrero.</w:t>
      </w:r>
    </w:p>
    <w:p>
      <w:pPr>
        <w:spacing w:after="100"/>
      </w:pPr>
      <w:r>
        <w:rPr>
          <w:b/>
        </w:rPr>
        <w:t xml:space="preserve">Qué cambiaría la decisión.</w:t>
      </w:r>
      <w:r>
        <w:t xml:space="preserve"> La regla da Comprar por debajo de 19,10 EUR y Vender por encima de 24,41. La compra robusta del método (v3 y v2 con un BPA un 10 % peor) pide menos de 17,25 EUR y, además, falla la calidad (ROIC − WACC de 0,1 puntos frente a 5): no entra en cartera. Pasaríamos a Mantener si el volumen de Norteamérica cae dos trimestres seguidos o si se recorta la guía de margen de 2026.</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21,32 EUR</w:t>
      </w:r>
      <w:r>
        <w:t xml:space="preserve"> (rentabilidad +24,7 % (base +28,7 %)) · Valor intrínseco: 22,48 EUR (+27,7 % sobre 17,61) · con la prima implícita del mercado: 27,25 (+54,7 %)</w:t>
      </w:r>
    </w:p>
    <w:p>
      <w:pPr>
        <w:spacing w:after="100"/>
      </w:pPr>
      <w:r>
        <w:t xml:space="preserve">Fluidra es el líder mundial en equipos de piscina, con el 13 % de un mercado de 17.400 M EUR y marcas como Zodiac, Jandy, Polaris y AstralPool [1]. Dos tercios de sus ventas son reposición de equipos en una base instalada de unos 20 millones de piscinas enterradas residenciales, un suelo de demanda que no tenía en 2021 [1]. Genera caja con regularidad: el flujo libre acumulado de 2021-2025 fue de 997 M, el 119 % del beneficio, y hoy rinde un 8,0 % sobre la capitalización.</w:t>
      </w:r>
    </w:p>
    <w:p>
      <w:pPr>
        <w:spacing w:after="100"/>
      </w:pPr>
      <w:r>
        <w:t xml:space="preserve">El precio de 17,61 EUR está un 3,6 % sobre el mínimo de 52 semanas y un 25 % por debajo de hace un año [42]. A 8,6 veces el EBITDA de los próximos 12 meses y 14,6 veces el beneficio, el mercado descuenta que las ventas caigan un 1,4 % al año hasta 2033 o que el margen se quede en el 19,9 %. El consenso de 15 analistas, con 12 recomendaciones de compra, espera un EBITDA ajustado de 530 M en 2026 y de 622 M en 2028 [46, 47].</w:t>
      </w:r>
    </w:p>
    <w:p>
      <w:pPr>
        <w:spacing w:after="100"/>
      </w:pPr>
      <w:r>
        <w:t xml:space="preserve">Creemos que el mercado extrapola el valle. La obra nueva está un 21 % por debajo de su media [3], el plan de eficiencia avanza y la guía de 2026 se ha mantenido. Para invertir hay que creer tres cosas: que el canal no vuelva a desestocar, que los robots chinos no se coman más de un punto de margen y que la reestructuración deje de repetirse a partir de 2027. Lo que no cambia es la calidad: con un ROIC del 8,3 % frente a un WACC del 8,16 %, es una apuesta de ciclo, no un compuesto.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 × 0,92 = 12,42 · 16,8x × 1,31 = 22,01 · 22,7x × 1,45 = 32,92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 / 28,7 %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25,93 (nuestro base -15,1 %)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63,1 % / -18,2 %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 frente a 8,2 %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31,3 %, asimetría de 3,47, bajista del -18,2 % y el precio descuenta 5,6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19,10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19,10 y 24,41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24,41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volumen de Norteamérica cae dos trimestres seguidos, pasaríamos a Mantener.</w:t>
      </w:r>
    </w:p>
    <w:p>
      <w:pPr>
        <w:pStyle w:val="ListParagraph"/>
        <w:numPr>
          <w:ilvl w:val="0"/>
          <w:numId w:val="2"/>
        </w:numPr>
        <w:spacing w:after="60"/>
      </w:pPr>
      <w:r>
        <w:t xml:space="preserve">Si la empresa recorta la guía de margen ajustado de 2026 por debajo del 23,3 % el 29 de octubre, pasaríamos a Mantener.</w:t>
      </w:r>
    </w:p>
    <w:p>
      <w:pPr>
        <w:pStyle w:val="ListParagraph"/>
        <w:numPr>
          <w:ilvl w:val="0"/>
          <w:numId w:val="2"/>
        </w:numPr>
        <w:spacing w:after="60"/>
      </w:pPr>
      <w:r>
        <w:t xml:space="preserve">Si los costes de reestructuración de 2027 superan los 40 M, rebajaríamos el margen del DCF un punto (−7 % de valor).</w:t>
      </w:r>
    </w:p>
    <w:p>
      <w:pPr>
        <w:pStyle w:val="ListParagraph"/>
        <w:numPr>
          <w:ilvl w:val="0"/>
          <w:numId w:val="2"/>
        </w:numPr>
        <w:spacing w:after="60"/>
      </w:pPr>
      <w:r>
        <w:t xml:space="preserve">Si el precio supera los 19,10 EUR sin cambios en las cifras, pasaríamos a Mantener; por encima de 24,41 EUR, a Vender. Para la cartera, solo por debajo de 17,25 EUR y con el ROIC mejorando.</w:t>
      </w:r>
    </w:p>
    <w:p>
      <w:pPr>
        <w:pStyle w:val="Heading2"/>
      </w:pPr>
      <w:r>
        <w:t xml:space="preserve">Dónde discrepamos del mercado</w:t>
      </w:r>
    </w:p>
    <w:p>
      <w:pPr>
        <w:keepNext/>
        <w:spacing w:after="100"/>
      </w:pPr>
      <w:r>
        <w:rPr>
          <w:b/>
          <w:bCs/>
        </w:rPr>
        <w:t xml:space="preserve">Lo que descuenta el precio.</w:t>
      </w:r>
    </w:p>
    <w:p>
      <w:pPr>
        <w:spacing w:after="100"/>
      </w:pPr>
      <w:r>
        <w:t xml:space="preserve">Un valle permanente: ventas a la baja (−1,4 % al año) o un margen EBITDA del 19,9 % para siempre, es decir, que la obra nueva en EE. UU. no vuelve, que los robots chinos y los aranceles erosionan los márgenes y que la reestructuración es un coste fijo más. La acción cotiza 9,7 veces el EBITDA de los últimos 12 meses, frente a una media de 12,2 en los cinco últimos cierres.</w:t>
      </w:r>
    </w:p>
    <w:p>
      <w:pPr>
        <w:keepNext/>
        <w:spacing w:after="100"/>
      </w:pPr>
      <w:r>
        <w:rPr>
          <w:b/>
          <w:bCs/>
        </w:rPr>
        <w:t xml:space="preserve">Lo que creemos nosotros.</w:t>
      </w:r>
    </w:p>
    <w:p>
      <w:pPr>
        <w:spacing w:after="100"/>
      </w:pPr>
      <w:r>
        <w:t xml:space="preserve">Un ciclo que deja de empeorar. Las ventas crecen un 4,5-5 % al año desde 2027, por debajo del objetivo de la empresa (+6-8 %), y el margen reportado sube al 23,5 % en 2030, por debajo del objetivo ajustado de más del 25 %. Nuestra previsión coincide con el consenso en ventas y EBITDA: no pedimos un auge como el de 2021.</w:t>
      </w:r>
    </w:p>
    <w:p>
      <w:pPr>
        <w:keepNext/>
        <w:spacing w:after="100"/>
      </w:pPr>
      <w:r>
        <w:rPr>
          <w:b/>
          <w:bCs/>
        </w:rPr>
        <w:t xml:space="preserve">Por qué podemos tener razón.</w:t>
      </w:r>
    </w:p>
    <w:p>
      <w:pPr>
        <w:spacing w:after="100"/>
      </w:pPr>
      <w:r>
        <w:t xml:space="preserve">El 65 % de las ventas es reposición, que creció incluso en 2025 con la obra nueva en mínimos [1]. El segundo trimestre de 2026 creció un 4,7 % con un margen ajustado del 28,4 % [3]. Y el desestocaje de 2023 ya se ha hecho: las existencias de Fluidra bajaron de 599 M en 2022 a 437 M en 2025 [1].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7,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valle</w:t>
      </w:r>
      <w:r>
        <w:t xml:space="preserve">: el DCF inverso exige ventas a la baja (−1,4 % al año) o un margen del 19,9 %, el de 2022-2024.</w:t>
      </w:r>
    </w:p>
    <w:p>
      <w:pPr>
        <w:pStyle w:val="ListParagraph"/>
        <w:numPr>
          <w:ilvl w:val="0"/>
          <w:numId w:val="2"/>
        </w:numPr>
        <w:spacing w:after="60"/>
      </w:pPr>
      <w:r>
        <w:rPr>
          <w:b/>
        </w:rPr>
        <w:t xml:space="preserve">Reposición recurrente</w:t>
      </w:r>
      <w:r>
        <w:t xml:space="preserve">: el 65 % de las ventas no depende de la obra nueva [1].</w:t>
      </w:r>
    </w:p>
    <w:p>
      <w:pPr>
        <w:pStyle w:val="ListParagraph"/>
        <w:numPr>
          <w:ilvl w:val="0"/>
          <w:numId w:val="2"/>
        </w:numPr>
        <w:spacing w:after="60"/>
      </w:pPr>
      <w:r>
        <w:rPr>
          <w:b/>
        </w:rPr>
        <w:t xml:space="preserve">Caja abundante</w:t>
      </w:r>
      <w:r>
        <w:t xml:space="preserve">: rendimiento del flujo libre del 8,0 % y dividendo del 3,7 %; recompra de 2,07 M de acciones terminada en septiembre [80].</w:t>
      </w:r>
    </w:p>
    <w:p>
      <w:pPr>
        <w:pStyle w:val="ListParagraph"/>
        <w:numPr>
          <w:ilvl w:val="0"/>
          <w:numId w:val="2"/>
        </w:numPr>
        <w:spacing w:after="60"/>
      </w:pPr>
      <w:r>
        <w:rPr>
          <w:b/>
        </w:rPr>
        <w:t xml:space="preserve">Barata frente a su historia y sus rivales</w:t>
      </w:r>
      <w:r>
        <w:t xml:space="preserve">: 8,6 veces el EBITDA de los próximos 12 meses, frente a una mediana de 10,1 de los comparables.</w:t>
      </w:r>
    </w:p>
    <w:p>
      <w:pPr>
        <w:pStyle w:val="ListParagraph"/>
        <w:numPr>
          <w:ilvl w:val="0"/>
          <w:numId w:val="2"/>
        </w:numPr>
        <w:spacing w:after="60"/>
      </w:pPr>
      <w:r>
        <w:rPr>
          <w:b/>
        </w:rPr>
        <w:t xml:space="preserve">Compras de quien conoce la empresa</w:t>
      </w:r>
      <w:r>
        <w:t xml:space="preserve">: un consejero (Manuel Puig) invirtió unos 14 M en marzo y Magallanes entra en octubre [41, 88].</w:t>
      </w:r>
    </w:p>
    <w:p>
      <w:pPr>
        <w:pStyle w:val="Heading2"/>
      </w:pPr>
      <w:r>
        <w:t xml:space="preserve">En contra</w:t>
      </w:r>
    </w:p>
    <w:p>
      <w:pPr>
        <w:pStyle w:val="ListParagraph"/>
        <w:numPr>
          <w:ilvl w:val="0"/>
          <w:numId w:val="2"/>
        </w:numPr>
        <w:spacing w:after="60"/>
      </w:pPr>
      <w:r>
        <w:rPr>
          <w:b/>
        </w:rPr>
        <w:t xml:space="preserve">ROIC del 8,3 %</w:t>
      </w:r>
      <w:r>
        <w:t xml:space="preserve">, casi igual al WACC del 8,16 %: no pasa el filtro de calidad del método (ROIC − WACC ≥ 5 puntos).</w:t>
      </w:r>
    </w:p>
    <w:p>
      <w:pPr>
        <w:pStyle w:val="ListParagraph"/>
        <w:numPr>
          <w:ilvl w:val="0"/>
          <w:numId w:val="2"/>
        </w:numPr>
        <w:spacing w:after="60"/>
      </w:pPr>
      <w:r>
        <w:rPr>
          <w:b/>
        </w:rPr>
        <w:t xml:space="preserve">Compra frágil</w:t>
      </w:r>
      <w:r>
        <w:t xml:space="preserve">: con la regla v2 de control la rentabilidad ponderada es del 13,7 % y con un BPA un 10 % peor, del 12,6 %.</w:t>
      </w:r>
    </w:p>
    <w:p>
      <w:pPr>
        <w:pStyle w:val="ListParagraph"/>
        <w:numPr>
          <w:ilvl w:val="0"/>
          <w:numId w:val="2"/>
        </w:numPr>
        <w:spacing w:after="60"/>
      </w:pPr>
      <w:r>
        <w:rPr>
          <w:b/>
        </w:rPr>
        <w:t xml:space="preserve">Reestructuración recurrente</w:t>
      </w:r>
      <w:r>
        <w:t xml:space="preserve">: 56 M en 2024, 29 M en 2025 y 50-55 M previstos en 2026 [1, 7].</w:t>
      </w:r>
    </w:p>
    <w:p>
      <w:pPr>
        <w:pStyle w:val="ListParagraph"/>
        <w:numPr>
          <w:ilvl w:val="0"/>
          <w:numId w:val="2"/>
        </w:numPr>
        <w:spacing w:after="60"/>
      </w:pPr>
      <w:r>
        <w:rPr>
          <w:b/>
        </w:rPr>
        <w:t xml:space="preserve">Canal de EE. UU. frágil</w:t>
      </w:r>
      <w:r>
        <w:t xml:space="preserve">: un distribuidor compra el 21 % de las ventas [1] y Leslie's prepara un concurso de acreedores [89].</w:t>
      </w:r>
    </w:p>
    <w:p>
      <w:pPr>
        <w:pStyle w:val="ListParagraph"/>
        <w:numPr>
          <w:ilvl w:val="0"/>
          <w:numId w:val="2"/>
        </w:numPr>
        <w:spacing w:after="60"/>
      </w:pPr>
      <w:r>
        <w:rPr>
          <w:b/>
        </w:rPr>
        <w:t xml:space="preserve">Robots chinos</w:t>
      </w:r>
      <w:r>
        <w:t xml:space="preserve">: presión en precio en un 6 % de las ventas [6].</w:t>
      </w:r>
    </w:p>
    <w:p>
      <w:pPr>
        <w:pStyle w:val="Heading2"/>
      </w:pPr>
      <w:r>
        <w:t xml:space="preserve">Qué tiene que pasar para que la tesis funcione</w:t>
      </w:r>
    </w:p>
    <w:p>
      <w:pPr>
        <w:spacing w:after="100"/>
      </w:pPr>
      <w:r>
        <w:t xml:space="preserve">La tesis depende de que el volumen de Norteamérica siga creciendo (+1 % en el primer semestre de 2026 [7]) mientras la obra nueva toca fondo. Si el canal de EE. UU. vuelve a reducir existencias, como en 2022-2023, el valor cae hacia el bajista (14,40 EUR). Las señales: un volumen negativo en Norteamérica en los resultados del 29 de octubre o del cuarto trimestre, provisiones por Leslie's y un margen bruto por debajo del 55 %.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las ventas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es del +3 % al +7 %; por debajo del 2 %, el escenario bajista gana peso.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 (1S26); 22,9 %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23,3 %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suelo de la guía; cada punto de margen vale un 7 %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en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un nuevo desestocaje del canal, como en 2022-2023.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8 % o sin subir hacia el 10 %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un ROIC claramente por encima del WACC la empresa no pasa el filtro de calidad.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veces (junio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2,8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Limita las recompras y aumenta el riesgo en un bajista.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9,7x / 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20,2x / 14,6x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Fluidra nace en 1969, cuando cuatro familias catalanas (Planes, Serra, Corbera y Garrigós) fundan Astral, S.A. de Construcciones Metálicas para fabricar escaleras, skimmers, sumideros y filtros de piscina; el grupo tuvo su sede en Sabadell [25, 26]. Sale a bolsa el 31 de octubre de 2007 [26], con las familias sindicadas en un pacto de voto que se ha renovado ocho veces hasta 2025 [1]. Hasta 2017 era una empresa europea, más expuesta a la construcción nueva y con presencia marginal en EE. UU.: vendía 780 M EUR con un margen EBITDA ajustado del 12,7 % [3]. La fusión con Zodiac, propiedad de Rhône Capital desde 2016, se anunció en noviembre de 2017 y se cerró en julio de 2018: Rhône entró con el 42,4 % y ha ido vendiendo hasta el 11,7 % [1, 25]. Desde entonces es el primer fabricante mundial y el segundo de EE. UU., con ventas de 2.184 M EUR y un margen del 22,9 % en 2025 [1, 3]. Desde 2025 busca crecer en robots (27 % de Aiper) y en software (PoolTrackr)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familias catalanas (Planes, Serra, Corbera y Garrigós) fundan Astral, S.A. de Construcciones Metálicas, que fabrica escaleras, skimmers, sumideros y filtros de acero inoxidable [25,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1976-1977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filiales en el extranjero, en Francia e Italia; después llegan el Reino Unido (1984) y Portugal (1988)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el grupo Aquaria, que reúne las empresas de piscina; Banco Sabadell compra el 20 % del capital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a bolsa el 31 de octubre en Madrid y Barcelona; en septiembre las familias fundadoras firman el pacto de sindicación de voto, renovado ocho veces hasta 2025 [1,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Etapa europea: reestructuración, venta de negocios ajenos a la piscina y ventas de 650 a 780 M EUR (crecimiento anual de c. 2 %), con un margen EBITDA ajustado del 12,7 % en 2017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Zodiac (Jandy, Polaris, Zodiac), anunciada en noviembre de 2017 y cerrada en julio de 2018 con 83 M de acciones nuevas; Rhône Capital pasa a ser el primer accionista con el 42,4 % [1, 25]. Como condición de la Comisión Europea, vende su filial de robots Aquatron a BWT por 26,2 M EUR iniciales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IBEX 35 en marzo y compra en EE. UU. el fabricante de equipamiento comercial SR Smith por 240 M USD, según la prensa sectorial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1.300 a 2.200 M EUR (c. 8 % anual), margen EBITDA ajustado hasta el 22,9 % y ROCE del 11 % al 18 %; pasa a ser el número 2 de EE. UU.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Jaime Ramírez es nombrado consejero delegado en mayo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BAC Pool Systems, PoolTrackr y Powerplastics, toma el 27 % de Aiper (robots sin cable) por 100 M USD con opción a pasar al 51 %, y acuerda la compra de Variopool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familias fundadoras aportan el 20 % del capital a ADBE Partners, S.L.; Rhône Capital se queda en el 11,7 %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Acuerda la compra de Hydrapro (química de piscina en Francia) y de Riaan Pool Group (unos 10 M EUR de ventas)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Fluidra diseña, fabrica y vende el equipo y los consumibles de la piscina y el spa: bombas, filtros, calefacción y bombas de calor, iluminación, automatización y conectividad, robots limpiafondos, cloradores salinos, química y kits de análisis del agua (Taylor), cubiertas y software de gestión para profesionales (PoolTrackr) [1, 3]. Sus marcas principales son Jandy, Polaris y Zodiac en EE. UU. y AstralPool, Cepex, CTX y Gre en Europa [2]. El 90 % de la demanda que atiende es piscina residencial (30 % construcción nueva y 60 % mantenimiento, reparación y reforma) y el 10 %, piscina comercial [1]. Por regiones, Norteamérica aporta el 43 % de las ventas, EMEA el 49 % y Asia-Pacífico el 8 % [1]. Vende sobre todo a distribuidores profesionales (en EE. UU., Pool Corporation es su primer cliente), a constructores e instaladores, a minoristas y, en algunos países, a través de 90 tiendas propias para profesionales (Fluidra PRO Centers) [1]. Fabrica en 42 centros de producción [1]. Los robots limpiafondos son en torno al 6 % de las ventas [6].</w:t>
      </w:r>
    </w:p>
    <w:p>
      <w:pPr>
        <w:pStyle w:val="Heading2"/>
      </w:pPr>
      <w:r>
        <w:t xml:space="preserve">Cómo gana dinero</w:t>
      </w:r>
    </w:p>
    <w:p>
      <w:pPr>
        <w:spacing w:after="100"/>
      </w:pPr>
      <w:r>
        <w:t xml:space="preserve">El margen bruto fue del 56,6 % en 2025, el EBITDA ajustado de 501 M EUR (22,9 % de las ventas) y el resultado de explotación de 309 M EUR (14,1 %), después de 57 M EUR de amortización de intangibles de compras [1]. La mayor parte de la venta es recurrente: el 60 % de la demanda es mantenimiento y reposición de una base instalada de unos 20 millones de piscinas enterradas residenciales, que crece unos dos millones cada cinco años [1]. El margen depende sobre todo del precio (en Norteamérica subió precios un 5 % en 2025 y el volumen un 2 % [6]), de la mezcla entre equipo y robots y de los aranceles de EE. UU., que la compañía dice cubrir en valor absoluto pero no en porcentaje de margen [6]. La venta es estacional: el primer semestre aportó 1.227 M EUR en 2025, el 56 % del año [3]. La inversión es baja, en torno al 3 % de las ventas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servicios compartidos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servicios compartidos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es alta en EE. UU. y baja en el resto. Un solo cliente estadounidense supuso el 21,00 % de las ventas de 2025 (20,51 % en 2024) y el 23,43 % de las cuentas a cobrar; el resto de la cartera está muy diversificada [1]. Por el tamaño, ese cliente es casi con certeza Pool Corporation: sus compras a Zodiac Pool Systems fueron el 12 % de su coste de producto en 2025, unos 446 M USD sobre un coste de unos 3.718 M USD, unos 395 M EUR al cambio medio de 2025 (estimación propia), frente a los 459 M EUR que da el 21 % de Fluidra [1, 13]. La dependencia es menor que la de Hayward, cuyo primer cliente (Pool) es el 33 % de las ventas y el segundo el 12 % [19]. El poder de precios se ve en el margen bruto estable del 56,6 % en 2025 pese a los aranceles y a la inflación [1], y en el peso creciente de Zodiac en las compras de Pool: del 9 % en 2020 al 12 % en 2024 y 2025, por delante ya de Hayward [13, 14, 18]. Los distribuidores estadounidenses la han elegido proveedor del año cinco años seguidos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(tipo y perímetro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c. +6 %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+4,4 %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Sur de Europa +7,7 %, resto de Europa +0,8 %, Norteamérica +3,9 % y resto del mundo +2,5 % en el 1S26; en el 2T26 Norteamérica +2,6 % y resto de Europa −1,0 %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 precio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volumen +4 %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volumen +2 %, precio +3 %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precio +2 %, volumen +3 % (Europa +6-7 %, Norteamérica c. +1 %) [3,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22,7 %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22,9 %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2026: 23,3-24,3 %, en la parte baja-media según la dirección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circulante operativo / ventas LTM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jun-25: 24,8 %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jun-26: 22,5 %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cierre de 2025, 16 % (359 M)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dic-24: 2,4x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jun-26: 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la empresa: en torno a 2x a medio plazo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(EBITA ajustado / capital empleado)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 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&gt;17 %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por unidad de negocio, 1S26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1S25: 1.227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1.258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Residencial 887 M (+4,3 %), tratamiento de agua residencial 192 M (+10,9 %), comercial 106 M (−2,8 %; −9,7 % en el 2T26 por retrasos de proyectos en Oriente Medio), conducción de fluidos 56 M (+6,9 %), riego e industrial 18 M (−16 %)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productos lanzados en los últimos cinco años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19 % de las ventas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Mezcla aftermarket / obra nueva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 65 % / 35 %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Obra nueva residencial en mínimos históricos en los cinco grandes mercados [3,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equipamiento y consumibles para piscinas residenciales y comerciales, a precio de fabricante y en todo el mundo. Usamos la estimación de Fluidra, 17.400 M EUR en 2025: 9.300 M en Norteamérica (53 %), 6.800 M en EMEA (39 %) y 1.300 M en Asia-Pacífico (7 %) [1]. No hay una segunda cifra pública en valor del mismo perímetro; la contrastamos con datos de base instalada: Hayward estima unos 25 millones de piscinas en el mundo, con Norteamérica y Europa en el 67 % de la base y el 85 % de las ventas de equipo [19], y Pool Corporation cuenta 14 millones de piscinas y spas en EE. UU., 5,5 millones de ellas enterradas [13]. Las dos fuentes coinciden en que el mercado es norteamericano y europeo en más de un 85 %. Dos estudios de mercado independientes dan órdenes de magnitud parecidos con perímetros distintos: Spherical Insights estima el equipamiento de piscina en 15.910 M USD en 2025 (unos 13.540 M EUR al cambio de cierre del año [24]) con un crecimiento del 4,71 % anual hasta 2035 [32], y Arizton valora el mercado de la piscina en 17.750 M USD en 2024 con un 4,64 % anual hasta 2030 [33]. La cifra de Fluidra es más alta porque incluye química, consumibles y piscina comercial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17.400 M EUR en 2025 (estimación de Fluidra): Norteamérica 9.300 M, EMEA 6.800 M y Asia-Pacífico 1.300 M [1]. Base instalada: unos 20 millones de piscinas enterradas residenciales según Fluidra [1] y unos 25 millones de piscinas en total según Hayward [19]. El crecimiento de los últimos cinco años lo aproximamos con las ventas de Pool Corporation, el mayor distribuidor del sector y con el 95 % de sus ventas en Norteamérica [13]: de 3.937 M USD en 2020 a 5.289 M USD en 2025, un 6,1 % anual (estimación propia) [21]. La cuota conjunta de los cinco primeros es una estimación propia sobre los 17.400 M EUR: Fluidra 12,6 %, Pentair Pool 7,6 %, Hayward 5,5 % y Maytronics 2,2 %, unos 28 % con cuatro, sin contar Aiper, que no publica cuentas [1, 19, 20, 23, 24]. Los estudios independientes prevén un crecimiento del 4,6-4,7 % anual [32, 33], algo por debajo del 4-6 % que espera Fluidra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2026e-2028e, estimación propia con el crecimiento de mercado del 4-6 % anual que espera Fluidra (punto medio, 5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y mantenimiento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mundial de piscinas enterradas residenciales creció en más de dos millones en cinco años, hasta unos 20 millones [1]. En Pool Corporation, el 64 % de las ventas de 2025 fue mantenimiento y pequeña reparación, el 22 % reforma y mejora y solo el 14 % construcción nueva [13]; Hayward estima que la reposición es el 85 % de sus ventas residenciales en Norteamérica, con un ciclo de reposición del equipo de 8 a 11 años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de piscinas nuevas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los cinco primeros países (EE. UU., Francia, España, Alemania y Australia) se construyeron 169.000 piscinas residenciales en 2025, frente a 249.000 en 2020 y una media de 214.000 entre 1980 y 2025 [3]. En EE. UU., según las estimaciones de Pool Corporation (que revisa cada año la del anterior), se construyeron unas 80.000 piscinas enterradas en 2019 [18], unas 96.000 en 2020 y 117.000-120.000 en 2021 [16, 17], 98.000 en 2022 [16], 72.000-75.000 en 2023 [14, 15], 61.000-62.000 en 2024 [13, 14] y algo menos de 60.000 en 2025 [13]: la mitad que en 2021. Pool espera para 2026 las mismas unidades que en 2025 [13] y Fluidra una construcción plana [6]. En Francia, el primer mercado europeo con unos 3,7 millones de piscinas familiares (1,7 millones enterradas), la construcción cayó un 15 % en los nueve primeros meses de 2023 [31], se quedó en unas 94.000 piscinas nuevas en 2024 [29] y en unas 90.600 en 2025, y las ventas de piscinas subieron un 12 % en el primer trimestre de 2026 según la FPP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vivienda y crédito al consumo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Pool Corporation atribuye la caída de la construcción nueva y de las reformas desde la segunda mitad de 2022 a los tipos más altos, la inflación, el crédito más restrictivo y la menor construcción de viviendas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mejora del equipo (velocidad variable, automatización, conectividad)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el precio explicó la mayor parte del crecimiento del sector: +5,1 % en el segmento Pool de Pentair (volumen +1,4 %) [20], +5,4 % en Hayward (volumen plano) [19] y +5 % en la Norteamérica de Fluidra (volumen +2 %)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Clima y estacionalidad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Pool Corporation hizo en el segundo y el tercer trimestre el 61 % de sus ventas y el 78 % de su resultado de explotación de 2025 [13]; Fluidra calcula que el tiempo mueve el crecimiento del mercado en ±1 punto al año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aranceles añadieron 1 punto a la inflación de producto de Pool Corporation en 2025 [13]. El Tribunal Supremo anuló el 20 de febrero de 2026 los aranceles basados en la ley IEEPA y el Gobierno anunció otros nuevos sobre las importaciones de todos los países [19]. Para Fluidra fueron en 2025 el principal factor de dilución del margen [6]. En julio de 2025 Fluidra rebajó su previsión del año por los aranceles, subió precios en Norteamérica en abril y la acción cayó un 6,47 % el día de los resultados [28].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equipo de piscina de EE. UU. hay tres grandes fabricantes: Pentair, Zodiac (Fluidra) y Hayward suponen el 20 %, el 12 % y el 11 % de las compras de Pool Corporation [13], y sus márgenes son altos (33,8 % de resultado de segmento en Pentair Pool, 20,8 % de margen de explotación en Hayward [19, 20]). En robots la rivalidad es dura: la entrada de fabricantes chinos baja precios [6] y el margen de explotación de Maytronics pasó del 13,8 % en 2023 al −3,6 % en 2025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Cerca del 80 % del equipo residencial de EE. UU. se vende a través de distribuidores como Pool Corporation, Heritage y Baystate [19]. Un solo cliente estadounidense es el 21 % de las ventas de Fluidra [1] y Pool es el 33 % de las de Hayward [19]. Los programas de compra anticipada (early buy) dan a los distribuidores descuentos y plazos de pago largos [13,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plásticos, metales, motores y electrónica de proveedores diversos; Fluidra mantuvo el margen bruto en el 56,6 % en 2025 pese a la inflación y los aranceles [1]. El riesgo está en los componentes chinos y el acero y aluminio sujetos a aranceles en EE. UU.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bombas, filtros y calefacción la entrada es difícil: la reposición se hace con el mismo fabricante y la fidelidad del instalador pesa [19]. En robots limpiafondos, que se venden directamente al consumidor por internet y en grandes superficies, han entrado fabricantes chinos con éxito: Aiper ya es el primero del mundo por cuota a precio de venta al público según Fluidra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piscina construida necesita filtrar, bombear y tratar el agua cada año, por lo que el mantenimiento no tiene sustituto [13]. El riesgo son las restricciones de agua por sequía, que pueden frenar la construcción y el llenado de piscinas [13].</w:t>
            </w:r>
          </w:p>
        </w:tc>
      </w:tr>
    </w:tbl>
    <w:p>
      <w:pPr>
        <w:spacing w:after="160" w:before="0"/>
      </w:pPr>
    </w:p>
    <w:p>
      <w:pPr>
        <w:pStyle w:val="Heading2"/>
      </w:pPr>
      <w:r>
        <w:t xml:space="preserve">Ciclo</w:t>
      </w:r>
    </w:p>
    <w:p>
      <w:pPr>
        <w:spacing w:after="100"/>
      </w:pPr>
      <w:r>
        <w:t xml:space="preserve">La construcción nueva está en mínimos (169.000 piscinas en los cinco primeros países en 2025, un 21 % por debajo de la media histórica [3]) y se espera plana en 2026, mientras el mantenimiento crece a un dígito bajo [6]; el sector vuelve a crecer en valor (Fluidra +7 % a tipo constante en 2025 y +5 % en el primer semestre de 2026 [1, 2]). En 2008-09 Pool Corporation perdió un 14 % de ventas y un 23 % de resultado de explotación [21]. En 2020-21 la demanda se disparó (Pool vendió un 35 % más en 2021 [21]). En 2022-23 el desestocaje de los distribuidores hundió a los fabricantes: Hayward cayó un 29 % en ventas y un 45 % en resultado de explotación entre 2021 y 2023 [22].</w:t>
      </w:r>
    </w:p>
    <w:p>
      <w:pPr>
        <w:pStyle w:val="Heading2"/>
      </w:pPr>
      <w:r>
        <w:t xml:space="preserve">Regulación</w:t>
      </w:r>
    </w:p>
    <w:p>
      <w:pPr>
        <w:spacing w:after="100"/>
      </w:pPr>
      <w:r>
        <w:t xml:space="preserve">Los aranceles de EE. UU. son la norma que más mueve las cifras: el Tribunal Supremo anuló el 20 de febrero de 2026 los aranceles aprobados al amparo de la ley IEEPA, el Gobierno anunció otros generales y siguen los del acero y el aluminio [19]. En EE. UU. el Departamento de Energía regula el etiquetado, los ensayos y la certificación de eficiencia de las bombas de piscina [19]. Las sequías traen restricciones al llenado y a la construcción de piscinas [13]. En Europa, Fluidra publica desde 2025 su información de sostenibilidad conforme a las normas ESRS y la taxonomía de la UE [1].</w:t>
      </w:r>
    </w:p>
    <w:p>
      <w:pPr>
        <w:pStyle w:val="Heading2"/>
      </w:pPr>
      <w:r>
        <w:t xml:space="preserve">Tendencias y disrupción</w:t>
      </w:r>
    </w:p>
    <w:p>
      <w:pPr>
        <w:spacing w:after="100"/>
      </w:pPr>
      <w:r>
        <w:t xml:space="preserve">Tres cambios pesan. Primero, los robots limpiafondos sin cable vendidos directamente al consumidor: son el 6 % de las ventas de Fluidra y los fabricantes chinos están empujando a los clientes hacia productos más baratos y presionando los márgenes [6]; Maytronics, el especialista israelí, ha pasado a pérdidas [23]. Fluidra responde con el 27 % de Aiper y la opción de pasar al 51 % cuando Aiper supere 370 M USD de ventas con un 15 % de margen EBITDA [1]. Segundo, la conectividad y el software para profesionales (PoolTrackr, en EE. UU. y Australia y en Europa en 2027) [2]. Tercero, la eficiencia energética (bombas de velocidad variable, bombas de calor), que sube el ticket medio de la reposición; Pentair compró en 2024 el fabricante de bombas de calor G&amp;F por 116 M USD [20].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equipamiento de piscina, con el 13 % de un mercado de 17.400 M EUR; 2.º en EE. UU., 1.º en Europa y Asia-Pacífico [1,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Pentair (segmento Pool)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PNR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proveedor de Pool Corporation (20 % de sus compras) [13]. El segmento Pool vendió 1.558,8 M USD en 2025 (+8,5 %, precio +5,1 %) [20]. El margen es el resultado de segmento, antes de amortización de intangibles y de costes de reestructuración, por lo que no es comparable con un EBIT [20]. Ingresos convertidos a euros al cambio del BCE del 31-12-2025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Hayward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1.122,2 M USD en 2025 (+6,7 %, todo precio) con un margen de explotación del 20,8 % y un EBITDA ajustado del 26,7 % [19]. Estima tener el 33 % del mercado residencial norteamericano; Pool Corporation es el 33 % de sus ventas y el 79 % se hace en EE. UU. [19]. Ingresos convertidos a euros al cambio del BCE del 31-12-2025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Pool Corporation (POOLCORP)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POOL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 no fabricante: es el primer cliente de Fluidra y a la vez competidor potencial con marca propia, que usa para mejorar su margen bruto (29,7 % en 2025) [13]. Vendió 5.289 M USD en 2025, con 456 almacenes [13, 21]. Ingresos convertidos a euros al cambio del BCE del 31-12-2025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Maytronics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Israel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MTRN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robots (Dolphin). Las ventas bajaron de 1.890 M ILS en 2023 a 1.406 M ILS en 2025, y las de robots para piscina privada de 1.501 a 966 M ILS entre 2022 y 2025; el margen de explotación pasó del 13,8 % al −3,6 % [23]. Es la señal más clara de la presión de los robots chinos. Ingresos convertidos a euros al cambio del BCE del 31-12-2025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Aiper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Robots sin cable vendidos al consumidor por internet y en grandes superficies; primero del mundo por cuota a precio de venta al público según Fluidra [6]. Fluidra tiene el 27 % desde diciembre de 2025; las ventas crecieron un 21 % en el primer semestre de 2026 con un margen EBITDA del 6 % [1, 3]. No publica cuentas.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producto no se vuelve más valioso con más usuarios. El software para profesionales (PoolTrackr) y las aplicaciones de piscina conectada pueden crear algo de red, pero aún es incipiente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instalador repone con la marca que conoce y con piezas compatibles; Fluidra gana cuota convirtiendo distribuidores e instaladores de otras marcas [4], y Hayward también compite por la fidelidad de constructores y técnicos de su base instalada [11]. El ciclo de reposición de 8 a 11 años da varias ventas por piscina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de referencia en cada región (Jandy, Polaris, Zodiac, AstralPool) [3]; el peso de Zodiac en las compras de Pool Corporation subió del 9 % en 2020 al 12 % en 2025, por delante de Hayward [5, 10], y los distribuidores de EE. UU. la eligieron proveedor del año cinco veces seguidas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el productor más eficiente: su margen de explotación de 2025 (14,1 %) y su EBITDA ajustado (22,9 %) quedan por debajo de Hayward (20,8 % y 26,7 %) y del resultado de segmento de Pentair Pool (33,8 %) [1, 11, 12]. El plan de eficiencia, con la optimización de la red de fábricas, busca cerrar esa distancia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primer fabricante del mundo con el 13 % del mercado y la gama más amplia del sector [1, 2]; el mercado de EE. UU. se reparte entre tres fabricantes con márgenes altos [5, 11, 12], y en Europa, más fragmentado, es el líder [2, 11]. El ROCE subió del 11 % al 18 % entre 2018 y 2025 [2].</w:t>
            </w:r>
          </w:p>
        </w:tc>
      </w:tr>
    </w:tbl>
    <w:p>
      <w:pPr>
        <w:spacing w:after="160" w:before="0"/>
      </w:pPr>
    </w:p>
    <w:p>
      <w:pPr>
        <w:pStyle w:val="Heading2"/>
      </w:pPr>
      <w:r>
        <w:t xml:space="preserve">Amenazas</w:t>
      </w:r>
    </w:p>
    <w:p>
      <w:pPr>
        <w:spacing w:after="100"/>
      </w:pPr>
      <w:r>
        <w:t xml:space="preserve">La amenaza más probable ya está ocurriendo en los robots limpiafondos: los fabricantes chinos que venden al consumidor bajan precios y márgenes (Maytronics ha pasado a pérdidas [23]) y presionan el 6 % de las ventas de Fluidra [6]; la apuesta por Aiper la cubre en parte. La segunda es la dependencia de Pool Corporation (21 % de las ventas [1]), que crece en marca propia [13] y negocia programas de compra anticipada. La tercera son los aranceles de EE. UU. sobre lo fabricado fuera, que en 2025 diluyeron el margen [6]. En el equipo de la piscina, con reposición del mismo fabricante, la erosión sería lenta.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2021-2025: ingresos </w:t>
      </w:r>
      <w:r>
        <w:rPr>
          <w:b/>
          <w:bCs/>
        </w:rPr>
        <w:t xml:space="preserve">0,0 %</w:t>
      </w:r>
      <w:r>
        <w:t xml:space="preserve">, EBITDA </w:t>
      </w:r>
      <w:r>
        <w:rPr>
          <w:b/>
          <w:bCs/>
        </w:rPr>
        <w:t xml:space="preserve">-1,6 %</w:t>
      </w:r>
      <w:r>
        <w:t xml:space="preserve">, BPA </w:t>
      </w:r>
      <w:r>
        <w:rPr>
          <w:b/>
          <w:bCs/>
        </w:rPr>
        <w:t xml:space="preserve">-8,4 %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(venta de bienes, sin servicios ni trabajos para el inmovilizado) cayeron un 14 % en 2023 tras el ajuste de inventarios del canal posterior a la pandemia (de 2.389 M en 2022 a 2.051 M) y desde entonces crecen despacio: +2,5 % en 2024, +3,9 % en 2025 (+7 % a tipo constante: volumen +4 %, precio y +0,9 puntos de compras, con −3,1 puntos de divisa) y +2,6 % en el 1S26 (+4,4 % orgánico) [1, 3, 6]. El margen de EBITDA ajustado sube de 22,7 % en 2024 a 22,9 % en 2025 y a 25,5 % en el 1S26 (estacional), por el margen bruto estable en 56,6 % gracias al Programa de Simplificación (100 M de ahorro en 2023-2025) y a las subidas de precio, que compensan aranceles, inflación y mezcla [1, 3]. El EBIT reportado sube un 19 % en 2025 porque los gastos de reestructuración bajan de 51 M a 25 M. La amortización de la asignación del precio de compra (57 M en 2025) deprime el beneficio contable; la empresa usa el beneficio ajustado (250 M en 2025; BPA ajustado 1,30 EUR) [1]. Las ventas de 2021-2023 son las publicadas (venta de bienes) y el EBIT, la amortización, el resultado financiero, los impuestos y los minoritarios de esos años salen ahora de las cuentas oficiales en XBRL (ESEF) [12]; sin el desglose de aprovisionamientos.</w:t>
      </w:r>
    </w:p>
    <w:p>
      <w:pPr>
        <w:pStyle w:val="Heading2"/>
      </w:pPr>
      <w:r>
        <w:t xml:space="preserve">Ajustes y partidas no recurrentes</w:t>
      </w:r>
    </w:p>
    <w:p>
      <w:pPr>
        <w:spacing w:after="100"/>
      </w:pPr>
      <w:r>
        <w:t xml:space="preserve">El EBITDA ajustado de Fluidra es el EBITDA por naturaleza más los gastos de reestructuración, M&amp;A e integración y la remuneración en acciones; incluye el resultado de participadas por puesta en equivalencia (Aiper desde 2026, inmaterial hasta ahora) [3]. Los ajustes se repiten todos los años: 2024, 51 M de reestructuración e integración y 5,6 M de acciones (EBITDA ajustado 477 frente a 421 M reportado); 2025, 25 M (20 M del Programa de Simplificación y 5 M de M&amp;A) y 4,0 M de acciones (501 frente a 472 M); 1S25, 12 + 2 M; 1S26, 33 + 3 M por el cierre del centro de I+D en Francia, plantas en China y Oregón y recortes de plantilla [1, 3, 7]. Para 2026 la empresa prevé 50-55 M de no recurrentes incluida la remuneración en acciones (unos 7 M), y el nuevo plan de eficiencia lleva unos 50 M de costes en tres años [5, 6, 7]. LTM a jun-26: 46 M de reestructuración y 5 M de acciones; EBITDA ajustado LTM 508 M frente a 457 M reportado. No se han metido como no recurrentes en el EBITDA porque se repiten cada año.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EBITDA de esta tabla es el ajustado y el BPA, el reportado. En el 1S25 las ventas crecieron un 5 % y el EBITDA ajustado un 6 % [9]. Por trimestres: 1T26 ventas 564 M (igual que el 1T25; +5,4 % a tipo constante) y EBITDA ajustado 124 M (22,0 %, frente a 131 M y 23,2 %); 2T26 ventas 694 M (+4,7 %) y EBITDA ajustado 197 M (28,4 %, frente a 183 M) [3, 4]. En mayo la dirección defendía el alza del opex del trimestre (inversión en I+D, digital y fuerza de ventas) con recortes de plantilla de 10-12 M y subió los no recurrentes de 2026 a unos 50 M [5]. En julio el tono mejoró: margen estable, venta al cliente final en EE. UU. por encima de la venta al canal (el canal se vacía), recompra de 40 M (unos 2,1 M de acciones) y cambio de director financiero [7]. Los analistas repitieron tres temas: inventario del canal y volumen en Norteamérica (solo +1 % de volumen), aumento de los costes de reestructuración (ya 50-55 M en 2026, por adelantar cierres previstos para 2027) y si la recompra será recurrente (la dirección dice que es oportunista) [7]. La dirección no dio la política de precios de 2027, evitó cuantificar cuotas de mercado y no avanzó nada sobre una posible cotización en EE. UU. («una opción que siempre está ahí»); sí dijo que las compras recientes se pagaron a 5-6,5 veces EBITDA y que espera 5-10 M de devolución de aranceles en el 2S, dentro del opex [7]. Guía 2026 mantenida, con el margen en la parte baja-media del rango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(2021: Compras por 436 M en caja (entre ellas S.R. Smith, Custom Molded Products y Taylor Water Technologies): el crecimiento del 46 % de 2021 no es orgánico.; 2025: Aiper, 27 % por 85 M (100 M USD) pagados en los últimos días del año: entra en el balance como participada por puesta en equivalencia y no en la cuenta de 2025.).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neta baja de 1.192 M en 2022 a 921 M en 2025 (1.087 M con arrendamientos; 2,2x EBITDA ajustado), por el fuerte flujo de 2023 (liberación de inventarios: de 599 M a 427 M) y por la menor caja a impuestos en 2025 [1, 8]. El balance de cierre de año no refleja el pico estacional: a 30-jun-26 clientes son 470 M (262 M en diciembre), existencias 502 M y proveedores 474 M; el capital circulante operativo es el 22,5 % de las ventas LTM, 230 pb menos que un año antes, en parte por provisiones de los cierres de plantas que la empresa reconoce como puntuales [3, 7]. A 30-jun-26: activo 3.759 M, patrimonio de la dominante 1.628 M, deuda bancaria 1.061 M, arrendamientos 192 M, deuda neta 1.101 M (2,2x) [3]. Tras extender la revolving a enero de 2029 [7], todo el riesgo de refinanciación se concentra en enero de 2029 (préstamo sindicado y revolving). Fondo de comercio e intangibles (2.007 M) superan el patrimonio: el valor contable tangible es negativo.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997</w:t>
      </w:r>
      <w:r>
        <w:t xml:space="preserve">, conversión </w:t>
      </w:r>
      <w:r>
        <w:rPr>
          <w:b/>
          <w:bCs/>
        </w:rPr>
        <w:t xml:space="preserve">119 %</w:t>
      </w:r>
      <w:r>
        <w:t xml:space="preserve"> del beneficio neto; adquisiciones 619, dividendos 593, recompras 147.</w:t>
      </w:r>
    </w:p>
    <w:p>
      <w:pPr>
        <w:spacing w:after="100"/>
      </w:pPr>
      <w:r>
        <w:t xml:space="preserve">El flujo operativo (después de intereses e impuestos, que la empresa clasifica en explotación) fue de 343 M en 2025 y 311 M en 2024, con un capex de 71-73 M (3 % de las ventas, de él 30 M de intangibles, en buena parte desarrollo capitalizado de 27 M) y 44-49 M de principal de arrendamientos [1]. 2022 fue anómalo (120 M) por la acumulación de inventarios y 2023 excepcional (429 M) por su liberación [8]. El impuesto pagado de 2024 (100 M) incluyó pagos atrasados; en 2025 bajó a 47 M [1]. En 2025 la caja libre después de arrendamientos (unos 223 M) cubrió los dividendos (117 M) y la entrada en Aiper (85 M) [1]. Las compras y ventas de autocartera (unos 108 M en cada sentido) son el contrato de liquidez y se netean. La empresa sitúa el capex, I+D incluida, en torno al 3 % de las ventas; no separa mantenimiento y crecimiento.</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las cuentas individuales y consolidadas desde hace diez años sin interrupción y el informe del ejercicio anterior no tuvo salvedades [1]. Los servicios distintos de la auditoría son pequeños (101.000 EUR) [1]. La cuenta se presenta por naturaleza. Puntos de atención: la empresa capitaliza trabajos para su inmovilizado por 27 M en 2025 (24 M en 2024), el 1,2 % de las ventas, sobre todo desarrollo de producto [1]; la remuneración en acciones es pequeña (4,0 M en 2025, 5,6 M en 2024) pero se excluye del EBITDA ajustado, igual que 25-51 M anuales de reestructuración que se repiten desde 2022 [1]. Los deterioros de activos son menores (1,8 M en 2025) y el fondo de comercio de 1.269 M baja por divisa, no por deterioro [1]. El beneficio ajustado suma además la amortización de la asignación de precio de Zodiac (57 M) y la parte no monetaria del resultado financiero [3]. El tipo impositivo efectivo es del 26 % [1, 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y M&amp;A de 51 M en 2024, 25 M en 2025 y 50-55 M previstos en 2026 (con acciones); el EBITDA ajustado los excluye todos los años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Desarrollo capitalizado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M de trabajos para el inmovilizado en 2025, estables respecto a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contable tangible negativo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e intangibles de 2.007 M frente a 1.592 M de patrimonio de la dominante, herencia de la fusión con Zodiac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Confirming</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 de proveedores en reverse factoring al cierre de 2025, sin cambio de plazos según la empresa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1.269 M en 2025 (el 47 % del capital invertido medio); ha subido más de un 5 % en 0 de 4 años: sin compras. ROIC publicado 8,3 %; sin fondo de comercio, 15,7 %.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8,2 %.</w:t>
      </w:r>
    </w:p>
    <w:p>
      <w:pPr>
        <w:spacing w:after="100"/>
      </w:pPr>
      <w:r>
        <w:t xml:space="preserve">La empresa mide su ROCE como EBITA ajustado LTM sobre patrimonio corregido (menos 527 M por la diferencia entre el valor del canje de Zodiac y su registro contable) más deuda neta: pasó del 11 % en 2018 al 18 % en 2025, con objetivo a medio plazo de más del 17 % [3]. Esa corrección y el uso del EBITA ajustado (antes de amortización de la asignación de precio y de reestructuración) lo hacen más alto que un ROIC contable. La mejora reciente viene del margen (Programa de Simplificación) más que de la rotación, porque el capital empleado apenas cambia desde 2021 y las ventas de 2025 siguen por debajo de 2022 [1, 8].</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31-dic-25: caja 121 M y pólizas de crédito no dispuestas por 556 M (límite 557 M, de los que 450 M son la línea revolving sindicada) más 13 M de líneas de descuento; programa de pagarés en el MARF sin saldo [1]. En marzo de 2026 la revolving de 450 M se extendió de enero de 2027 a enero de 2029, con unos 2 M de costes no recurrentes en el resultado financiero del semestre [7]. A 30-jun-26: caja 141 M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Ba2, perspectiva positiva desde marzo de 2026 [11]. S&amp;P: calificación confirmada el 6-oct-2025; el informe anual no publica el nivel (BB en origen, 2018) [1,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préstamo sindicado (750 M USD a SOFR + 200 pb y 450 M EUR a Euribor + 225 pb, vencimiento enero de 2029) está garantizado con prendas sobre acciones de filiales, marcas de Zodiac y cuentas a cobrar en España, EE. UU., Francia y Australia; el único covenant es deuda financiera / EBITDA ajustado por debajo de 4,5x y solo cuando la revolving está dispuesta más de un 40 % [1]. Todo el préstamo es a tipo variable. El confirming (reverse factoring) suma 22 M en proveedores [1]. Hay precios aplazados de compras (BAC, 2,2 M; Variopool, segundo pago en 2027) y pasivos de adquisiciones de 0,8 M, y provisiones de 74 M (63 M corrientes) [1]. El pacto con Aiper prevé subir al 51 % aportando el negocio de robots de Fluidra cuando Aiper supere 370 M USD de ventas con un 15 % de margen [6].</w:t>
      </w:r>
    </w:p>
    <w:p>
      <w:pPr>
        <w:pStyle w:val="Heading1"/>
      </w:pPr>
      <w:r>
        <w:t xml:space="preserve">12. Asignación de capital</w:t>
      </w:r>
    </w:p>
    <w:p>
      <w:pPr>
        <w:pStyle w:val="Confianza"/>
        <w:spacing w:after="100"/>
      </w:pPr>
      <w:r>
        <w:t xml:space="preserve">Confianza: Media</w:t>
      </w:r>
    </w:p>
    <w:p>
      <w:pPr>
        <w:spacing w:after="100"/>
      </w:pPr>
      <w:r>
        <w:t xml:space="preserve">Fluidra reparte en torno al 50 % del BPA ajustado: 0,60 EUR por acción con cargo a 2024 y 0,65 EUR propuestos con cargo a 2025 (+8 %) [1, 6]. Las prioridades declaradas son, por este orden, invertir en crecimiento orgánico (capex con I+D en torno al 3 % de las ventas), compras que aporten más de un punto de crecimiento anual con rentabilidad superior al coste de capital al tercer año, y dividendos; el excedente, en recompras o dividendos extraordinarios [3]. Objetivo de apalancamiento: en torno a 2x deuda neta / EBITDA ajustado [3]. El 30-jul-26 lanzó una recompra de 40 M (unos 2,1 M de acciones), que la dirección califica de oportunista [2, 7]. Desde 2019 ha desplegado unos 1.800 M: 25 % en inversión orgánica, 38 % en compras y 36 % en dividendos y otros [3]. El plan de eficiencia 2026-2030 promete 120 M de ahorro (75 % en margen bruto) con unos 50 M de costes; en el 1S26 aportó unos 15 M [2,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Zodiac Pool Solutions (fusión)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83 M acciones nuevas (registradas a 13,7 EUR) y refinanciación de la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Llevó a Fluidra a número 2 en EE. UU.; las ventas pasaron de 1.300 M a 2.200 M en 2018-2025 y el margen de EBITDA ajustado del 12,7 % (2017) al 22,9 % [3]. Sin deterioros del fondo de comercio en 2024-2025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S.R. Smith, Custom Molded Products, Taylor Water Technologies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Llegaron en el pico de la pospandemia; las ventas de Norteamérica cayeron un 17 % en 2023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Chadson Engineering (Australia, filtración comercial)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 1,1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APAC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BAC pool systems (cubiertas, Alemania y Suiza)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(26,9 M) y 2,2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8,1 M; 11,1 M de ventas desde la compra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PoolTrackr (software para profesionales, 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Lanzado en EE. UU. y Australia; Europa en 2027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Aiper (robots limpiafondos), 27 %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(100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1S26 de unos 180 M USD (+21 %) y margen EBITDA del 6 %; opción de subir al 51 % aportando el negocio de robots [6,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Variopool (suelos y paredes móviles, Países Bajos)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en dos pagos (2026 y 2027)</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unos 25 M y EBITDA de 3,5 M en 2025; cerrada en marzo de 2026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Riaan Pool Group (Sudáfrica) y Hydrapro (tratamiento de agua, Francia)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10 M y 30 M de ventas; Riaan prevista en el 3T26 y Hydrapro a principios de 2027 [2].</w:t>
            </w:r>
          </w:p>
        </w:tc>
      </w:tr>
    </w:tbl>
    <w:p>
      <w:pPr>
        <w:spacing w:after="160" w:before="0"/>
      </w:pPr>
    </w:p>
    <w:p>
      <w:pPr>
        <w:spacing w:after="100"/>
      </w:pPr>
      <w:r>
        <w:t xml:space="preserve">La dirección compra pequeño y barato desde 2022: según el director financiero, las compras recientes se pagaron a 5-6,5 veces EBITDA, por debajo del múltiplo de Fluidra [7], y ninguna ha generado deterioros. La gran apuesta del ciclo, las compras de 2021 (436 M) y la recompra de 2021-2022 (146 M netos), se hicieron en el pico: en 2023 las ventas cayeron un 14 % y el BPA un 29 % [8]. La entrada en Aiper (85 M por el 27 %, con margen del 6 %) es una apuesta de crecimiento con rentabilidad aún baja y con un canje futuro del negocio propio de robots cuyo valor no se ha publicado [6, 7]. El dividendo (50 % del BPA ajustado) supone ya unos 124 M anuales, más de la mitad de la caja libre después de arrendamientos.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Eloy Planes Corts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generación de la familia Planes (Dispur), en el grupo desde 1994; consejero delegado desde 2006 y presidente ejecutivo desde 2016 [34]. Llevó la salida a bolsa de 2007, la fusión con Zodiac en 2018 y la entrada en el IBEX 35 en 2021 [34]. Su 0,20 % es directo; su familia aporta además el 25 % de ADBE Partners, que reúne el 28,35 % de los votos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Jaime Ramírez Alzate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el 1-jun-2024 en sustitución de Bruce Brooks y consejero desde mayo de 2025 [1, 34]. Viene de Stanley Black &amp; Decker, donde presidió el negocio global de herramientas y almacenamiento, de más de 10.000 M USD de ingresos; es consejero de Kimberly-Clark [34]. No declaraba acciones al cierre de 2025; tiene 195.734 acciones condicionadas del incentivo a largo plazo [34,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Graham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Fluidra y en su comité de dirección el 1-jun-2026 y es director financiero desde el 1-ago-2026, en sustitución de Xavier Tintoré (CFO desde 2010, que sigue apoyando la transición hasta fin de año) [39, 40]. Casi dos décadas en Johnson &amp; Johnson (tesorería, fusiones y finanzas globales) y después director financiero de FibroGen y de Perspective Therapeutics, cotizadas en EE. UU. [40]. Sin historial medible todavía en Fluidra.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Jonathan Viner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Norteamérica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2022 y dirige Norteamérica desde 2024 [1]. Antes fue presidente y consejero delegado de BioLab, la división de piscina de KIK Consumer Products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Jorge Maytorena Montaño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1-sep-2024 lleva compras, fabricación y calidad a escala global [1]. Viene de vicepresidente de operaciones globales de TE Connectivity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Keith McQueen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producto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Zodiac desde 1995 como director global de I+D; director de tecnología en 2021 y de producto desde 2024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anual de ventas, margen de EBITDA ajustado y BPA ajustado publicada en febrero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2.184 M€ (+3,9 %; +7 % a perímetro y tipo constantes), EBITDA ajustado de 501 M€ (22,9 %) en el extremo bajo del rango y BPA ajustado de 1,30 €, algo por debajo del rango por más amortización [1,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+3 % a +7 %, margen de EBITDA ajustado del 23,3 % al 24,3 % y BPA ajustado +4 % a +13 %, a tipo de cambio constante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Mantenida sin cambios con los resultados del primer trimestre y del semestre [3, 4]; ejercicio 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Medio plazo (Capital Markets Day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+6 % a +8 % anual, margen de EBITDA ajustado superior al 25 %, ROCE superior al 17 % y deuda en torno a 2 veces el EBITDA [1,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EBITDA ajustado del 22,9 % en 2025 [1]; el objetivo sigue vigente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cúpula combina continuidad familiar y gestión profesional: Eloy Planes, de una de las cuatro familias fundadoras, preside con funciones ejecutivas desde 2016 y lleva treinta años en el grupo, y Jaime Ramírez, fichado en Stanley Black &amp; Decker, es consejero delegado desde junio de 2024 tras Bruce Brooks, que sigue en el consejo como dominical [1, 34]. El director financiero ocupa el cargo desde 2018 [1]. La mitad del comité de dirección entró en su puesto en 2024 o después (operaciones, sistemas, producto y regiones), señal de renovación tras la llegada del nuevo consejero delegado [1]. La credibilidad de la guía es media: en 2025 cumplió en ventas, pero el EBITDA quedó en el extremo bajo del rango y el BPA algo por debajo, por los aranceles [6]; la de 2026 se mantiene [3]. No hay plan de sucesión del presidente publicado. El relevo del director financiero (Tintoré, 16 años en el cargo, sustituido por Juan Graham desde el 1-ago-2026) es una sucesión planificada y anunciada con dos meses de solapamiento [39]; el primer cierre que firma el nuevo CFO es el de los nueve meses (29-oct-2026).</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Eloy Planes Corts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Jaime Ramírez Alzate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Jorge Valentín Constans Fernández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Esther Berrozpe Galindo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 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Olatz Urroz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McDonald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Aedhmar Hynes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Borra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Manuel Vargas Gómez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(Rhône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 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Steven Langman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(Rhône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Bruce Walker Brooks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(propuesto por Aniol, familia fundadora)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Manuel Puig Rocha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(Schwarzsee 2018 y G3T)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Mercedes Grau Monjo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(Boyser, familia fundadora)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Maria del Carmen Gañet Cirera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(Edrem, familia fundadora)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14,00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ADBE Partners, S.L. (familias fundadoras Planes, Serra, Garrigós y Corbera)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Familias fundadoras sindicadas: 20,00 % directo y 8,35 % sindicado a su favor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4-dic-2025 las cuatro familias aportaron a ADBE acciones por el 20 % del capital y sindicaron en ella el voto de su 8,35 % directo; sin cambio económico relevante.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Rhône Capital (Piscine Luxembourg Holdings 1)</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capital privado; dos consejeros dominicales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declarados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Manuel Puig Rocha (Schwarzsee 2018) y G3T,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Inversores con pacto de 2023 y un consejero dominical: 8,85 % y 5,73 %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Manuel Puig (consejero dominical desde 2023) invirtió otros unos 14 M EUR en marzo de 2026 y supera el 9 % a través de Schwarzsee 2018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Wellington Management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el 8-abr-2025.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Fidelity International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1 % el 10-dic-2025.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(2.238.174 acciones)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ligadas al plan de acciones de empleados: 64.622 acciones en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Manuel Puig Rocha (consejero dominical; Schwarzsee 2018)</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presidente ejecutivo, Eloy Planes, devengó 3,32 M€ en 2025, 74 veces el coste medio por empleado (45.000 €): 0,66 M€ de fijo, 0,55 M€ de variable anual y 2,05 M€ en acciones del incentivo 2023-2025 [35]. El consejero delegado, Jaime Ramírez, devengó 1,97 M€, aún sin incentivo a largo plazo consolidado [35]. El variable anual de 2026 mide ventas (10 %), EBITDA ajustado, BPA ajustado y flujo de caja libre (25 % cada uno) y objetivos no financieros; el incentivo 2026-2028, en acciones, RTA relativo (45 %), EBITDA (45 %) y ESG (10 %), con malus y clawback [35]. </w:t>
      </w:r>
      <w:r>
        <w:rPr>
          <w:b/>
        </w:rPr>
        <w:t xml:space="preserve">La política de 2025 obtuvo solo un 73 % a favor</w:t>
      </w:r>
      <w:r>
        <w:t xml:space="preserve"> [35]; con el 40 % sindicado votando con el consejo, el apoyo del capital libre presente fue mucho menor. El informe de 2024 tuvo un 4,4 % en contra, un 8,5 % del capital libre presente (estimación propia: 6,97 millones de votos sobre 158,99 emitidos menos 76,89 del pacto) [35]; el de 2023, un 0,35 % [36].</w:t>
      </w:r>
    </w:p>
    <w:p>
      <w:pPr>
        <w:pStyle w:val="Heading2"/>
      </w:pPr>
      <w:r>
        <w:t xml:space="preserve">Operaciones vinculadas, estructura de control y defensas</w:t>
      </w:r>
    </w:p>
    <w:p>
      <w:pPr>
        <w:spacing w:after="100"/>
      </w:pPr>
      <w:r>
        <w:t xml:space="preserve">Ningún accionista tiene el control legal (el informe de gobierno lo niega) [34], pero </w:t>
      </w:r>
      <w:r>
        <w:rPr>
          <w:b/>
        </w:rPr>
        <w:t xml:space="preserve">las cuatro familias fundadoras y Rhône Capital deciden de hecho</w:t>
      </w:r>
      <w:r>
        <w:t xml:space="preserve">: ADBE Partners, propiedad al 25 % de las familias Planes (Dispur), Serra (Boyser), Garrigós (Aniol) y Corbera (Edrem), reúne el 28,35 % de los votos (20 % directo y 8,35 % sindicado desde el 4-dic-2025), y Rhône, el 11,67 % [34]. El pacto de accionistas firmado con Rhône el 3-nov-2017, vigente desde la fusión con Zodiac (2-jul-2018), cubre el 40,02 % del capital; Manuel Puig y G3T suman otro 14,58 % con su propio pacto de 2023 [34]. Rhône mantenía su 11,67 % según el último dato público [38]. Los firmantes tienen seis de los catorce consejeros, incluido el presidente ejecutivo, de la familia Planes [34]. Una acción, un voto; sin blindajes estatutarios ni operaciones vinculadas relevantes [34]. Flotante estimado: 39,6 % [34].</w:t>
      </w:r>
    </w:p>
    <w:p>
      <w:pPr>
        <w:pStyle w:val="Heading2"/>
      </w:pPr>
      <w:r>
        <w:t xml:space="preserve">Señales de alerta</w:t>
      </w:r>
    </w:p>
    <w:p>
      <w:pPr>
        <w:pStyle w:val="ListParagraph"/>
        <w:numPr>
          <w:ilvl w:val="0"/>
          <w:numId w:val="2"/>
        </w:numPr>
        <w:spacing w:after="60"/>
      </w:pPr>
      <w:r>
        <w:t xml:space="preserve">La política de remuneraciones de 2025 logró solo un 73 % de votos a favor en la junta, aunque el 40 % del capital sindicado vota con el consejo; los inversores criticaron la indemnización del presidente y el sueldo del consejero delegado, y la empresa no cambió la cláusula de cese [35].</w:t>
      </w:r>
    </w:p>
    <w:p>
      <w:pPr>
        <w:pStyle w:val="ListParagraph"/>
        <w:numPr>
          <w:ilvl w:val="0"/>
          <w:numId w:val="2"/>
        </w:numPr>
        <w:spacing w:after="60"/>
      </w:pPr>
      <w:r>
        <w:t xml:space="preserve">El presidente ejecutivo cobra dos anualidades de fijo y variable si se le cesa o hay cambio de control, más otras dos de fijo por no competencia: un coste que encarece una opa [34, 35].</w:t>
      </w:r>
    </w:p>
    <w:p>
      <w:pPr>
        <w:pStyle w:val="ListParagraph"/>
        <w:numPr>
          <w:ilvl w:val="0"/>
          <w:numId w:val="2"/>
        </w:numPr>
        <w:spacing w:after="60"/>
      </w:pPr>
      <w:r>
        <w:t xml:space="preserve">El auditor lleva diez ejercicios seguidos, cerca del límite de rotación; en la sociedad matriz los servicios ajenos a la auditoría equivalen al 100,9 % de los honorarios de auditoría [34].</w:t>
      </w:r>
    </w:p>
    <w:p>
      <w:pPr>
        <w:pStyle w:val="ListParagraph"/>
        <w:numPr>
          <w:ilvl w:val="0"/>
          <w:numId w:val="2"/>
        </w:numPr>
        <w:spacing w:after="60"/>
      </w:pPr>
      <w:r>
        <w:t xml:space="preserve">Posiciones cortas publicadas pequeñas, sin cambios a 19-oct-2026: AQR 0,50 % (20-ago-2026) y Connor, Clark &amp; Lunn 0,60 % (1-jul-2026) [37].</w:t>
      </w:r>
    </w:p>
    <w:p>
      <w:pPr>
        <w:pStyle w:val="ListParagraph"/>
        <w:numPr>
          <w:ilvl w:val="0"/>
          <w:numId w:val="2"/>
        </w:numPr>
        <w:spacing w:after="60"/>
      </w:pPr>
      <w:r>
        <w:t xml:space="preserve">Cambio de director financiero en 2026 (Xavier Tintoré, CFO desde 2010, sustituido por Juan Graham desde el 1-ago), planificado y con solapamiento [39].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30 de julio de 2026, con las cuentas del primer semestre, Fluidra mantuvo la guía del año a tipo de cambio constante: ventas entre +3 % y +7 %, margen EBITDA ajustado entre el 23,3 % y el 24,3 % y BPA ajustado entre +4 % y +13 % (sobre un tipo medio euro-dólar de 1,13 en 2025) [2, 3]. En el semestre las ventas crecieron un 4,9 % a tipo constante (1.258 M) y el EBITDA ajustado un 5,7 % (321 M, 25,5 % de margen) [3]. A medio plazo la compañía apunta a un crecimiento anual de ventas del 6-8 %, un margen EBITDA ajustado superior al 25 %, un ROCE por encima del 17 % y un apalancamiento en torno a 2 veces deuda neta/EBITDA; el plan de eficiencia busca 120 M de ahorros en cinco años, de los que lleva unos 15 M en el semestre [2,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19-oct-2026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19-oct-2026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19-oct-2026 [46]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19,00 – 31,00</w:t>
            </w:r>
          </w:p>
        </w:tc>
      </w:tr>
    </w:tbl>
    <w:p>
      <w:pPr>
        <w:spacing w:after="160" w:before="0"/>
      </w:pPr>
    </w:p>
    <w:p>
      <w:pPr>
        <w:pStyle w:val="Heading2"/>
      </w:pPr>
      <w:r>
        <w:t xml:space="preserve">Revisiones de estimaciones</w:t>
      </w:r>
    </w:p>
    <w:p>
      <w:pPr>
        <w:spacing w:after="100"/>
      </w:pPr>
      <w:r>
        <w:t xml:space="preserve">Las estimaciones completas vienen de un solo proveedor gratuito (MarketScreener) [46]. Frente al 8-oct, el consenso recorta un poco: BPA de 2026e de 0,98 a 0,97 EUR, de 2027e de 1,28 a 1,27 y de 2028e de 1,50 a 1,49; EBITDA ajustado de 2026e de 531,6 a 529,5 M; el precio objetivo medio pasa de 26,03 a 25,93 EUR (15 analistas, mínimo 19 y máximo 31) [46, 47]. El EBITDA del consenso es el ajustado de Fluidra (501 M en 2025, el publicado) y el BPA es el contable (0,92 EUR en 2025), no el ajustado de la compañía (1,30 EUR) [1, 46]. En octubre: Bestinver sube a comprar (7-oct), JP Morgan sube el objetivo a 28 EUR (15-oct) y Barclays, que ya estaba en mantener, lo baja de 20 a 19 EUR (19-oct), según la prensa financiera [77, 78, 79]. No hay serie gratuita de revisiones del BPA y del EBITDA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bl>
    <w:p>
      <w:pPr>
        <w:spacing w:after="160" w:before="0"/>
      </w:pPr>
    </w:p>
    <w:p>
      <w:pPr>
        <w:spacing w:after="100"/>
      </w:pPr>
      <w:r>
        <w:t xml:space="preserve">Fluidra pierde un 24,5 % en un año frente a una subida del 22 % del IBEX 35 y del 8,3 % del ETF sectorial europeo (EXH4), y cierra el 19 de octubre en 17,61 EUR, un 3,6 % por encima del mínimo de 52 semanas (16,91 EUR, 8-oct) y un 32 % por debajo del máximo de 26,22 EUR del 11 de febrero [42]. Las caídas vinieron de los resultados de 2025 (26-feb, −6,2 % en la sesión), del recorte de Citi (9-mar, −5,1 %), de un primer trimestre con el EBITDA ajustado por debajo de lo esperado y de la rebaja de Barclays a mantener en mayo [42, 91, 92]. La recompra de 40 M (2.071.424 acciones entre el 31-jul y el 17-sep) no frenó la caída [80]. Desde el mínimo del 8-oct la acción rebota un 4 %, con la entrada de Magallanes y la mejora de Bestinver [77, 88]. A diez años sube un 15,3 % anual gracias a la fusión con Zodiac y al ciclo de 2020-2021; la caída del 65,8 % entre octubre de 2021 y octubre de 2022 muestra su sensibilidad a la obra nueva en EE. UU. La beta de 1,10 es la del STOXX Europe 600 (frente al IBEX, 0,86). Posiciones cortas netas publicadas: 1,10 % del capital (AQR 0,50 % y Connor, Clark &amp; Lunn 0,60 %) [76].</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 / -2,6 % / -16,0 % / -25,0 %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-32,2 % / +3,6 %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(26-feb: −6,2 % en la sesión) con una guía de 2026 de +3 % a +7 % de ventas a tipo constante y el dólar restando unos dos puntos; el 9-mar Citi recortó su objetivo y la acción cayó otro 5,1 % [6, 42, 91]. El 19-mar cayó un 5,7 % en una sesión de caída general (IBEX −2,3 %)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trimestre con ventas planas en euros (+5,4 % a tipo constante) y EBITDA ajustado de 124 M (22,0 % de margen, frente al 23,2 % un año antes), con más opex y más reestructuración; después Barclays rebajó a mantener por los inventarios del canal en EE. UU. (de 30 a 20 EUR) [4, 5, 92]. Recogido en el informe: el bajista repite el desestocaje.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Barclays (mantener desde mayo) baja su objetivo de 20 a 19 EUR [79]. Es el objetivo más bajo de los 15 analistas (media 25,93 EUR) [47].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 Morgan sube su objetivo a 28 EUR; el 7-oct Bestinver subió a comprar [77, 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Magallanes Value Investors entra en el capital en su última rotación de carteras [88].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Leslie's, la mayor cadena de tiendas de piscina de EE. UU., prepara un concurso de acreedores (capítulo 11) que entregaría la empresa a sus acreedores [89]. Fluidra vende sobre todo a distribuidores y constructores; no publica su exposición a Leslie's.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recompra de 40 M: 2.071.424 acciones (1,08 % del capital) que se amortizarán antes de la próxima junta [80].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para comprar Hydrapro (tratamiento de agua, Francia, unos 30 M de ventas); antes, Riaan Pool (unos 10 M), Datapool (software de gestión de piscinas, mayo) y Variopool (diciembre de 2025): compras pequeñas pagadas a 5-6,5 veces EBITDA según la dirección [7, 95, 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Pentair se desploma tras recortar previsiones y arrastra a Fluidra; dos semanas después Fluidra mantuvo su guía y subió un 3 % con los resultados del semestre [2, 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Fluidra demanda a la china Wybotics por copiar sus robots limpiafondos [94]. Litigio ofensivo, sin cuantía relevante para la cuenta.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Relevo planificado del director financiero: Juan Graham sustituye a Xavier Tintoré (CFO desde 2010) desde el 1-ago-2026 [39,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Manuel Puig, consejero dominical, invierte otros unos 14 M y supera el 9 % del capital [41]. Compra de un consejero: no hay ventas de directivos publicadas en 12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los nueve meses de 2026, los primeros con el nuevo director financiero [90].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año (−25 % en 12 meses, tendencia bajista y un 13 % bajo la media de 200 sesiones) tiene causas conocidas y recogidas en el informe: guía de 2026 modesta con el dólar en contra, un primer trimestre flojo y el miedo a los inventarios del canal en EE. UU., avivado por Pentair y por la quiebra de Leslie's. No hay un hecho pendiente ajeno al análisis que pueda mover el precio más de un 5 % en contra (no hay colocación anunciada de Rhône, ampliación ni oferta); los resultados del 29-oct no aplazan la decisión (regla 11 de METODO-VIGENTE). Los insiders compran (Manuel Puig) y la empresa recompró.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acción ha pasado de 35,20 EUR al cierre de 2021 a 17,61 EUR [42]. Con el mismo criterio que el actual, Fluidra cotiza a 9,7 veces el EBITDA de los últimos 12 meses, frente a una media de 12,2 veces en los cinco últimos cierres (mínimo 9,0 y máximo 15,5), y a 20,2 veces el beneficio, frente a 26,7: en el percentil 20 de su historia, un 20 % por debajo de la media en EV/EBITDA y un 24 % en PER. No ha empeorado el margen (el reportado de 2025, 21,6 %, es el mejor desde 2021) sino el crecimiento: las ventas de 2025 (2.184 M) siguen por debajo de las de 2022 (2.389 M) porque la construcción de piscinas nuevas está en mínimos, y en 2026 el dólar débil resta otros dos puntos al crecimiento publicado [3]. No hay múltiplos históricos de los próximos 12 meses gratuitos.</w:t>
      </w:r>
    </w:p>
    <w:p>
      <w:pPr>
        <w:pStyle w:val="Heading1"/>
      </w:pPr>
      <w:r>
        <w:t xml:space="preserve">18. Comparables cotizados</w:t>
      </w:r>
    </w:p>
    <w:p>
      <w:pPr>
        <w:pStyle w:val="Confianza"/>
        <w:spacing w:after="100"/>
      </w:pPr>
      <w:r>
        <w:t xml:space="preserve">Confianza: Media</w:t>
      </w:r>
    </w:p>
    <w:p>
      <w:pPr>
        <w:spacing w:after="100"/>
      </w:pPr>
      <w:r>
        <w:t xml:space="preserve">Dos rivales directos de piscina (Hayward, el más parecido por producto y margen, y Pool Corp, el mayor distribuidor del sector y principal cliente del canal en EE. UU.), Pentair (piscina es su segmento más rentable, junto a tratamiento de agua y flujo) y cinco fabricantes de equipos de agua y fontanería con exposición a reforma y vivienda: A. O. Smith, Watts, Zurn Elkay, Geberit y Aalberts. Pool Corp es distribuidor (margen EBITDA del 12 %), así que su EV/ventas no es comparable. Maytronics, el especialista israelí en limpiafondos, se excluye: tuvo pérdidas en 2025 y no tiene consenso. Xylem es demasiado grande y municipal. Cifras de MarketScreener del 8-oct-2026 (acciones, deuda neta de cierre de 2025 y consenso) llevadas al cierre del 19-oct (16-oct en EE. UU., última sesión completa) con la variación de cada cotización en Yahoo [42] y convertidas al euro con el BCE del mismo día (1,1253 USD y 0,9261 CHF por euro) [52]; ROIC y flujo libre de los últimos 12 meses, de Stock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Fluidra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Pool Corp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Hayward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Pentair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O. Smith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Watts Water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Zurn Elkay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Geberit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Aalberts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 / 10,1x / 15,3x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 / 10,5x / 17,5x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 / 15,5x / 26,6x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 / 2,5x / 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9,4 + 0,47 × crecimiento; R² = 0,11. El crecimiento explica poco los múltiplos de estos comparables (R² &lt; 0,3): la regresión no se usa en la valoración.</w:t>
      </w:r>
    </w:p>
    <w:p>
      <w:pPr>
        <w:spacing w:after="100"/>
      </w:pPr>
      <w:r>
        <w:t xml:space="preserve">Los tres comparables de piscina cotizan a 8,8-10,7 veces el EBITDA de los próximos 12 meses y Hayward y Pool, a 14,3-15,0 veces el beneficio [56, 57, 58]; Pool sube un 9 % desde el 8-oct y Pentair, a 8,8 veces, parece llevar en su consenso de 2027 una compra aún no pagada [58]. Los fabricantes de agua de mayor calidad (Geberit, Watts, Zurn) cotizan a 14,7-18,5 veces con ROIC del 15-27 % y casi sin deuda; Aalberts y A. O. Smith, a 8,2-9,5 veces [59, 60, 61, 62, 63]. Fluidra cotiza a 8,6 veces el EBITDA de los próximos 12 meses y a 14,6 veces el beneficio: en el extremo bajo de la muestra y por debajo de Hayward, con un margen EBITDA ajustado del 22,9 % en 2025 [1] frente al 26,7 % de Hayward. El descuento lo explican un ROIC del 8,3 % (lastrado por el fondo de comercio de Zodiac, el 47 % del capital invertido), una deuda neta ajustada de 2,6 veces el EBITDA y un crecimiento esperado algo menor. La regresión entre múltiplo y crecimiento no explica nada (R² de 0,11) y no se usa. Con la mediana de la muestra (10,1 veces el EBITDA y 15,5 veces el beneficio de los próximos 12 meses) salen 21,72 y 18,76 EUR por acción; su media, 20,24 EUR, es la que entra en la síntesis.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Evoqua Water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Xylem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acciones; valor empresa de 7.500 M USD sobre ventas de 1.740 M y EBITDA ajustado de 298 M del ejercicio fiscal 2022 (septiembre) [70, 71]; convertido al euro con el BCE del día del anuncio, como las demás [75]. Tratamiento de agua industrial con servicios recurrentes: múltiplo de techo del sector.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Manitowoc Ice (de Welbilt)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Pentair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1.600 M USD sobre ventas de 308 M y EBITDA de 92 M de 2021 (margen del 30 %); neto de 220 M de ventajas fiscales, 1.380 M USD y 15,0 veces [72]. Equipos de agua para hostelería, no piscina.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Elkay Manufacturing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Zurn Water Solutions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en acciones (hasta 52,5 M de acciones de Zurn), 1.560 M USD al cierre del 11-feb-2022: 14,2 veces el EBITDA ajustado previsto para 2022 y 9,8 veces con las sinergias [73]. Múltiplo sobre beneficio futuro, no histórico.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Aiper (27 %)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Fluidra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M USD por el 27 % (25 M USD eran un préstamo previo convertido), lo que valora el 100 % de los fondos propios en unos 370 M USD; participación minoritaria con opción de llegar a la mayoría si Aiper cumple objetivos de volumen y rentabilidad. Sin ventas ni EBITDA publicados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ChlorKing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Cloradores salinos y desinfección UV para piscina comercial; precio no publicado [74].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17,4x (15,8x – 21,3x)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32,48 – 45,87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tres operaciones con múltiplo publicado pagaron entre 14 y 25 veces el EBITDA, el doble que las 7,6 veces de los próximos 12 meses a las que cotiza Fluidra, pero son activos de agua de mayor margen o crecimiento (Evoqua, Manitowoc Ice) o se midieron sobre EBITDA previsto con sinergias (Elkay) [70, 71, 72, 73]; en piscina las compras recientes (ChlorKing, Aiper, Hydrapro, Riaan) son pequeñas y sin precio publicado [1, 2, 74]. El valor de control del sector parece estar entre 12 y 15 veces el EBITDA. Fluidra es candidata poco probable a una OPA: las familias fundadoras, sus sociedades y Rhône Capital suman más de la mitad del capital y el flotante es del 40,8 % y su valor empresa de unos 4.400 M EUR solo está al alcance de un comprador grande de agua o de capital privado [38].</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(+3,5 %, fijo) sigue la guía de ventas del +3 % al +7 % a tipo constante menos unos dos puntos de divisa: en el semestre las ventas crecieron un 2,6 % publicado y un 4,9 % a tipo constante [2, 3]; el consenso espera 2.266 M (+3,8 %) [46]. 2027e-2029e (+4,5 % a +5,0 %) quedan por debajo del objetivo a medio plazo de la empresa (+6 % a +8 % anual [3]) y en línea con el mercado (+4-6 % según Fluidra y +4,6-4,7 % según dos estudios [1, 32, 33]): el mantenimiento y la reposición, el 65 % de las ventas, crecen a un dígito medio y la obra nueva, en mínimos (169.000 piscinas en los cinco primeros países en 2025, un 21 % por debajo de su media), solo tiene que dejar de caer [3]. Después converge al 3,0 % en 2033e. Las ventas proyectadas quedan un 1,0 % por debajo del consenso en 2027e y 2028e.</w:t>
      </w:r>
    </w:p>
    <w:p>
      <w:pPr>
        <w:keepNext/>
        <w:spacing w:after="100"/>
      </w:pPr>
      <w:r>
        <w:rPr>
          <w:b/>
          <w:bCs/>
        </w:rPr>
        <w:t xml:space="preserve">Márgenes.</w:t>
      </w:r>
    </w:p>
    <w:p>
      <w:pPr>
        <w:spacing w:after="100"/>
      </w:pPr>
      <w:r>
        <w:t xml:space="preserve">Proyectamos el EBITDA reportado, no el ajustado: la reestructuración y la remuneración en acciones se repiten todos los años (56 M en 2024, 29 M en 2025 y 50-55 M previstos en 2026 [1, 7]). El margen pasa del 21,6 % de 2025 al 21,2 % en 2026e (margen ajustado en la parte baja-media de la guía, 23,3-24,3 %, menos unos 52 M de costes [7]) y sube al 23,5 % en 2030e: equivale a un margen ajustado de unos 24,5 %, por debajo del objetivo de más del 25 % de la empresa [3] y con un punto de costes recurrentes descontado. El precedente es 2021, con un 23,1 % reportado. El plan de eficiencia de 120 M en cinco años (15 M en el semestre) y la recuperación del volumen sostienen la subida; los robots chinos y los aranceles la frenan [2, 6]. El EBITDA proyectado coincide con el del consenso (diferencias inferiores al 1 %).</w:t>
      </w:r>
    </w:p>
    <w:p>
      <w:pPr>
        <w:keepNext/>
        <w:spacing w:after="100"/>
      </w:pPr>
      <w:r>
        <w:rPr>
          <w:b/>
          <w:bCs/>
        </w:rPr>
        <w:t xml:space="preserve">Inversión y circulante.</w:t>
      </w:r>
    </w:p>
    <w:p>
      <w:pPr>
        <w:spacing w:after="100"/>
      </w:pPr>
      <w:r>
        <w:t xml:space="preserve">Capex del 5,5 % de las ventas: el 3,3 % del inmovilizado de 2021-2025 más el 2,2 % de los pagos por arrendamientos (48,6 M en 2025), porque los arrendamientos están en la deuda y el EBITDA no lleva alquileres [1]. La amortización baja del 7,4 % al 5,4 % porque la de la asignación del precio de Zodiac (57 M en 2025) se agota; en 2033e queda por debajo del capex. El circulante comercial se fija en el 21,5 % de las ventas, el nivel de 2025 (21,7 %) y por debajo de la media de 2021-2025 (23,7 %): la empresa ha reducido existencias y alargado pagos, y la caída de 2022 (28,3 %) fue el desestocaje del canal. Tipo impositivo normalizado del 25,5 % (26,3 % en 2025).</w:t>
      </w:r>
    </w:p>
    <w:p>
      <w:pPr>
        <w:keepNext/>
        <w:spacing w:after="100"/>
      </w:pPr>
      <w:r>
        <w:rPr>
          <w:b/>
          <w:bCs/>
        </w:rPr>
        <w:t xml:space="preserve">Coste del capital.</w:t>
      </w:r>
    </w:p>
    <w:p>
      <w:pPr>
        <w:spacing w:after="100"/>
      </w:pPr>
      <w:r>
        <w:t xml:space="preserve">Tasa libre: Bund a 10 años del 3,49 % el 19-oct-2026 [44]. Beta de 1,10, la de Fluidra frente al STOXX Europe 600 (mensual, cinco años): frente al IBEX 35 sale 0,86, porque el índice español pesa mucho en bancos y eléctricas y Fluidra vende sobre todo fuera de España (Norteamérica es el 43,9 % de las ventas [1]); la de Pool Corp y Hayward desapalancada y reapalancada con la deuda de Fluidra da 1,17 [42]. Prima de mercado del 5,5 % y sin prima adicional: el 83 % de las ventas está en Norteamérica y Europa [1]. Coste de la deuda del 5,7 % antes de impuestos (préstamo sindicado a Euribor + 225 pb y SOFR + 200 pb; Moody's Ba2 con perspectiva positiva [1, 11]; la revolving de 450 M se extendió a enero de 2029 [7]) y peso de la deuda del 26 % a valor de mercado. WACC del 8,16 %; con la prima implícita del mercado (4,20 % [45]), 7,11 %.</w:t>
      </w:r>
    </w:p>
    <w:p>
      <w:pPr>
        <w:keepNext/>
        <w:spacing w:after="100"/>
      </w:pPr>
      <w:r>
        <w:rPr>
          <w:b/>
          <w:bCs/>
        </w:rPr>
        <w:t xml:space="preserve">Valor terminal.</w:t>
      </w:r>
    </w:p>
    <w:p>
      <w:pPr>
        <w:spacing w:after="100"/>
      </w:pPr>
      <w:r>
        <w:t xml:space="preserve">Crecimiento a perpetuidad del 2,25 %: inflación del euro cerca del 2 % y un crecimiento real pequeño, por debajo de la tasa libre menos medio punto (2,99 %). El mercado de piscinas crece por encima de la economía por la base instalada (unos 20 millones de piscinas enterradas residenciales [1]) y por la reposición de equipos con más tecnología, pero el ROIC del 8,3 % apenas supera el WACC, así que crecer más no añade casi valor. El múltiplo de salida implícito (9,4 veces el EBITDA) queda por debajo de la mediana de los comparables (10,1 veces) y cerca del múltiplo de contraste (9,5 veces). No usamos la etapa de transición: el ROIC no supera al WACC en más de 5 puntos.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M (-0 %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(reinvierte el 51 %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 frente al 4,1 %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En parte: el crecimiento proyectado (4,1 %) supera con holgura el histórico de ingresos (0,0 %)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 (hoy: 13,0 %)</w:t>
            </w:r>
          </w:p>
        </w:tc>
      </w:tr>
    </w:tbl>
    <w:p>
      <w:pPr>
        <w:spacing w:after="160" w:before="0"/>
      </w:pPr>
    </w:p>
    <w:p>
      <w:pPr>
        <w:spacing w:after="100"/>
      </w:pPr>
      <w:r>
        <w:t xml:space="preserve">La proyección apenas necesita inversión neta de la amortización (reinversión acumulada de -3 M, con un capex bruto medio del 5,5 % de las ventas). En un negocio de activos ligeros, el crecimiento medio del 4,1 % tiene que salir de subir precios y de ganar volumen sin capital nuevo, y la prueba es el poder de precios y la cuota (11,7 % del mercado en 2033e, frente al 13,0 %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publicado en el semestre: volumen +2 % y precio +3 % en el 1S26, y precio +2 % y volumen +3 % en el 2T26; la guía es del +3 % al +7 % a tipo constante y la divisa resta unos dos puntos (4,9 % a tipo constante frente a 2,6 % publicado) [2, 3,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reposición y mantenimiento (65 % de las ventas) sobre una base instalada que crece; la obra nueva solo deja de caer. Precio del 2 %, por debajo del 3 % del 1S26, por la fatiga de precios tras las subidas de la pospandemia [1, 3, 7]. Reparto propio.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Algo de recuperación de la obra nueva desde mínimos y subidas de precio ordinarias; el consenso da +4,9 % [46]. Reparto propio.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línea con el mercado: +4-6 % según Fluidra y +4,6-4,7 % según dos estudios [3, 32, 33]. Reparto propio.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Empieza la convergencia hacia el 3 % de 2033e: menos volumen, precio en línea con la inflación y el cambio a equipos de más valor (bombas de velocidad variable, automatización) [1]. Reparto propio.</w:t>
            </w:r>
          </w:p>
        </w:tc>
      </w:tr>
    </w:tbl>
    <w:p>
      <w:pPr>
        <w:spacing w:after="160" w:before="0"/>
      </w:pPr>
    </w:p>
    <w:p>
      <w:pPr>
        <w:spacing w:after="100"/>
      </w:pPr>
      <w:r>
        <w:t xml:space="preserve">Sí: la proyección (4,1 % anual en 2026e-2033e) pide menos que el mercado (4-6 % según Fluidra y 4,6-4,7 % según dos estudios [3, 32, 33]) y menos que el objetivo de la empresa (6-8 % [3]); la cuota baja del 12,6 % al 11,7 % en 2033e (mercado final de 25.700 M = 17.400 M de 2025 al 5 % anual [1]). El poder de precios está demostrado (+5 % en Norteamérica en 2025, +3 % en el 1S26 [3, 6]) y suponemos solo un 2 %. La reinversión neta sale casi nula porque la amortización incluye 57 M de intangibles de Zodiac, que no hay que reponer; el capex bruto (5,5 % con arrendamientos) mantiene el de 2021-2025. El ciclo (−14 % en 2023) va en el bajista. El histórico plano que mide el motor (0,0 % anual en 2021-2025) arranca en el pico pospandemia; desde 2020 los ingresos crecieron un 9 % anual hasta 2024 [12].</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(base: 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 (base: 23,5 %)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 (WACC: 8,2 %)</w:t>
            </w:r>
          </w:p>
        </w:tc>
      </w:tr>
    </w:tbl>
    <w:p>
      <w:pPr>
        <w:spacing w:after="160" w:before="0"/>
      </w:pPr>
    </w:p>
    <w:p>
      <w:pPr>
        <w:spacing w:after="100"/>
      </w:pPr>
      <w:r>
        <w:t xml:space="preserve">El DCF da 23,85 EUR por acción, un 35,4 % por encima del precio, con un WACC del 8,16 % y un 67 % del valor en el valor terminal; con WACC y crecimiento ± 0,5 puntos, entre 20,14 y 29,06 EUR. La proyección coincide con el consenso (EBITDA a menos del 1 % en 2026e-2028e): la diferencia con el precio no viene de las cifras sino de lo que el mercado no se cree. El DCF inverso lo dice con claridad: a 17,61 EUR el precio descuenta que las ventas caigan un 1,4 % al año entre 2027e y 2033e con nuestros márgenes, o que el margen EBITDA se quede en el 19,9 % con nuestro crecimiento: el nivel de los años del desestocaje (19,2-20,0 % en 2022-2024), frente al 21,6 % de 2025. Con nuestras cifras, la acción rinde un 9,7 % anual, frente al 8,2 % de nuestro WACC y al 7,1 % que hoy pide el mercado. Es un precio de valle del ciclo: exige que la obra nueva no vuelva y que los robots chinos y los aranceles se coman la mejora de márgenes. La tabla de sensibilidad marca el límite: con un WACC del 9,2 % y un crecimiento terminal del 1,3 % el DCF da 17,36 EUR, ya algo por debajo del precio. Frente al 8-oct el valor apenas cambia (23,80 entonces): el Bund baja 8 puntos básicos y el precio sube un 3,6 %.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obra nueva en EE. UU. vuelve a caer y Pool Corporation y el resto del canal reducen inventarios en 2027, como en 2023: ventas −5,5 % ese año y margen EBITDA reportado del 19-21 %. Los robots chinos y los aranceles impiden recuperar margen hasta 2029.</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reposición y el mantenimiento crecen con la base instalada, la obra nueva deja de caer y el plan de eficiencia lleva el margen reportado del 21,2 % de 2026e al 23,5 % en 2030e. Ventas de unos 2.480 M en 2028e, en línea con el consenso.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Bajan los tipos hipotecarios en EE. UU. y la obra nueva vuelve hacia su media; Fluidra crece 1,5 puntos más al año y llega al margen ajustado de más del 25 % que se ha marcado.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17,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21,99 EUR (+24,9 %).</w:t>
      </w:r>
    </w:p>
    <w:p>
      <w:pPr>
        <w:spacing w:after="100"/>
      </w:pPr>
      <w:r>
        <w:t xml:space="preserve">La asimetría es favorable: el alcista gana un 63,1 % y el bajista pierde un 18,2 %, con un valor ponderado de los tres escenarios de 21,99 EUR. El bajista pesa un 30 % (más que el alcista) porque ya ocurrió en 2023, cuando las ventas cayeron un 14 % y el margen reportado bajó al 19,2 %, y porque los robots chinos, los aranceles y ahora la quiebra de Leslie’s, la mayor cadena de tiendas de piscina de EE. UU. [89], son presiones reales. Aun así, en el bajista el valor (14,40 EUR) queda un 18 % por debajo del precio: el mercado ya descuenta buena parte de ese camino. El alcista no exige un nuevo auge como el de 2021, solo que la obra nueva en EE. UU. vuelva hacia su media y que el plan de eficiencia llegue al margen ajustado del 25 % que la empresa se ha marcado.</w:t>
      </w:r>
    </w:p>
    <w:p>
      <w:pPr>
        <w:pStyle w:val="Heading1"/>
      </w:pPr>
      <w:r>
        <w:t xml:space="preserve">22. Suma de partes</w:t>
      </w:r>
    </w:p>
    <w:p>
      <w:pPr>
        <w:pStyle w:val="Confianza"/>
        <w:spacing w:after="100"/>
      </w:pPr>
      <w:r>
        <w:t xml:space="preserve">Confianza: Media</w:t>
      </w:r>
    </w:p>
    <w:p>
      <w:pPr>
        <w:spacing w:after="100"/>
      </w:pPr>
      <w:r>
        <w:t xml:space="preserve">No aplica: Fluidra es un solo negocio de equipos de piscina (el 98 % de las ventas en 2025 [1]) con tres regiones que comparten producto, marcas y cadena de suministro. Aiper (27 %) se suma en el puente a valor contable.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17,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22,48 EUR (+27,7 % sobre 17,61).</w:t>
      </w:r>
    </w:p>
    <w:p>
      <w:pPr>
        <w:spacing w:after="100"/>
      </w:pPr>
      <w:r>
        <w:t xml:space="preserve">El DCF pesa un 50 % porque el negocio es estable fuera del ciclo de la obra nueva (el 65 % de las ventas es reposición) y sus supuestos coinciden con el consenso. Los comparables pesan un 25 %: la media de las medianas da 20,24 EUR, pero la muestra mezcla piscina con fabricantes de agua de mayor ROIC, y Fluidra tiene más deuda y un ROIC del 8,3 %. Los escenarios pesan otro 25 % para recoger la ciclicidad. Las transacciones no se usan: las tres con múltiplo publicado son de agua, no de piscina, e incluyen prima de control (darían 36,37 EUR). Todos los métodos salvo el bajista quedan por encima del precio, de 20,24 EUR (comparables) a 23,85 EUR (DCF), y la prima implícita del mercado eleva el DCF a 30,38 EUR. El valor objetivo es de 22,48 EUR, un 27,7 % por encima del precio. En el puente restamos la recompra de 40 M y el primer tramo del dividendo (62 M), pagados después del balance de junio, y sumamos Aiper a valor contable (86 M). El objetivo a 12 meses de la regla común (21,32 EUR ponderado, 22,01 EUR el base) queda un 5 % por debajo del valor intrínseco y un 15 % por debajo del objetivo medio de los analistas (25,93 EUR): la distancia con estos viene del múltiplo (la regla limita el base a 1,1 veces el PER actual, 16,8 veces), no del BPA, que está a un 12 % del consenso en 2028e.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(15.3x) × 1.1 (tope: la mediana de 5 años, 24.2x,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+90,6 %</w:t>
            </w:r>
          </w:p>
        </w:tc>
      </w:tr>
    </w:tbl>
    <w:p>
      <w:pPr>
        <w:spacing w:after="160" w:before="0"/>
      </w:pPr>
    </w:p>
    <w:p>
      <w:pPr>
        <w:spacing w:after="100"/>
      </w:pPr>
      <w:r>
        <w:rPr>
          <w:b/>
          <w:bCs/>
        </w:rPr>
        <w:t xml:space="preserve">Objetivo a 12 meses (ponderado):</w:t>
      </w:r>
      <w:r>
        <w:t xml:space="preserve"> 21,32 EUR · rentabilidad +24,7 % (base +28,7 %) · señal Comprar.</w:t>
      </w:r>
    </w:p>
    <w:p>
      <w:pPr>
        <w:spacing w:after="100"/>
      </w:pPr>
      <w:r>
        <w:t xml:space="preserve">Para comparar, con la regla v2 (historia al cierre, mismo precio): 13,0x / 15,3x / 19,9x, 13,7 % Mantener; con el tope anterior del base (×1,3, 14-oct mediodía): 39,1 %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base de 2028e (1,31 EUR) queda un 12 % por debajo del consenso (1,49 EUR) y nuestro precio base (22,01 EUR) un 15,1 % por debajo del objetivo medio de los analistas (25,93 EUR) [46, 47]. Las ventas casi coinciden (2.480 frente a 2.505 M, −1 %); la diferencia está en el margen: el consenso pone un EBIT de 453,8 M (18,1 % de las ventas) y nosotros 397 M (16,0 %), porque proyectamos el EBITDA reportado con la reestructuración recurrente y la amortización de la compra de Zodiac, que el consenso trata como no recurrentes. No lo acercamos: los costes se repiten cada año desde 2023. El resto de la distancia es el múltiplo: la regla limita el base a 16,8 veces.</w:t>
      </w:r>
    </w:p>
    <w:p>
      <w:pPr>
        <w:keepNext/>
        <w:spacing w:after="100"/>
      </w:pPr>
      <w:r>
        <w:rPr>
          <w:b/>
          <w:bCs/>
        </w:rPr>
        <w:t xml:space="preserve">Del valor intrínseco al objetivo a 12 meses.</w:t>
      </w:r>
    </w:p>
    <w:p>
      <w:pPr>
        <w:spacing w:after="100"/>
      </w:pPr>
      <w:r>
        <w:t xml:space="preserve">Valor intrínseco de 22,48 EUR (+27,7 %) frente a un objetivo a 12 meses ponderado de 21,32 EUR (+24,7 % con el dividendo; base +28,7 %): la distancia es del 5 %, menor del 25 %, así que la tesis cabe en 12 meses. El cierre depende de que el mercado deje de descontar el valle: unos resultados de nueve meses (29-oct) y una guía de 2027 (febrero) que confirmen el crecimiento del volumen en Norteamérica.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primeros meses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(margen ajustado en la parte baja-media del 23,3-24,3 %) y lectura del volumen en Norteamérica, que solo creció un 1 % en el semestre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a 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tercer trimestre de Pentair y Pool Corporation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del canal en EE. UU. antes de los resultados de Fluidra; en julio el recorte de Pentair arrastró a Fluidra [93]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ex del segundo tramo del dividendo con cargo a 2025 [90]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3,8 %; la política reparte en torno al 50 % del beneficio ajustado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menos costes de reestructuración y más ahorro del plan de 120 M; el consenso espera un EBITDA ajustado de 579 M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trimestre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Hydrapro (unos 30 M de ventas)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Refuerza el tratamiento de agua en Francia; pequeño en cifras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Fase II de Aiper: aportación del negocio de robots a cambio del 51 %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Fluidra pasaría a consolidar Aiper y a distribuir robots con margen de distribuidor; cambia el perímetro y el riesgo de los robots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Primavera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Temporada de piscinas en EE. UU. y permisos de obra nueva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bajada de los tipos hipotecarios que reactive la obra nueva es el motor del escenario alcista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obra nueva en EE. UU. no se recupera y el canal vuelve a desestocarse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(escenario bajista: 14,40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65 % de las ventas es reposición; la base instalada crece cada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Norteamérica negativo dos trimestres seguidos o permisos de piscinas en EE. UU. por debajo de 55.000 al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Robots limpiafondos chinos baratos presionan precio y margen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por cada punto de margen EBITDA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robots son un 6 % de las ventas y la participación en Aiper da exposición al ganador del segmento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55 % o caída de ventas de robots de Fluidra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productos fabricados fuera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a −15 % (uno a dos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la empresa compensó los aranceles en valor absoluto con subidas de precio, aunque perdió margen porcentual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por encima del 25 % o recorte de la guía por aranceles, como en julio de 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reestructuración se vuelve permanente y el margen ajustado no llega al reportado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por cada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programa de simplificación anterior (2023-2025) cumplió sus 100 M de ahorro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reestructuración por encima de 40 M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un cliente: un distribuidor de EE. UU. (Pool Corp) supone el 21 %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−20 % si el cliente desestoca o traslada compras a Hayward o a su marca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peso de Zodiac en las compras de Pool subió del 9 % en 2020 al 12 % en 2025; premio de proveedor del año cinco años seguidos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peso de Fluidra en el 10-K de Pool o del margen bruto de Pool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Quiebra de Leslie's y deterioro del canal minorista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−4 % (estimación propia: pérdida de una parte pequeña de las ventas de Norteamérica y algún saldo a cobrar)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Fluidra vende sobre todo a distribuidores (Pool Corporation, el 21 %) y a constructores; Leslie's vende sobre todo productos químicos [1, 89]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Provisiones por insolvencias o mención a Leslie's en los resultados del 29-oct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cada 10 % de depreciación del dólar (estimación propia: el 44 % de las ventas está en Norteamérica y la deuda amplifica el efecto en el valor de las acciones)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la deuda está en dólares (tramo de 750 M USD del préstamo sindicado), lo que cubre parcialmente el balance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1,25 dólares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control de hecho de las familias fundadoras y Rhône, con un presidente ejecutivo de una de ellas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limita la posibilidad de una OPA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Seis consejeros independientes y consejero coordinador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en contra de la remuneración por encima del 25 % u operaciones con partes vinculadas</w:t>
            </w:r>
          </w:p>
        </w:tc>
      </w:tr>
    </w:tbl>
    <w:p>
      <w:pPr>
        <w:spacing w:after="160" w:before="0"/>
      </w:pPr>
    </w:p>
    <w:p>
      <w:pPr>
        <w:pStyle w:val="Heading2"/>
      </w:pPr>
      <w:r>
        <w:t xml:space="preserve">Pre-mortem</w:t>
      </w:r>
    </w:p>
    <w:p>
      <w:pPr>
        <w:spacing w:after="100"/>
      </w:pPr>
      <w:r>
        <w:t xml:space="preserve">Es octubre de 2029 y Fluidra cotiza a 10 EUR. La historia empezó en la primavera de 2027: los tipos hipotecarios de EE. UU. no bajaron y la obra nueva cayó por debajo de 50.000 piscinas, el nivel más bajo desde 2010. Pool Corp, con su margen también presionado, redujo existencias en el segundo semestre y Fluidra vendió un 8 % menos en Norteamérica. A la vez, los robots chinos baratos llegaron al canal profesional y el precio medio del robot cayó un 20 %; la fase II de Aiper se retrasó porque la empresa no llegó al 15 % de margen. Los aranceles se mantuvieron y la empresa ya no pudo subir precios. El margen EBITDA reportado volvió al 19 %, la deuda neta subió a 3 veces el EBITDA y la dirección recortó el dividendo para no superar el objetivo de apalancamiento. El mercado dejó de ver la reposición como un colchón y pagó 7 veces el EBITDA, como en 2022. Las señales que lo habrían anticipado: el volumen de Norteamérica en negativo dos trimestres seguidos, el margen bruto por debajo del 55 % y los costes de reestructuración que no bajaban de 40 M al año.</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 (estimación propia: los robots limpiafondos, el 6 % de las ventas, son la parte expuesta; equivale a algo menos de medio punto de margen EBITDA)</w:t>
      </w:r>
    </w:p>
    <w:p>
      <w:pPr>
        <w:spacing w:after="100"/>
      </w:pPr>
      <w:r>
        <w:t xml:space="preserve">Fluidra vende equipos físicos (bombas, filtros, calentadores, cloradores, robots) instalados por profesionales: la IA no sustituye el producto. Toca dos partes. Los robots limpiafondos (el 6 % de las ventas), donde la navegación con visión e IA de fabricantes chinos como Aiper, Beatbot o Wybotics abarata la innovación y presiona precios; Fluidra responde con su 27 % de Aiper y con demandas por patentes [1, 94]. Y el software conectado (iAquaLink y Datapool, comprado en mayo de 2026 para gestionar piscinas comerciales con datos), donde la IA puede subir la venta de servicios y la reposición predictiva [96]. En costes, el centro de servicios de Pune y el plan de eficiencia de 120 M pueden apoyarse en automatización. Señal a vigilar: la caída del precio medio de los robots o del margen bruto por debajo del 55 %.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 (AA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23,6 (22,9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77/100 (72 en 2024); en el Sustainability Yearbook 2026</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(B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 Agua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 (C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El asunto que más mueve las cifras es la eficiencia energética del producto: el 83 % de la huella de carbono del grupo está en el uso de los productos vendidos (alcance 3, categoría 11), y la regulación y la demanda empujan hacia bombas de velocidad variable, bombas de calor y automatización, que suben el precio medio [1, 19]. En sus propias operaciones Fluidra ha reducido un 70 % las emisiones netas de alcance 1 y 2 frente a 2021 (base de 20.981 t CO2e) y se ha fijado la neutralidad en 2027 [1]. El segundo es el agua: las sequías y las restricciones de uso frenan la construcción y el llenado de piscinas [1, 13]. El tercero es la seguridad del producto (química, ahogamientos), que vigilan los reguladores de consumo [1].</w:t>
      </w:r>
    </w:p>
    <w:p>
      <w:pPr>
        <w:pStyle w:val="Heading2"/>
      </w:pPr>
      <w:r>
        <w:t xml:space="preserve">Controversias</w:t>
      </w:r>
    </w:p>
    <w:p>
      <w:pPr>
        <w:spacing w:after="100"/>
      </w:pPr>
      <w:r>
        <w:t xml:space="preserve">En 2025 Fluidra gestionó en EE. UU., a través de la CPSC, la retirada de unas 10.000 unidades de un reactivo de fosfatos sin envase a prueba de niños; en 2024 retiró 20.450 unidades en dos campañas, en ambos casos sin pérdidas por litigios [1]. Mantiene filiales en Rusia (AO Astral SNG) y la Universidad de Yale la incluyó en 2022 entre las empresas que seguían operando allí [1, 25]. No hemos encontrado sanciones ni litigios significativos en los últimos tres años en sus cuentas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dejarán los costes de reestructuración de ser recurrentes y cuánto se espera en 2027 y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mueve el valor un 7 %, y en 2024-2026 fueron de 29 a 56 M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Robots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 hoy el negocio de robots propio y qué valor se le dará en la fase II de Aiper?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6 % de las ventas, está bajo presión china y se aportará a Aiper a cambio del 51 % sin precio publicado.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Canal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semanas de existencias tiene el canal en Norteamérica frente a 2019 y cuánto pesa Pool Corp en el volumen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21 % de las ventas va a un solo distribuidor y el desestocaje de 2022-2023 hundió las ventas un 14 %.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 que se vende en EE. UU. se fabrica fuera y qué arancel efectivo paga hoy?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julio de 2025 los aranceles obligaron a recortar la guía y la acción cayó un 6,5 % ese día.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una recompra de solo 40 M si la acción cotiza a 8,6 veces el EBITDA y la empresa cree que vale mucho más?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rendimiento del flujo libre del 8,0 %, recomprar crea más valor que comprar empresas pequeñas a 5-6,5 veces EBITDA con riesgo de integración.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Leslie's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y qué saldo a cobrar tiene Fluidra con Leslie's, y qué espera del concurso de acreedores?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cadena de tiendas de piscina de EE. UU. prepara un capítulo 11 (septiembre de 2026) y la empresa no publica la exposición [89].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revisarán las indemnizaciones del presidente ejecutivo (cuatro anualidades entre cese y no competencia) tras el 73 % de apoyo a la política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punto débil del gobierno y lo votarán de nuevo los inversores.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Rhône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¿Tiene Rhône Capital intención de vender su 11,7 % y cuándo vence el pacto de 2017?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colocación acelerada presionaría el precio a corto plazo, aunque aumentaría el capital flotante.</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hilo «Fluidra (FDR): Seguimiento del valor» (página 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debate: la mayoría de los mensajes reproducen comunicados (recompra, resultados del semestre). Un mensaje largo de mediados de septiembre ve una empresa de calidad en la parte baja del ciclo de la piscina residencial, con soporte del dividendo y las recompras, apta solo para inversores pacientes; el último (25-sep) alerta de la preparación del concurso de acreedores de Leslie's, la mayor cadena de tiendas de piscina de EE. UU., y concluye que «el sector está fastidiado» [81].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mismo hilo (página 57, febrero-mayo)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de seguimiento: refinanciación de la revolving hasta 2029, informes de Renta 4 (soporte técnico en 17,30-18,30 EUR) y de Jefferies tras un primer trimestre por debajo de lo esperado en EBITDA, y el relevo del director financiero. Sirve para ver la tendencia: el tono no ha cambiado en seis meses [82].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elEconomista, «La Cartera» (columna de selección de valores con seguimiento de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consenso del diario fija stops en Fluidra (8-ago) y la saca con una pérdida del 5 %, a la espera de volver a comprarla en 18,06 EUR (22-ago); en septiembre destaca que ningún analista ve la acción por debajo de su precio [83, 84].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de bolsa española (Estrategias de Inversión, El Español, Valencia Plaza)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Gestores y analistas técnicos citan Fluidra como uno de los pocos «picoteos» del IBEX (7-oct) y como valor que defiende el soporte de los 17 EUR (14-oct); en julio, «sentimientos encontrados»: la peor del IBEX en el año con el mayor potencial según los analistas [85, 86, 87].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Movimientos de gestoras value españolas (prensa)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Magallanes Value Investors entra en Fluidra en su última rotación de carteras (15-oct) [88].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la piscina residencial en EE. UU. y obra nueva en mínimos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central del informe: la obra nueva en EE. UU. está en menos de 60.000 piscinas frente a 117.000-120.000 en 2021 y el bajista de los escenarios recoge una caída de ventas de un año. Los datos de 2026 (ventas +4,9 % a tipo constante en el semestre y guía mantenida) no muestran una recaída, sino un estancamiento.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Quiebra de Leslie's y salud del canal minorista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riesgo existe, pero Fluidra vende sobre todo a distribuidores (Pool Corporation compra el 21 % de las ventas) y a constructores; Leslie's vende sobre todo productos químicos. No hay dato público de la exposición de Fluidra a Leslie's: queda como pregunta para los resultados del 29-oct [89].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y consenso de analistas casi unánime en compra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los múltiplos (PER de 2027e del consenso por debajo de 15 veces) y en el consenso (12 compras de 15, objetivo medio 25,93 EUR). El informe matiza: el ROIC apenas cubre el coste de capital y la regla común a 12 meses no da el 40-50 % que sugieren los objetivos de los analistas.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entrada de inversores de referencia (Manuel Puig, Magallanes)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Hechos comprobados: recompra de 2,07 M de acciones por 40 M (17-sep) y compra de unos 14 M de Manuel Puig en marzo; dan soporte, pero no cambian el BPA a 12 meses más de un 1 %.</w:t>
            </w:r>
          </w:p>
        </w:tc>
      </w:tr>
    </w:tbl>
    <w:p>
      <w:pPr>
        <w:spacing w:after="160" w:before="0"/>
      </w:pPr>
    </w:p>
    <w:p>
      <w:pPr>
        <w:spacing w:after="100"/>
      </w:pPr>
      <w:r>
        <w:t xml:space="preserve">El sentimiento de los particulares es tibio y escaso: el foro español de referencia apenas tiene debate y lo que hay es cansancio tras un año de caídas, con un riesgo nuevo que el informe recoge (la quiebra de Leslie's) y ninguna cifra que contradiga las del informe. No hay euforia ni capitulación: la acción cotiza cerca del mínimo de 52 semanas mientras analistas y algunos gestores value compran. El sentimiento va en contra del consenso de analistas, lo que encaja con un valor castigado sin catalizador inmediato;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23 controles correctos y 3 explicados. Fuentes: 96 (35 primarias); citas distintas en el texto: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«En parte» (el crecimiento proyectado (4,1 %) supera con holgura el histórico de ingresos (0,0 %)): razónalo en la justificación. Explicación: El histórico de ventas que mide el motor (0,0 % anual) va de 2021, el pico del auge pospandemia (2.187 M), a 2025 (2.184 M): es un ciclo completo de auge y desestocaje, no falta de capacidad. Con los ingresos del XBRL desde 2020 (1.526 M) el crecimiento es del 9 % anual hasta 2024. La proyección (4,1 %) queda por debajo del mercado (4-6 %) y del objetivo de la empresa (6-8 %), con la cuota a la baja (13,0 % a 11,7 %) y el crecimiento financiable bruto (4,2 %) por encima. Se mantiene Sí.</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11,7 % en 2033e frente al 13,0 %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21,5 % frente a 21,7 % real: genera una variación de circulante de 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0,11: el crecimiento no explica los múltiplos de estos comparables; no uses el valor de la regresión. Explicación: Con R² de 0,11 el crecimiento no explica los múltiplos de la muestra (la dispersión la explican el ROIC y la deuda de los fabricantes de agua); el valor de la regresión no se usa en la síntesis.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13,7 %: para comprar o ampliar hace falta motivo de negocio propio; para mantener basta la vigente. Explicación: Es correcto: con la regla v2 de control la ponderada es del 13,7 % y con un BPA un 10 % peor la v3 cae al 12,6 %; además el ROIC (8,3 %) apenas supera el WACC (8,16 %). La síntesis lo dice: Comprar por la regla vigente, pero no es una compra robusta y no pasa el filtro de calidad del método.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31,3 %, asimetría de 3,47, bajista del -18,2 % y el precio descuenta 5,6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96 fuentes (35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43, 48, 49, 50, 51, 53, 54, 55, 64, 65, 66, 67, 68, 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Aprovisionamientos 2021-2023, EBITDA ajustado 2021-2023 y cuentas 2018-2020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2018-2023 en la web de inversores (antibot; direcciones no localizables); 2) XBRL ESEF del repositorio filings.xbrl.org (19-oct-2026): da 2020-2024 con EBIT, financiero, impuestos y minoritarios, pero sin aprovisionamientos ni BPA de 2020-2021; 3) proveedor de datos (Stock Analysis): solo totales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2021-2023 con el ESEF (cuenta) y las ventas publicadas; aprovisionamientos y 2018-2020, omitidos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Trimestres 3T25 y 4T25 y semestres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de 9M25 y de resultados 2025: direcciones probadas no existen; 2) Transcripción de 2025: no da el desglose; 3) Proveedor de datos: sus ingresos trimestrales incluyen servicios y no coinciden con las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tres semestres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previo a cada publicación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la empresa: no lo citan; 2) Transcripciones: no lo citan; 3) Búsqueda web: límite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Nivel actual del rating de S&amp;P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(IAGC): solo dice que se confirmó el 6-oct-2025; 2) Hecho relevante de 2018: BB en origen; 3) Búsqueda web: sin documento primario reciente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Variopool, Riaan e Hydrapro y múltiplos de cada compra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hechos posteriores del informe anual: no da el precio; 2) Nota de prensa y presentación del 1S26: no lo dan; 3) Transcripción del 1S26: solo un rango de 5-6,5x para las compras recientes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del tamaño del mercado en valor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integrado 2025 de Fluidra: solo da el tamaño de 2025; 2) informes anuales de 2021-2024 de Fluidra: la web de inversores tiene antibot, Wayback Machine no respondía y la CNMV no lista los PDF; 3) búsqueda web de informes de mercado agotada en la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construcción anual de piscinas en España (ASOFAP)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Fluidra: solo el agregado de los cinco primeros países en gráfico; 2) presentación del primer semestre de 2026: misma serie agregada; 3) búsqueda web: solo aparecieron las cifras francesas de la FPP, que sí se usan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Aiper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Fluidra: solo el umbral de 370 M USD de la fase II; 2) transcripción de resultados de 2025 y presentación del primer semestre: crecimiento y margen, sin cifra de ventas; 3) Aiper no cotiza ni publica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Maytronics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Maytronics (maytronics.com y ir.maytronics.com): sin PDF o sin conexión; 2) Wikipedia en inglés: sin artículo; 3) Stock Analysis con las cuentas de TASE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consejeros y directivos de los últimos 12 meses (registro completo)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notificaciones de directivos de la CNMV por NIF (403 en todas las variantes, también el 19-oct-2026); 2) ficha de la entidad en la CNMV (carga por JavaScript); 3) prensa: solo la compra de Manuel Puig de marzo de 2026 (elEconomista)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recoge la compra publicada; el resto, 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de la junta de 2026 y votos en contra de la política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2025 (solo da el 73 % a favor de la política y el resultado del informe de 2024); 2) otra información relevante de la CNMV (403 sin navegador); 3) web de Fluidra (antibot) y búsqueda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del pacto con Rhône (cláusula 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gobierno 2025 (remite a la web); 2) web de Fluidra, pactos parasociales (antibot); 3) búsqueda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 de guía 2020-2024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de resultados anuales en fluidra.com (direcciones no localizables, web con antibot); 2) noticias de MarketScreener (sin contenido útil); 3) búsqueda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(la serie de revisiones es un gráfico sin datos en el HTML); 2) Stock Analysis (solo el año en curso y de pago el resto); 3) búsqueda web (sin servicio por límite de uso)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en inglés (Reddit, Stocktwits, Seeking Alpha) e Investing.com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API con FDR.MC y FLUIF (símbolo no encontrado); 2) RSS de Seeking Alpha de FLUIF (solo transcripciones y noticias, sin debate); 3) Investing.com España, comentarios (403) y foro de Bolsamanía (dirección inexistente)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Integrado 2025 (incluye las cuentas anuales consolidadas auditadas de 2025 con notas, el informe de gestión, el IAGC y el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https://www.fluidra.com/wp-content/uploads/2026/03/3.-English_2025-Integrated-Anual-Report-ENG.pdf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de prensa de resultados del 1S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https://www.fluidra.com/wp-content/uploads/2026/07/NP_H126_ENG_v6-final.pdf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1S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https://www.fluidra.com/wp-content/uploads/2026/07/Q2-26-Eng_-vdef.pdf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1T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https://www.fluidra.com/wp-content/uploads/2026/05/Q1-26-Eng_-vDEF.pdf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1T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(LSEG StreetEvents)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https://www.fluidra.com/wp-content/uploads/2026/05/Q1-2026-transcript.pdf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ejercicio 2025 (26-feb-2026)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(LSEG StreetEvents)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https://www.fluidra.com/wp-content/uploads/2026/03/FDR_Transcript_FY2025.pdf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1S 2026 (30-jul-2026)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(LSEG StreetEvents)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https://www.fluidra.com/wp-content/uploads/2026/07/FDR-MAD_Transcript_2026-07-30.pdf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(BME: FDR): cuenta de resultados, balance, flujos y segmentos 2021-2025 y últimos doce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https://stockanalysis.com/quote/bme/FDR/financials/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https://www.fluidra.com/wp-content/uploads/2025/07/NP_Fluidra-Resultados-S1_ES_DRAFT-vdef.pdf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 relevante: calificaciones crediticias preliminares de S&amp;P (BB) y Moody's (Ba3), 15-feb-2018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https://www.fluidra.com/wp-content/uploads/2025/01/Preliminary-credit-ratings-of-Fluidra.pdf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confirma el rating Ba2 de Fluidra y eleva la perspectiva a positiva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https://thecorner.eu/companies/moodys-confirms-fluidras-long-term-corporate-family-rating-cfr-at-ba2-and-upgrades-outlook-from-stable-to-positive/124669/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de Fluidra, S.A. en formato ESEF (XBRL), ejercicios 2021-2024 (LEI 95980020140005026620)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filings.xbrl.org (repositorio ESEF de las cuentas depositadas en la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https://www.sec.gov/Archives/edgar/data/945841/000119312526074833/pool-20251231.htm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https://www.sec.gov/Archives/edgar/data/945841/000094584125000032/pool-20241231.htm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https://www.sec.gov/Archives/edgar/data/945841/000094584124000021/pool-20231231.htm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https://www.sec.gov/Archives/edgar/data/945841/000094584123000015/pool-20221231.htm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https://www.sec.gov/Archives/edgar/data/945841/000094584122000023/pool-20211231.htm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https://www.sec.gov/Archives/edgar/data/945841/000094584121000022/pool-20201231.htm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https://www.sec.gov/Archives/edgar/data/1834622/000183462226000008/hayw-20251231.htm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plc,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https://www.sec.gov/Archives/edgar/data/77360/000007736026000007/pnr-20251231.htm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datos XBRL de los 10-K (ventas y resultado de explotación 2008-2025)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https://data.sec.gov/api/xbrl/companyfacts/CIK0000945841.json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datos XBRL de los 10-K (ventas y resultado de explotación 2019-2025)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https://data.sec.gov/api/xbrl/companyfacts/CIK0001834622.json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Maytronics Ltd. (TASE: MTRN), cuenta de resultados 2021-2025 y últimos doce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https://stockanalysis.com/quote/tlv/MTRN/financials/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1,1750 e ILS 3,7471 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(artículo de enciclopedia con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https://en.wikipedia.org/wiki/Fluidra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2007 (primer informe anual como sociedad cotizada, con la historia del grupo)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https://www.fluidra.com/wp-content/uploads/2025/01/Annual-Report-2007.pdf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vende Aquatron para cumplir con Bruselas en su fusión con Zodiac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https://www.bolsamania.com/noticias/empresas/fluidra-vende-filial-aquatron-cumplir-condiciones-bruselas-fusion-zodiac--3586610.html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impacto de los aranceles castiga a Fluidra en bolsa a pesar de elevar un 21 % los beneficios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https://es.ara.cat/economia/industria/impacto-aranceles-castiga-fluidra-bolsa-pesar-elevar-21-beneficios_1_5460241.html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FPP revient sur le marché de la piscine 2024 et ses perspectives 2025 (rueda de prensa de la FPP)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Guide-Piscine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https://www.guide-piscine.fr/pro/marche-de-la-piscine/etudes-de-marche-piscine-et-bain/la-fpp-revient-sur-le-marche-de-la-piscine-2024-et-ses-perspectives-2025-5928_H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Piscine à la maison : le grand retour des bassins privés (datos de la FPP de 2025 y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MySweetimmo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https://www.mysweetimmo.com/2026/05/08/piscine-a-la-maison-le-grand-retour-des-bassins-prives/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chiffres : le marché de la piscine (datos de la FPP de 2022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Guide-Piscine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https://www.guide-piscine.fr/pro/marche-de-la-piscine/etudes-de-marche-piscine-et-bain/en-chiffres-le-marche-de-la-piscine-en-2024-5286_H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Swimming Pool Equipment Market 2026-2035 (resumen público del estudio)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Spherical Insights &amp; Consulting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https://www.sphericalinsights.com/blogs/top-15-companies-in-global-swimming-pool-equipment-market-2026-2035-expert-view-by-spherical-insights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Pool Market Research Report 2025-2030 (resumen público del estudio)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Arizton Advisory &amp;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https://www.arizton.com/market-reports/pool-market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(formulario CNMV, registrado el 26-mar-2026)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https://www.cnmv.es/webservices/verdocumento/ver?e=48H0ghu5pdctx0Q8%2bdrxgK%2bwn3CYnJh51wR%2fyLeyFg8DAeVNxCRAwLPil3Xzyzk3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 (registrado en la CNMV el 26-mar-2026)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https://www.cnmv.es/webservices/verdocumento/ver?e=9ni3E5AnemriQX6q1qwSSAIus2yxpVy0aj1YinqSLXSdH%2f%2fkEpqk5KB8quWhzhTh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2024 (registrado en la CNMV el 27-mar-2025)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https://www.cnmv.es/webservices/verdocumento/ver?e=v0R1vr%2bMrkzITyu%2f%2fxR6Q%2bdorm3bDKzETYWqa4egEVGdH%2f%2fkEpqk5KB8quWhzhTh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Fluidra,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https://www.cnmv.es/Portal/Consultas/EE/PosicionesCortas.aspx?nif=A-17728593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accionistas principales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https://www.marketscreener.com/quote/stock/FLUIDRA-S-A-365952/company-shareholders/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nombramiento de Juan Graham como director financiero (CFO), 28-may-2026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https://www.cnmv.es/webservices/verdocumento/ver?t=%7bb9ca672a-795e-44e1-86f4-646107ef939e%7d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Appoints Juan Graham as Chief Financial Officer (nota de prensa de Business 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01net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https://www.01net.it/fluidra-appoints-juan-graham-as-chief-financial-officer/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Manuel Puig invierte otros 14 millones en Fluidra y ya tiene el 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elEconomista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https://www.eleconomista.es/industria/noticias/13847076/03/26/manuel-puig-invierte-otros-14-millones-en-fluidra-y-ya-tiene-el-9.html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y dividendos de FDR.MC, ^IBEX, ^STOXX, EXH4.DE y de los comparables hasta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https://finance.yahoo.com/quote/FDR.MC/history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(BME:FDR):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https://stockanalysis.com/quote/bme/FDR/statistics/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federales a 10 años de vencimiento residual (serie BBSIS 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previsiones financieras (cuenta de resultados, flujos y ratios estimados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https://www.marketscreener.com/quote/stock/FLUIDRA-S-A-365952/finances/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https://www.marketscreener.com/quote/stock/FLUIDRA-S-A-365952/consensus/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(BME:FDR): previsiones y recomendaciones de analistas (datos de S&amp;P Global y TipRanks)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https://stockanalysis.com/quote/bme/FDR/forecast/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Completes EUR40 Million Stock Buyback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 Newswires en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https://www.marketscreener.com/news/fluidra-completes-eur40-million-stock-buyback-plan-ce785adad981f626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announces an Equity Buyback for 40 million worth of its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Capital IQ en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https://www.marketscreener.com/news/fluidra-s-a-announces-an-equity-buyback-for-40-million-worth-of-its-shares-ce7f50dadd89ff2c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operaciones del contrato de liquidez,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https://www.fluidra.com/wp-content/uploads/2026/07/Fluidra-OIR-Info-Trimestral-ct-liquidez-ENG.pdf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CHF), 8 al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https://data-api.ecb.europa.eu/service/data/EXR/D.USD+CHF.EUR.SP00.A?startPeriod=2026-10-07&amp;format=csvdata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tipos AAA del área euro, 10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https://data-api.ecb.europa.eu/service/data/YC/B.U2.EUR.4F.G_N_A.SV_C_YM.SR_10Y?format=csvdata&amp;startPeriod=2026-09-20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(POOL):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https://stockanalysis.com/stocks/pool/statistics/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(HAYW):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https://stockanalysis.com/stocks/hayw/statistics/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https://www.marketscreener.com/quote/stock/POOL-CORPORATION-10514/finances/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https://www.marketscreener.com/quote/stock/HAYWARD-HOLDINGS-INC-119962176/finances/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https://www.marketscreener.com/quote/stock/PENTAIR-PLC-16656327/finances/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https://www.marketscreener.com/quote/stock/A-O-SMITH-CORPORATION-40311155/finances/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https://www.marketscreener.com/quote/stock/WATTS-WATER-TECHNOLOGIES--14922/finances/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Elkay Water Solutions: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https://www.marketscreener.com/quote/stock/ZURN-ELKAY-WATER-SOLUTION-10314844/finances/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Geberit: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https://www.marketscreener.com/quote/stock/GEBERIT-AG-9365160/finances/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Aalberts: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https://www.marketscreener.com/quote/stock/AALBERTS-NV-6371/finances/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(PNR):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https://stockanalysis.com/stocks/pnr/statistics/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https://stockanalysis.com/stocks/aos/statistics/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(WTS):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https://stockanalysis.com/stocks/wts/statistics/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Elkay (ZWS):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https://stockanalysis.com/stocks/zws/statistics/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Geberit (SWX:GEBN):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https://stockanalysis.com/quote/swx/GEBN/statistics/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Aalberts (AMS:AALB):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https://stockanalysis.com/quote/ams/AALB/statistics/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 To Acquire Evoqua in $7.5 Billion All-Stock Transaction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https://www.sec.gov/Archives/edgar/data/1524472/000119312523012563/d441004dex991.htm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Evoqua: resultados del cuarto trimestre y del ejercicio fiscal 2022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Evoqua Water Technologies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https://www.sec.gov/Archives/edgar/data/1604643/000160464322000122/q4fy22exhibit991.htm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to acquire Manitowoc Ice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https://www.sec.gov/Archives/edgar/data/77360/000007736022000008/exhibit991manitowocdefinit.htm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and Elkay to combine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Water Solutions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https://www.sec.gov/Archives/edgar/data/1439288/000110465922021717/tm226396d2_ex99-1.htm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Acquires ChlorKing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https://www.sec.gov/Archives/edgar/data/1834622/000183462224000081/chlorkingex991pressrelease.htm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dólar/euro, serie diaria desde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https://data-api.ecb.europa.eu/service/data/EXR/D.USD.EUR.SP00.A?startPeriod=2021-01-01&amp;format=csvdata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posiciones cortas: Fluidra, S.A. (NIF A-17728593)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https://www.cnmv.es/Portal/Consultas/EE/PosicionesCortas.aspx?nif=A17728593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Bestinver upgrades Fluidra stock from Hold to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articles/CBMisgFBVV95cUxOVGZaQUZDQmNVUWdPR2RIMnAwSTJMYTVtbVFuUC1UTUMzTnhwMDlxTUc5d0Z4amQ3amtfbUlaWElTb0M4bnNRNmVOUldnWWpjSE5XV21yWndLcE9xdC1qZFdfeEs1OFVrMGxDcGhTc2VKV0V0VW1fWG4taWRoN2xKV2R2aF9PZjFuZ2hDYWxLUHFoSUVfZndYNW9qTHAxVmNoY2RDTkdfVTlnblcwMUVYZ1V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JPMorgan raises target for Fluidra stock to EUR 28.00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articles/CBMitwFBVV95cUxOTDdNN0VKMEhsTnE1blltd1QyaUFhNGl3RXozV2V3dmQ4cUoyejNiel9LNnhtQjdHVzVhMFd6a0pzbGdiay1naVc2czVuM0hLVDFrNUlhUmUyUkQxMHIzbGdpWWtmWHlfbGxOS1lsamdiMHFmM3duLWgzSDlGRXJnYU9ONXJkdzd5cFIySEhMZWJKWFBqZWstWklMTEs3NmY0UmRNM3ZRRFJZcC1udE1IVE03SFpOOW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Barclays cuts target for Fluidra stock from EUR 20 to EUR 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articles/CBMiwAFBVV95cUxPUUR6d3pIRmE0RzZsVEhiQXV2WGVHOFVIYnFzaE1qOXFZWk9PVC1DekRKc1JoSmtoelRHUjNHM0w5d3I4Rjl4WDdzamY0djlmQ1FQNkQ2TDNtVnREenVYOWhBWFk2N3ZlNDRKS25PcEU4VVVDcENoVjE2dGtLWHpKMmgtSlVFSjNselNBSjRiQ1ltN2x4TGFVRlJRNk9EdlY5c1lEQzJPb1VRLTBEY2lNX3JBYTRpOW9ka21pWklSR0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finalización del programa de recompra (2.071.424 acciones por 40 M EUR, 17-sep-2026) y reanudación del contrato de liquidez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https://www.cnmv.es/webservices/verdocumento/ver?t=%7bc9f61fa4-8799-44cc-957a-61c90363371b%7d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(FDR): Seguimiento del valor, página 58 (julio-septiembre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 (foro)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https://www.rankia.com/foros/bolsa/temas/798961-fluidra-fdr-seguimiento-valor?page=58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(FDR): Seguimiento del valor, página 57 (febrero-mayo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 (foro)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https://www.rankia.com/foros/bolsa/temas/798961-fluidra-fdr-seguimiento-valor?page=57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Cartera' saca un 5% de Fluidra y la espera de nuevo en los 18,06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elEconomista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articles/CBMi4wFBVV95cUxOWGY5a29ndFg4cm9sdTlSMjVTakhGNWdZZnV0QVhvRDNpenFNenlXZ0ZpT1FUc0I5VTh2WmJTY0NsVEpCdndVWk51ZWlCUVNJUURXTmtOQTBpdXN6Y1ZfcUtyNDFlamZENndKN3VRRGl4d1ZQOGlzZExjdkFvTkxhSzRBcDlNdVNrT0NyZFN6MThwR2xia3RlT1dhQUdWUDRIQ3o4NTM3NkNfbXFMVXVzNjZJQTM0c2g0bG5pcU5tUFpNbElUTEJSd09lSGlGN2JsNkp5WEd2YXJXZ3pCemUtNmw4b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ningún analista que vea a Fluidra por debajo de su precio actual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elEconomista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articles/CBMi5AFBVV95cUxPa3M3SERqM0s2ellqalBfQkw0dldmb193b2FGRFVDVmFKcHU0c294V3NUdkFMSEFCVkQ0X0wyS054dTFYZkZzV3RyV2VxbzRKdU1XMlc4X05RUGJoUUpMLTRJRjktdi10RHh6bUtMenNtSlh1Vl9QTkpRU2MzSWh4ZkJRemQ1LU9SNW1mdy1FRVV1U19BTmNodXJpLWFLejhtVEprMGVfYjhSaWd5cTdWUW5HV0tiQUVvZTB5emNfWldSbmpGQkJvLVZfZlBQTEdBeld0Y3pMTUxQTDZXT2R1NFFZS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Ibex 35 hay poco que comprar salvo algún picoteo en ACS y Fluidra»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 (vía Yahoo)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https://news.google.com/rss/articles/CBMiigFBVV95cUxPSmdTM08wZnpRd1ExVEFPZDFmRXJGSW9RWGk5b3hNOTNVZ3ZZNU9CaVVuWkVEZ0NvX3pHOTNDd3ItTW1MSzcxZmtYbklRTmZRZXpZSHdNUUd0OVpLWGQ5bEoxTzI2S0FISDlxVEdMRTFUZ1VHNF9yVWd3Vy1uSFRtWENQWjBiV09lRGc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desafía la presión bajista y mide sus fuerzas en el soporte crítico de los 17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Español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articles/CBMi1wFBVV95cUxQYndKRzhqV3RrTGlONHp6V2FyZldYM3JqQmozTk9jT2xTWk11NkJFVXBuc1NQeGNaY3Z2bWkzWXE4N1QzdnJaM216R3hNVERlYllGVjhna1p2Q2R3M3V2RGtpQ2pRNjdrby00SXBFYU96WDhTdUIwX1F1bldreUdSQlNTY0NGVzlDMm9VRW1fVjN5MzEwOHZSc2F1a0x5Rkl0dUF2REM2UzdPbnhhOG02ZHJXby04YXVaRWk4bUFXSTl1N0ZnUUpkeFJwWFBfWnBJWWcyUHBob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Sentimientos encontrados en Fluidra: es la peor del Ibex 35 este año con un potencial de subida del 45%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Valencia Plaza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articles/CBMi4gFBVV95cUxOalQ0UDdYd0QyMlhnSVR5WUx5TmdTSVlMcm8yN2FtV1d5djZJam5MZmcyMDd1MjhScWFYUG5XQ2h4OHRuekgwdklld0Nrd3dvc2RlMmpkVUczWThxUXljSDVnVElSUEVNUnVoWWt5Y3Zmcm1GSmR2aGFuVnhNRk1tVUt3bDVDcG81OGd5X1hsMVpYLUZ1WVBzbnpwdzlqcDdzbGxneGhadkpZTFZOazZteDZOWnJodFl4UHp0RnUwbVQ0Rnh2SGVNbzM1cnFkeXVLYWxkaHJ0V1d0bEUtT2NfTmJ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Magallanes Value Investors rota carteras, entra en Fluidra y Dia y vende su posición en Repsol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 / elEconomista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https://news.google.com/rss/articles/CBMingFBVV95cUxPWmRaWDJRc3lIaGdQN1lJa2NiVTlQNFNMazJkbkJ4bG1mV0hYTFRnRWpEUThzTi13eXRlMml1R0JNckhuNVRlWU5XX0drRy1HcDFtTXNDMGw2U2VCZi1iSDhRV1kxdmY4ZURyZFhCV05fVDlwZ2N0UWJLZVdocUlNMGNCWV9rTW4zZERzMXJFcURWUG1sLWsydkhKNWc0Zw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Leslie’s Reportedly Prepares for Chapter 11 Bankruptcy as Possible Nasdaq Delisting Looms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https://www.poolmagazine.com/pool-news/leslies-reportedly-filing-for-chapter-11-bankruptcy-as-possible-nasdaq-delisting-looms/amp/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 calendario de eventos (resultados de los nueve meses de 2026 el 29-oct-2026)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https://www.marketscreener.com/quote/stock/FLUIDRA-S-A-365952/calendar/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registra la mayor caída del IBEX, de más del 5 %, tras recortar su precio Citi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 / 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articles/CBMi1gFBVV95cUxOdTRzc20xSlNlenhLdFprdDdoVXF0ak5iazJHZW42S2wzSTU1S0lWUEVpdm1EMXRqZnNXcHBPV2ZUbWRKU05RQ2gwVHZIX2RXVnFmRFhncWMxOXd4OFF0TkRCTlY2WlJ1Q3N1MFpqbGJsc3lmcjlqYk5hdEJOelBsbkFEVHB3U2lwcDF4STAwUXJFbnZIMnZqaHJ1aHFYT01XRk5KM3Uta3NTejAxdk5lelRfMHNHZFY3Njk0UWpGZjhvMjFtRlBCOG0teVI3Q3J2X1lBVm1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Barclays enfría Fluidra por los inventarios en Estados Unidos, pero aún ve potencial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https://news.google.com/rss/articles/CBMipgFBVV95cUxNTHoyM2prNUV5VzJ6Zl83ejctbDluRG1lV241M1AwTlVnR0hLeFRqSmNKcFBjT01NQlRTWVlCeG1pb1VyY0VjMExKeWxkMGc0ODN5TjVRWDVNbzRDeU5UR2RYMm9IMllleUZyRFFUaVFobXhXV1F3djN1UUNXYWhMandaWVFjd1ViMWp6ZnpJU0lkNlByZDQybUxFUGdPZjBTM1luMUZB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cae arrastrada por Pentair, que se desploma tras decepcionar con sus cuentas y reducir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articles/CBMi1gFBVV95cUxPQ2hqbG4zd3JRSzNhcFBDUC1uRXFwUzdWXzJDaDc0ZnFNWVJ1NFlWMUtxbkttQlJMTFpDOWpjdUhITmhVdnFFRkNhTFoycUJxU0g5ampOUThEQ3FBSS1OUUtUYTRHQ3I1Nm1DNUN4azQ1UE4wV1Z1U1hUbWpMR1I1ekh4WGZaZkJ3eHpMUVZ1QU1IME80ZFlSc2E5MGMycnF2RS0xRWpxR0U5T1ROOE9qTzVXSWNkVXZ1TlRiV1VCWllrc2FSMkwyR1c4bW1TTGtNNnRyVzN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lleva a juicio a la china Wybotics por copiar sus robots limpiapiscinas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elEconomista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articles/CBMi3wFBVV95cUxPOExNd1ZnWUdQb2EtSTBZZGRXYkhiSU1ERzdNalNWU0hUQXhHZTYzU3NBcWNmb1pBT1NwTFpoM21CMExEYTRFNWhvM0xzUk5rQVpndHBNQkpHX2lraWNLRzA1OVBNX0NBX2ZaZ3d1eXpJT2Q2OE5XVlBXWFlEWEJ5dm9QR0RBRmh4dzJMVC16VURkdGtlb0d0d2JYZVNIbkcxc3R6RFF0cGpOSmo0SG1iX08zRXJBUXFMd1J3Zml5eHphdDYyUDJxbzByRk02b2dYT040OWN3QlRQMnBXUG9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signs agreement to acquire Hydrapro from Ydéo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EuroSpaPoolNews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articles/CBMitgFBVV95cUxOalM1S1J2bVJKamQ1N2d6bmw4ME9iVlhRWWtWMS1lZ0JOLVFPTGlpX1FpNERVQW8tU2tfMl9zbFBRelBieDY5SGh5U216NS1UbkZlM3JxNGFmUXBjX0tYM3dmSmxPRkJCYlRQeVB5UFl3Tm9XeHZMWmtXSVBIM2RKM3FWQVdNaWloWW1MSGxsUE02amE2TS1fMTVkMUNfa3F1MjB2M1ZCQ3NXUndacFVnTDFQQ2VGQ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adquiere Datapool para liderar la digitalización y eficiencia en el sector de las piscinas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(nota de prensa) / Capital-Riesgo.es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https://www.fluidra.com/press-room/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92,4 %</w:t>
      </w:r>
      <w:r>
        <w:t xml:space="preserve"> · Secciones con menos del 60 % de campos cubiertos: </w:t>
      </w:r>
      <w:r>
        <w:rPr>
          <w:b/>
          <w:bCs/>
        </w:rPr>
        <w:t xml:space="preserve">ninguna</w:t>
      </w:r>
      <w:r>
        <w:t xml:space="preserve"> · Generado el 19 oct 2026.</w:t>
      </w:r>
    </w:p>
    <w:p>
      <w:pPr>
        <w:pStyle w:val="Nota"/>
        <w:spacing w:after="100"/>
      </w:pPr>
      <w:r>
        <w:t xml:space="preserve">Línea cotizada: Bolsa de Madrid (FDR), única. Cuentas de 2024 y 2025 de las cuentas anuales consolidadas auditadas; en 2021-2023, las ventas publicadas y el resto de la cuenta, el balance y los flujos de las cuentas oficiales en XBRL (ESEF) y de un proveedor de datos, sin desglose de aprovisionamientos ni EBITDA ajustado; 2018-2020 no se recogen (la web de inversores tiene antibot y el ESEF empieza en 2020, sin BPA). No hay resultados nuevos desde el 1S26 (30-jul): los nueve meses se publican el 29-oct-2026, diez días después del corte. El EBITDA de la cuenta es el reportado NIIF; el de los trimestres y el del consenso, el ajustado de la compañía (sin reestructuración, M&amp;A, integración ni remuneración en acciones); el motor resta del consenso un 2,2 % de ventas para que los múltiplos de los próximos 12 meses midan lo mismo que los de los últimos 12. Los trimestres mezclan trimestres (1T y 2T) y el segundo semestre de 2025, porque Fluidra no publica el tercer y el cuarto trimestre por separado en los documentos obtenidos. Acciones en circulación (187,8 M) tras la recompra de 2.071.424 acciones terminada el 17-sep-2026 (dato oficial de la CNMV). Precio: cierre del 19-oct-2026 (17,61 EUR, subasta de cierre de Madrid). Comparables: cifras del 8-oct llevadas al cierre del 16-oct (EE. UU.) y del 19-oct (Europa) con la variación de cada cotización y convertidas al euro con el BCE del mismo día.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Fluidra, S.A. (FDR)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17,61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(16,91 – 26,22)</c:v>
                </c:pt>
                <c:pt idx="1">
                  <c:v>Precio objetivo de los analistas (19,00 – 31,00)</c:v>
                </c:pt>
                <c:pt idx="2">
                  <c:v>Comparables: EV/EBITDA NTM (18,77 – 36,00)</c:v>
                </c:pt>
                <c:pt idx="3">
                  <c:v>Comparables: PER NTM (17,94 – 32,19)</c:v>
                </c:pt>
                <c:pt idx="4">
                  <c:v>DCF (WACC y g ± 0,5) (20,14 – 29,06)</c:v>
                </c:pt>
                <c:pt idx="5">
                  <c:v>Escenarios (bajista – alcista) (14,40 – 28,73)</c:v>
                </c:pt>
                <c:pt idx="6">
                  <c:v>DCF con la prima implícita del mercado (4,2 %)</c:v>
                </c:pt>
                <c:pt idx="7">
                  <c:v>Precio actual (17,61)</c:v>
                </c:pt>
              </c:strCache>
            </c:strRef>
          </c:cat>
          <c:val>
            <c:numRef>
              <c:f>Hoja1!$B$2:$B$9</c:f>
              <c:numCache>
                <c:formatCode>#,##0.0</c:formatCode>
                <c:ptCount val="8"/>
                <c:pt idx="0">
                  <c:v>16.91</c:v>
                </c:pt>
                <c:pt idx="1">
                  <c:v>19</c:v>
                </c:pt>
                <c:pt idx="2">
                  <c:v>18.77</c:v>
                </c:pt>
                <c:pt idx="3">
                  <c:v>17.94</c:v>
                </c:pt>
                <c:pt idx="4">
                  <c:v>20.14</c:v>
                </c:pt>
                <c:pt idx="5">
                  <c:v>14.4</c:v>
                </c:pt>
                <c:pt idx="6">
                  <c:v>26.97</c:v>
                </c:pt>
                <c:pt idx="7">
                  <c:v>17.52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(16,91 – 26,22)</c:v>
                </c:pt>
                <c:pt idx="1">
                  <c:v>Precio objetivo de los analistas (19,00 – 31,00)</c:v>
                </c:pt>
                <c:pt idx="2">
                  <c:v>Comparables: EV/EBITDA NTM (18,77 – 36,00)</c:v>
                </c:pt>
                <c:pt idx="3">
                  <c:v>Comparables: PER NTM (17,94 – 32,19)</c:v>
                </c:pt>
                <c:pt idx="4">
                  <c:v>DCF (WACC y g ± 0,5) (20,14 – 29,06)</c:v>
                </c:pt>
                <c:pt idx="5">
                  <c:v>Escenarios (bajista – alcista) (14,40 – 28,73)</c:v>
                </c:pt>
                <c:pt idx="6">
                  <c:v>DCF con la prima implícita del mercado (4,2 %)</c:v>
                </c:pt>
                <c:pt idx="7">
                  <c:v>Precio actual (17,61)</c:v>
                </c:pt>
              </c:strCache>
            </c:strRef>
          </c:cat>
          <c:val>
            <c:numRef>
              <c:f>Hoja1!$C$2:$C$9</c:f>
              <c:numCache>
                <c:formatCode>#,##0.0</c:formatCode>
                <c:ptCount val="8"/>
                <c:pt idx="0">
                  <c:v>9.309999999999999</c:v>
                </c:pt>
                <c:pt idx="1">
                  <c:v>12</c:v>
                </c:pt>
                <c:pt idx="2">
                  <c:v>17.23</c:v>
                </c:pt>
                <c:pt idx="3">
                  <c:v>14.249999999999996</c:v>
                </c:pt>
                <c:pt idx="4">
                  <c:v>8.919999999999998</c:v>
                </c:pt>
                <c:pt idx="5">
                  <c:v>14.33</c:v>
                </c:pt>
                <c:pt idx="6">
                  <c:v>7.609999999999999</c:v>
                </c:pt>
                <c:pt idx="7">
                  <c:v>0.17999999999999972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EMEA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1139.8</c:v>
                </c:pt>
                <c:pt idx="1">
                  <c:v>1166</c:v>
                </c:pt>
                <c:pt idx="2">
                  <c:v>1009.2</c:v>
                </c:pt>
                <c:pt idx="3">
                  <c:v>1009.3</c:v>
                </c:pt>
                <c:pt idx="4">
                  <c:v>1059.9</c:v>
                </c:pt>
              </c:numCache>
            </c:numRef>
          </c:val>
        </c:ser>
        <c:ser>
          <c:idx val="1"/>
          <c:order val="1"/>
          <c:tx>
            <c:strRef>
              <c:f>Hoja1!$C$1</c:f>
              <c:strCache>
                <c:ptCount val="1"/>
                <c:pt idx="0">
                  <c:v>Norteamérica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881.6</c:v>
                </c:pt>
                <c:pt idx="1">
                  <c:v>1037.2</c:v>
                </c:pt>
                <c:pt idx="2">
                  <c:v>857</c:v>
                </c:pt>
                <c:pt idx="3">
                  <c:v>925.4</c:v>
                </c:pt>
                <c:pt idx="4">
                  <c:v>947.7</c:v>
                </c:pt>
              </c:numCache>
            </c:numRef>
          </c:val>
        </c:ser>
        <c:ser>
          <c:idx val="2"/>
          <c:order val="2"/>
          <c:tx>
            <c:strRef>
              <c:f>Hoja1!$D$1</c:f>
              <c:strCache>
                <c:ptCount val="1"/>
                <c:pt idx="0">
                  <c:v>APAC</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204.7</c:v>
                </c:pt>
                <c:pt idx="1">
                  <c:v>238.8</c:v>
                </c:pt>
                <c:pt idx="2">
                  <c:v>212.4</c:v>
                </c:pt>
                <c:pt idx="3">
                  <c:v>211.9</c:v>
                </c:pt>
                <c:pt idx="4">
                  <c:v>208.6</c:v>
                </c:pt>
              </c:numCache>
            </c:numRef>
          </c:val>
        </c:ser>
        <c:ser>
          <c:idx val="3"/>
          <c:order val="3"/>
          <c:tx>
            <c:strRef>
              <c:f>Hoja1!$E$1</c:f>
              <c:strCache>
                <c:ptCount val="1"/>
                <c:pt idx="0">
                  <c:v>Operaciones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559.2</c:v>
                </c:pt>
                <c:pt idx="1">
                  <c:v>548.4</c:v>
                </c:pt>
                <c:pt idx="2">
                  <c:v>471.2</c:v>
                </c:pt>
                <c:pt idx="3">
                  <c:v>477.1</c:v>
                </c:pt>
                <c:pt idx="4">
                  <c:v>508.9</c:v>
                </c:pt>
              </c:numCache>
            </c:numRef>
          </c:val>
        </c:ser>
        <c:ser>
          <c:idx val="4"/>
          <c:order val="4"/>
          <c:tx>
            <c:strRef>
              <c:f>Hoja1!$F$1</c:f>
              <c:strCache>
                <c:ptCount val="1"/>
                <c:pt idx="0">
                  <c:v>Eliminaciones y servicios compartidos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-598.3</c:v>
                </c:pt>
                <c:pt idx="1">
                  <c:v>-603.1</c:v>
                </c:pt>
                <c:pt idx="2">
                  <c:v>-499.1</c:v>
                </c:pt>
                <c:pt idx="3">
                  <c:v>-522.1</c:v>
                </c:pt>
                <c:pt idx="4">
                  <c:v>-541.5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EMEA</c:v>
                </c:pt>
                <c:pt idx="1">
                  <c:v>Norteamérica</c:v>
                </c:pt>
                <c:pt idx="2">
                  <c:v>APAC</c:v>
                </c:pt>
                <c:pt idx="3">
                  <c:v>Operaciones</c:v>
                </c:pt>
                <c:pt idx="4">
                  <c:v>Eliminaciones y servicios compartidos</c:v>
                </c:pt>
              </c:strCache>
            </c:strRef>
          </c:cat>
          <c:val>
            <c:numRef>
              <c:f>Hoja1!$B$2:$B$6</c:f>
              <c:numCache>
                <c:formatCode>General</c:formatCode>
                <c:ptCount val="5"/>
                <c:pt idx="0">
                  <c:v>48.5</c:v>
                </c:pt>
                <c:pt idx="1">
                  <c:v>43.4</c:v>
                </c:pt>
                <c:pt idx="2">
                  <c:v>9.6</c:v>
                </c:pt>
                <c:pt idx="3">
                  <c:v>23.3</c:v>
                </c:pt>
                <c:pt idx="4">
                  <c:v>-24.8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Norteamérica</c:v>
                </c:pt>
                <c:pt idx="1">
                  <c:v>Sur de Europa</c:v>
                </c:pt>
                <c:pt idx="2">
                  <c:v>Resto de Europa</c:v>
                </c:pt>
                <c:pt idx="3">
                  <c:v>Resto del mundo</c:v>
                </c:pt>
              </c:strCache>
            </c:strRef>
          </c:cat>
          <c:val>
            <c:numRef>
              <c:f>Hoja1!$B$2:$B$5</c:f>
              <c:numCache>
                <c:formatCode>0"%"</c:formatCode>
                <c:ptCount val="4"/>
                <c:pt idx="0">
                  <c:v>43.9</c:v>
                </c:pt>
                <c:pt idx="1">
                  <c:v>26.2</c:v>
                </c:pt>
                <c:pt idx="2">
                  <c:v>13.2</c:v>
                </c:pt>
                <c:pt idx="3">
                  <c:v>16.7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2026e-2028e, estimación propia con el crecimiento de mercado del 4-6 % anual que espera Fluidra (punto medio, 5 %))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2026e</c:v>
                </c:pt>
                <c:pt idx="2">
                  <c:v>2027e</c:v>
                </c:pt>
                <c:pt idx="3">
                  <c:v>2028e</c:v>
                </c:pt>
              </c:strCache>
            </c:strRef>
          </c:cat>
          <c:val>
            <c:numRef>
              <c:f>Hoja1!$B$2:$B$5</c:f>
              <c:numCache>
                <c:formatCode>#,##0</c:formatCode>
                <c:ptCount val="4"/>
                <c:pt idx="0">
                  <c:v>17400</c:v>
                </c:pt>
                <c:pt idx="1">
                  <c:v>18270</c:v>
                </c:pt>
                <c:pt idx="2">
                  <c:v>19184</c:v>
                </c:pt>
                <c:pt idx="3">
                  <c:v>20143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Fluidra</c:v>
                </c:pt>
                <c:pt idx="1">
                  <c:v>Pentair (segmento Pool)</c:v>
                </c:pt>
                <c:pt idx="2">
                  <c:v>Hayward Holdings</c:v>
                </c:pt>
                <c:pt idx="3">
                  <c:v>Pool Corporation (POOLCORP)</c:v>
                </c:pt>
                <c:pt idx="4">
                  <c:v>Maytronics</c:v>
                </c:pt>
                <c:pt idx="5">
                  <c:v>Aiper</c:v>
                </c:pt>
              </c:strCache>
            </c:strRef>
          </c:cat>
          <c:val>
            <c:numRef>
              <c:f>Hoja1!$B$2:$B$7</c:f>
              <c:numCache>
                <c:formatCode>0.0"%"</c:formatCode>
                <c:ptCount val="6"/>
                <c:pt idx="0">
                  <c:v>14.2</c:v>
                </c:pt>
                <c:pt idx="1">
                  <c:v>33.8</c:v>
                </c:pt>
                <c:pt idx="2">
                  <c:v>20.8</c:v>
                </c:pt>
                <c:pt idx="3">
                  <c:v>11</c:v>
                </c:pt>
                <c:pt idx="4">
                  <c:v>-3.6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2186.9</c:v>
                </c:pt>
                <c:pt idx="1">
                  <c:v>2389.2</c:v>
                </c:pt>
                <c:pt idx="2">
                  <c:v>2050.7</c:v>
                </c:pt>
                <c:pt idx="3">
                  <c:v>2101.6</c:v>
                </c:pt>
                <c:pt idx="4">
                  <c:v>2183.7</c:v>
                </c:pt>
                <c:pt idx="5">
                  <c:v>2260</c:v>
                </c:pt>
                <c:pt idx="6">
                  <c:v>2362</c:v>
                </c:pt>
                <c:pt idx="7">
                  <c:v>2480</c:v>
                </c:pt>
                <c:pt idx="8">
                  <c:v>2604</c:v>
                </c:pt>
                <c:pt idx="9">
                  <c:v>2721</c:v>
                </c:pt>
                <c:pt idx="10">
                  <c:v>2830</c:v>
                </c:pt>
                <c:pt idx="11">
                  <c:v>2929</c:v>
                </c:pt>
                <c:pt idx="12">
                  <c:v>3017</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504.3</c:v>
                </c:pt>
                <c:pt idx="1">
                  <c:v>461.4</c:v>
                </c:pt>
                <c:pt idx="2">
                  <c:v>393.4</c:v>
                </c:pt>
                <c:pt idx="3">
                  <c:v>420.9</c:v>
                </c:pt>
                <c:pt idx="4">
                  <c:v>472.4</c:v>
                </c:pt>
                <c:pt idx="5">
                  <c:v>479</c:v>
                </c:pt>
                <c:pt idx="6">
                  <c:v>527</c:v>
                </c:pt>
                <c:pt idx="7">
                  <c:v>570</c:v>
                </c:pt>
                <c:pt idx="8">
                  <c:v>609</c:v>
                </c:pt>
                <c:pt idx="9">
                  <c:v>639</c:v>
                </c:pt>
                <c:pt idx="10">
                  <c:v>665</c:v>
                </c:pt>
                <c:pt idx="11">
                  <c:v>688</c:v>
                </c:pt>
                <c:pt idx="12">
                  <c:v>709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56.6</c:v>
                </c:pt>
                <c:pt idx="4">
                  <c:v>56.6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23.1</c:v>
                </c:pt>
                <c:pt idx="1">
                  <c:v>19.3</c:v>
                </c:pt>
                <c:pt idx="2">
                  <c:v>19.2</c:v>
                </c:pt>
                <c:pt idx="3">
                  <c:v>20</c:v>
                </c:pt>
                <c:pt idx="4">
                  <c:v>21.6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17.5</c:v>
                </c:pt>
                <c:pt idx="1">
                  <c:v>12.7</c:v>
                </c:pt>
                <c:pt idx="2">
                  <c:v>11.5</c:v>
                </c:pt>
                <c:pt idx="3">
                  <c:v>12.4</c:v>
                </c:pt>
                <c:pt idx="4">
                  <c:v>14.2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11.5</c:v>
                </c:pt>
                <c:pt idx="1">
                  <c:v>6.7</c:v>
                </c:pt>
                <c:pt idx="2">
                  <c:v>5.5</c:v>
                </c:pt>
                <c:pt idx="3">
                  <c:v>6.6</c:v>
                </c:pt>
                <c:pt idx="4">
                  <c:v>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1T25</c:v>
                </c:pt>
                <c:pt idx="1">
                  <c:v>2T25</c:v>
                </c:pt>
                <c:pt idx="2">
                  <c:v>2S25</c:v>
                </c:pt>
                <c:pt idx="3">
                  <c:v>1T26</c:v>
                </c:pt>
                <c:pt idx="4">
                  <c:v>2T26</c:v>
                </c:pt>
              </c:strCache>
            </c:strRef>
          </c:cat>
          <c:val>
            <c:numRef>
              <c:f>Hoja1!$B$2:$B$6</c:f>
              <c:numCache>
                <c:formatCode>0.0"%"</c:formatCode>
                <c:ptCount val="5"/>
                <c:pt idx="3">
                  <c:v>0</c:v>
                </c:pt>
                <c:pt idx="4">
                  <c:v>4.7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1T25</c:v>
                </c:pt>
                <c:pt idx="1">
                  <c:v>2T25</c:v>
                </c:pt>
                <c:pt idx="2">
                  <c:v>2S25</c:v>
                </c:pt>
                <c:pt idx="3">
                  <c:v>1T26</c:v>
                </c:pt>
                <c:pt idx="4">
                  <c:v>2T26</c:v>
                </c:pt>
              </c:strCache>
            </c:strRef>
          </c:cat>
          <c:val>
            <c:numRef>
              <c:f>Hoja1!$C$2:$C$6</c:f>
              <c:numCache>
                <c:formatCode>0.0"%"</c:formatCode>
                <c:ptCount val="5"/>
                <c:pt idx="3">
                  <c:v>5.4</c:v>
                </c:pt>
                <c:pt idx="4">
                  <c:v>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43</c:v>
                </c:pt>
                <c:pt idx="1">
                  <c:v>44</c:v>
                </c:pt>
                <c:pt idx="2">
                  <c:v>49</c:v>
                </c:pt>
                <c:pt idx="3">
                  <c:v>51</c:v>
                </c:pt>
                <c:pt idx="4">
                  <c:v>44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108</c:v>
                </c:pt>
                <c:pt idx="1">
                  <c:v>113</c:v>
                </c:pt>
                <c:pt idx="2">
                  <c:v>94</c:v>
                </c:pt>
                <c:pt idx="3">
                  <c:v>101</c:v>
                </c:pt>
                <c:pt idx="4">
                  <c:v>93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63</c:v>
                </c:pt>
                <c:pt idx="1">
                  <c:v>39</c:v>
                </c:pt>
                <c:pt idx="2">
                  <c:v>46</c:v>
                </c:pt>
                <c:pt idx="3">
                  <c:v>58</c:v>
                </c:pt>
                <c:pt idx="4">
                  <c:v>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245.50000000000006</c:v>
                </c:pt>
                <c:pt idx="1">
                  <c:v>9.599999999999994</c:v>
                </c:pt>
                <c:pt idx="2">
                  <c:v>325.29999999999995</c:v>
                </c:pt>
                <c:pt idx="3">
                  <c:v>193.60000000000002</c:v>
                </c:pt>
                <c:pt idx="4">
                  <c:v>222.9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252.4</c:v>
                </c:pt>
                <c:pt idx="1">
                  <c:v>159.9</c:v>
                </c:pt>
                <c:pt idx="2">
                  <c:v>113.8</c:v>
                </c:pt>
                <c:pt idx="3">
                  <c:v>138.1</c:v>
                </c:pt>
                <c:pt idx="4">
                  <c:v>176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10.7</c:v>
                </c:pt>
                <c:pt idx="1">
                  <c:v>7.7</c:v>
                </c:pt>
                <c:pt idx="2">
                  <c:v>6</c:v>
                </c:pt>
                <c:pt idx="3">
                  <c:v>6.8</c:v>
                </c:pt>
                <c:pt idx="4">
                  <c:v>8.3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8.2</c:v>
                </c:pt>
                <c:pt idx="1">
                  <c:v>8.2</c:v>
                </c:pt>
                <c:pt idx="2">
                  <c:v>8.2</c:v>
                </c:pt>
                <c:pt idx="3">
                  <c:v>8.2</c:v>
                </c:pt>
                <c:pt idx="4">
                  <c:v>8.2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15.6</c:v>
                </c:pt>
                <c:pt idx="1">
                  <c:v>9.7</c:v>
                </c:pt>
                <c:pt idx="2">
                  <c:v>7</c:v>
                </c:pt>
                <c:pt idx="3">
                  <c:v>8.6</c:v>
                </c:pt>
                <c:pt idx="4">
                  <c:v>10.9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2.15</c:v>
                </c:pt>
                <c:pt idx="1">
                  <c:v>3</c:v>
                </c:pt>
                <c:pt idx="2">
                  <c:v>3.09</c:v>
                </c:pt>
                <c:pt idx="3">
                  <c:v>2.75</c:v>
                </c:pt>
                <c:pt idx="4">
                  <c:v>2.34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10.2</c:v>
                </c:pt>
                <c:pt idx="1">
                  <c:v>9.6</c:v>
                </c:pt>
                <c:pt idx="2">
                  <c:v>9.7</c:v>
                </c:pt>
                <c:pt idx="3">
                  <c:v>1012.1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435.8</c:v>
                </c:pt>
                <c:pt idx="1">
                  <c:v>26.6</c:v>
                </c:pt>
                <c:pt idx="2">
                  <c:v>34.2</c:v>
                </c:pt>
                <c:pt idx="3">
                  <c:v>5.7</c:v>
                </c:pt>
                <c:pt idx="4">
                  <c:v>116.5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75.9</c:v>
                </c:pt>
                <c:pt idx="1">
                  <c:v>159.9</c:v>
                </c:pt>
                <c:pt idx="2">
                  <c:v>132.9</c:v>
                </c:pt>
                <c:pt idx="3">
                  <c:v>107.7</c:v>
                </c:pt>
                <c:pt idx="4">
                  <c:v>116.7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86.1</c:v>
                </c:pt>
                <c:pt idx="1">
                  <c:v>59.8</c:v>
                </c:pt>
                <c:pt idx="2">
                  <c:v>0.4</c:v>
                </c:pt>
                <c:pt idx="3">
                  <c:v>0</c:v>
                </c:pt>
                <c:pt idx="4">
                  <c:v>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Dominical</c:v>
                </c:pt>
              </c:strCache>
            </c:strRef>
          </c:cat>
          <c:val>
            <c:numRef>
              <c:f>Hoja1!$B$2:$B$4</c:f>
              <c:numCache>
                <c:formatCode>0</c:formatCode>
                <c:ptCount val="3"/>
                <c:pt idx="0">
                  <c:v>2</c:v>
                </c:pt>
                <c:pt idx="1">
                  <c:v>6</c:v>
                </c:pt>
                <c:pt idx="2">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ADBE Partners, S.L. (familias fundadoras Planes, Serra, Garrigós y Corbera)</c:v>
                </c:pt>
                <c:pt idx="1">
                  <c:v>Rhône Capital (Piscine Luxembourg Holdings 1)</c:v>
                </c:pt>
                <c:pt idx="2">
                  <c:v>Manuel Puig Rocha (Schwarzsee 2018) y G3T, S.L.</c:v>
                </c:pt>
                <c:pt idx="3">
                  <c:v>Wellington Management Group</c:v>
                </c:pt>
                <c:pt idx="4">
                  <c:v>Fidelity International</c:v>
                </c:pt>
                <c:pt idx="5">
                  <c:v>Autocartera</c:v>
                </c:pt>
              </c:strCache>
            </c:strRef>
          </c:cat>
          <c:val>
            <c:numRef>
              <c:f>Hoja1!$B$2:$B$7</c:f>
              <c:numCache>
                <c:formatCode>0.0"%"</c:formatCode>
                <c:ptCount val="6"/>
                <c:pt idx="0">
                  <c:v>28.35</c:v>
                </c:pt>
                <c:pt idx="1">
                  <c:v>11.67</c:v>
                </c:pt>
                <c:pt idx="2">
                  <c:v>14.58</c:v>
                </c:pt>
                <c:pt idx="3">
                  <c:v>3.3</c:v>
                </c:pt>
                <c:pt idx="4">
                  <c:v>1.03</c:v>
                </c:pt>
                <c:pt idx="5">
                  <c:v>1.16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38</c:v>
                </c:pt>
                <c:pt idx="1">
                  <c:v>173.4</c:v>
                </c:pt>
                <c:pt idx="2">
                  <c:v>-17.1</c:v>
                </c:pt>
                <c:pt idx="3">
                  <c:v>24.6</c:v>
                </c:pt>
                <c:pt idx="4">
                  <c:v>71.7</c:v>
                </c:pt>
                <c:pt idx="5">
                  <c:v>68</c:v>
                </c:pt>
                <c:pt idx="6">
                  <c:v>-58.7</c:v>
                </c:pt>
                <c:pt idx="7">
                  <c:v>29.8</c:v>
                </c:pt>
                <c:pt idx="8">
                  <c:v>24.8</c:v>
                </c:pt>
                <c:pt idx="9">
                  <c:v>-1.5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15.5</c:v>
                </c:pt>
                <c:pt idx="6">
                  <c:v>9</c:v>
                </c:pt>
                <c:pt idx="7">
                  <c:v>12.2</c:v>
                </c:pt>
                <c:pt idx="8">
                  <c:v>13.4</c:v>
                </c:pt>
                <c:pt idx="9">
                  <c:v>11.7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12.2</c:v>
                </c:pt>
                <c:pt idx="1">
                  <c:v>12.2</c:v>
                </c:pt>
                <c:pt idx="2">
                  <c:v>12.2</c:v>
                </c:pt>
                <c:pt idx="3">
                  <c:v>12.2</c:v>
                </c:pt>
                <c:pt idx="4">
                  <c:v>12.2</c:v>
                </c:pt>
                <c:pt idx="5">
                  <c:v>12.2</c:v>
                </c:pt>
                <c:pt idx="6">
                  <c:v>12.2</c:v>
                </c:pt>
                <c:pt idx="7">
                  <c:v>12.2</c:v>
                </c:pt>
                <c:pt idx="8">
                  <c:v>12.2</c:v>
                </c:pt>
                <c:pt idx="9">
                  <c:v>12.2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Fluidra</c:v>
                </c:pt>
                <c:pt idx="1">
                  <c:v>Pool Corp</c:v>
                </c:pt>
                <c:pt idx="2">
                  <c:v>Hayward</c:v>
                </c:pt>
                <c:pt idx="3">
                  <c:v>Pentair</c:v>
                </c:pt>
                <c:pt idx="4">
                  <c:v>A. O. Smith</c:v>
                </c:pt>
                <c:pt idx="5">
                  <c:v>Watts Water</c:v>
                </c:pt>
                <c:pt idx="6">
                  <c:v>Zurn Elkay</c:v>
                </c:pt>
                <c:pt idx="7">
                  <c:v>Geberit</c:v>
                </c:pt>
                <c:pt idx="8">
                  <c:v>Aalberts</c:v>
                </c:pt>
              </c:strCache>
            </c:strRef>
          </c:cat>
          <c:val>
            <c:numRef>
              <c:f>Hoja1!$B$2:$B$10</c:f>
              <c:numCache>
                <c:formatCode>0.0"x"</c:formatCode>
                <c:ptCount val="9"/>
                <c:pt idx="0">
                  <c:v>8.6</c:v>
                </c:pt>
                <c:pt idx="1">
                  <c:v>10.7</c:v>
                </c:pt>
                <c:pt idx="2">
                  <c:v>9.1</c:v>
                </c:pt>
                <c:pt idx="3">
                  <c:v>8.8</c:v>
                </c:pt>
                <c:pt idx="4">
                  <c:v>9.5</c:v>
                </c:pt>
                <c:pt idx="5">
                  <c:v>17.1</c:v>
                </c:pt>
                <c:pt idx="6">
                  <c:v>14.7</c:v>
                </c:pt>
                <c:pt idx="7">
                  <c:v>18.5</c:v>
                </c:pt>
                <c:pt idx="8">
                  <c:v>8.2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Fluidra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5.1</c:v>
                </c:pt>
              </c:numCache>
            </c:numRef>
          </c:xVal>
          <c:yVal>
            <c:numRef>
              <c:f>Hoja1!$C$2</c:f>
              <c:numCache>
                <c:formatCode>0.0"x"</c:formatCode>
                <c:ptCount val="1"/>
                <c:pt idx="0">
                  <c:v>8.6</c:v>
                </c:pt>
              </c:numCache>
            </c:numRef>
          </c:yVal>
          <c:smooth val="0"/>
        </c:ser>
        <c:ser>
          <c:idx val="1"/>
          <c:order val="1"/>
          <c:tx>
            <c:strRef>
              <c:f>Hoja1!$A$3</c:f>
              <c:strCache>
                <c:ptCount val="1"/>
                <c:pt idx="0">
                  <c:v>Pool Corp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3.1</c:v>
                </c:pt>
              </c:numCache>
            </c:numRef>
          </c:xVal>
          <c:yVal>
            <c:numRef>
              <c:f>Hoja1!$C$3</c:f>
              <c:numCache>
                <c:formatCode>0.0"x"</c:formatCode>
                <c:ptCount val="1"/>
                <c:pt idx="0">
                  <c:v>10.7</c:v>
                </c:pt>
              </c:numCache>
            </c:numRef>
          </c:yVal>
          <c:smooth val="0"/>
        </c:ser>
        <c:ser>
          <c:idx val="2"/>
          <c:order val="2"/>
          <c:tx>
            <c:strRef>
              <c:f>Hoja1!$A$4</c:f>
              <c:strCache>
                <c:ptCount val="1"/>
                <c:pt idx="0">
                  <c:v>Hayward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5.3</c:v>
                </c:pt>
              </c:numCache>
            </c:numRef>
          </c:xVal>
          <c:yVal>
            <c:numRef>
              <c:f>Hoja1!$C$4</c:f>
              <c:numCache>
                <c:formatCode>0.0"x"</c:formatCode>
                <c:ptCount val="1"/>
                <c:pt idx="0">
                  <c:v>9.1</c:v>
                </c:pt>
              </c:numCache>
            </c:numRef>
          </c:yVal>
          <c:smooth val="0"/>
        </c:ser>
        <c:ser>
          <c:idx val="3"/>
          <c:order val="3"/>
          <c:tx>
            <c:strRef>
              <c:f>Hoja1!$A$5</c:f>
              <c:strCache>
                <c:ptCount val="1"/>
                <c:pt idx="0">
                  <c:v>Pentair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9.4</c:v>
                </c:pt>
              </c:numCache>
            </c:numRef>
          </c:xVal>
          <c:yVal>
            <c:numRef>
              <c:f>Hoja1!$C$5</c:f>
              <c:numCache>
                <c:formatCode>0.0"x"</c:formatCode>
                <c:ptCount val="1"/>
                <c:pt idx="0">
                  <c:v>8.8</c:v>
                </c:pt>
              </c:numCache>
            </c:numRef>
          </c:yVal>
          <c:smooth val="0"/>
        </c:ser>
        <c:ser>
          <c:idx val="4"/>
          <c:order val="4"/>
          <c:tx>
            <c:strRef>
              <c:f>Hoja1!$A$6</c:f>
              <c:strCache>
                <c:ptCount val="1"/>
                <c:pt idx="0">
                  <c:v>A. O. Smith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3.1</c:v>
                </c:pt>
              </c:numCache>
            </c:numRef>
          </c:xVal>
          <c:yVal>
            <c:numRef>
              <c:f>Hoja1!$C$6</c:f>
              <c:numCache>
                <c:formatCode>0.0"x"</c:formatCode>
                <c:ptCount val="1"/>
                <c:pt idx="0">
                  <c:v>9.5</c:v>
                </c:pt>
              </c:numCache>
            </c:numRef>
          </c:yVal>
          <c:smooth val="0"/>
        </c:ser>
        <c:ser>
          <c:idx val="5"/>
          <c:order val="5"/>
          <c:tx>
            <c:strRef>
              <c:f>Hoja1!$A$7</c:f>
              <c:strCache>
                <c:ptCount val="1"/>
                <c:pt idx="0">
                  <c:v>Watts Water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9.6</c:v>
                </c:pt>
              </c:numCache>
            </c:numRef>
          </c:xVal>
          <c:yVal>
            <c:numRef>
              <c:f>Hoja1!$C$7</c:f>
              <c:numCache>
                <c:formatCode>0.0"x"</c:formatCode>
                <c:ptCount val="1"/>
                <c:pt idx="0">
                  <c:v>17.1</c:v>
                </c:pt>
              </c:numCache>
            </c:numRef>
          </c:yVal>
          <c:smooth val="0"/>
        </c:ser>
        <c:ser>
          <c:idx val="6"/>
          <c:order val="6"/>
          <c:tx>
            <c:strRef>
              <c:f>Hoja1!$A$8</c:f>
              <c:strCache>
                <c:ptCount val="1"/>
                <c:pt idx="0">
                  <c:v>Zurn Elkay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7.4</c:v>
                </c:pt>
              </c:numCache>
            </c:numRef>
          </c:xVal>
          <c:yVal>
            <c:numRef>
              <c:f>Hoja1!$C$8</c:f>
              <c:numCache>
                <c:formatCode>0.0"x"</c:formatCode>
                <c:ptCount val="1"/>
                <c:pt idx="0">
                  <c:v>14.7</c:v>
                </c:pt>
              </c:numCache>
            </c:numRef>
          </c:yVal>
          <c:smooth val="0"/>
        </c:ser>
        <c:ser>
          <c:idx val="7"/>
          <c:order val="7"/>
          <c:tx>
            <c:strRef>
              <c:f>Hoja1!$A$9</c:f>
              <c:strCache>
                <c:ptCount val="1"/>
                <c:pt idx="0">
                  <c:v>Geberit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4.4</c:v>
                </c:pt>
              </c:numCache>
            </c:numRef>
          </c:xVal>
          <c:yVal>
            <c:numRef>
              <c:f>Hoja1!$C$9</c:f>
              <c:numCache>
                <c:formatCode>0.0"x"</c:formatCode>
                <c:ptCount val="1"/>
                <c:pt idx="0">
                  <c:v>18.5</c:v>
                </c:pt>
              </c:numCache>
            </c:numRef>
          </c:yVal>
          <c:smooth val="0"/>
        </c:ser>
        <c:ser>
          <c:idx val="8"/>
          <c:order val="8"/>
          <c:tx>
            <c:strRef>
              <c:f>Hoja1!$A$10</c:f>
              <c:strCache>
                <c:ptCount val="1"/>
                <c:pt idx="0">
                  <c:v>Aalberts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2.8</c:v>
                </c:pt>
              </c:numCache>
            </c:numRef>
          </c:xVal>
          <c:yVal>
            <c:numRef>
              <c:f>Hoja1!$C$10</c:f>
              <c:numCache>
                <c:formatCode>0.0"x"</c:formatCode>
                <c:ptCount val="1"/>
                <c:pt idx="0">
                  <c:v>8.2</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Evoqua Water Technologies</c:v>
                </c:pt>
                <c:pt idx="1">
                  <c:v>Manitowoc Ice (de Welbilt)</c:v>
                </c:pt>
                <c:pt idx="2">
                  <c:v>Elkay Manufacturing</c:v>
                </c:pt>
                <c:pt idx="3">
                  <c:v>Aiper (27 %)</c:v>
                </c:pt>
                <c:pt idx="4">
                  <c:v>ChlorKing</c:v>
                </c:pt>
              </c:strCache>
            </c:strRef>
          </c:cat>
          <c:val>
            <c:numRef>
              <c:f>Hoja1!$B$2:$B$6</c:f>
              <c:numCache>
                <c:formatCode>0.0"x"</c:formatCode>
                <c:ptCount val="5"/>
                <c:pt idx="0">
                  <c:v>25.2</c:v>
                </c:pt>
                <c:pt idx="1">
                  <c:v>17.4</c:v>
                </c:pt>
                <c:pt idx="2">
                  <c:v>14.2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264</c:v>
                </c:pt>
                <c:pt idx="1">
                  <c:v>284</c:v>
                </c:pt>
                <c:pt idx="2">
                  <c:v>307</c:v>
                </c:pt>
                <c:pt idx="3">
                  <c:v>328</c:v>
                </c:pt>
                <c:pt idx="4">
                  <c:v>345</c:v>
                </c:pt>
                <c:pt idx="5">
                  <c:v>358</c:v>
                </c:pt>
                <c:pt idx="6">
                  <c:v>372</c:v>
                </c:pt>
                <c:pt idx="7">
                  <c:v>385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1825</c:v>
                </c:pt>
                <c:pt idx="1">
                  <c:v>3782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17,61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14.4</c:v>
                </c:pt>
                <c:pt idx="1">
                  <c:v>23.85</c:v>
                </c:pt>
                <c:pt idx="2">
                  <c:v>28.73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17,61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(16,91 – 26,22)</c:v>
                </c:pt>
                <c:pt idx="1">
                  <c:v>Precio objetivo de los analistas (19,00 – 31,00)</c:v>
                </c:pt>
                <c:pt idx="2">
                  <c:v>Comparables: EV/EBITDA NTM (18,77 – 36,00)</c:v>
                </c:pt>
                <c:pt idx="3">
                  <c:v>Comparables: PER NTM (17,94 – 32,19)</c:v>
                </c:pt>
                <c:pt idx="4">
                  <c:v>DCF (WACC y g ± 0,5) (20,14 – 29,06)</c:v>
                </c:pt>
                <c:pt idx="5">
                  <c:v>Escenarios (bajista – alcista) (14,40 – 28,73)</c:v>
                </c:pt>
                <c:pt idx="6">
                  <c:v>DCF con la prima implícita del mercado (4,2 %)</c:v>
                </c:pt>
                <c:pt idx="7">
                  <c:v>Precio actual (17,61)</c:v>
                </c:pt>
              </c:strCache>
            </c:strRef>
          </c:cat>
          <c:val>
            <c:numRef>
              <c:f>Hoja1!$B$2:$B$9</c:f>
              <c:numCache>
                <c:formatCode>#,##0.0</c:formatCode>
                <c:ptCount val="8"/>
                <c:pt idx="0">
                  <c:v>16.91</c:v>
                </c:pt>
                <c:pt idx="1">
                  <c:v>19</c:v>
                </c:pt>
                <c:pt idx="2">
                  <c:v>18.77</c:v>
                </c:pt>
                <c:pt idx="3">
                  <c:v>17.94</c:v>
                </c:pt>
                <c:pt idx="4">
                  <c:v>20.14</c:v>
                </c:pt>
                <c:pt idx="5">
                  <c:v>14.4</c:v>
                </c:pt>
                <c:pt idx="6">
                  <c:v>26.97</c:v>
                </c:pt>
                <c:pt idx="7">
                  <c:v>17.52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(16,91 – 26,22)</c:v>
                </c:pt>
                <c:pt idx="1">
                  <c:v>Precio objetivo de los analistas (19,00 – 31,00)</c:v>
                </c:pt>
                <c:pt idx="2">
                  <c:v>Comparables: EV/EBITDA NTM (18,77 – 36,00)</c:v>
                </c:pt>
                <c:pt idx="3">
                  <c:v>Comparables: PER NTM (17,94 – 32,19)</c:v>
                </c:pt>
                <c:pt idx="4">
                  <c:v>DCF (WACC y g ± 0,5) (20,14 – 29,06)</c:v>
                </c:pt>
                <c:pt idx="5">
                  <c:v>Escenarios (bajista – alcista) (14,40 – 28,73)</c:v>
                </c:pt>
                <c:pt idx="6">
                  <c:v>DCF con la prima implícita del mercado (4,2 %)</c:v>
                </c:pt>
                <c:pt idx="7">
                  <c:v>Precio actual (17,61)</c:v>
                </c:pt>
              </c:strCache>
            </c:strRef>
          </c:cat>
          <c:val>
            <c:numRef>
              <c:f>Hoja1!$C$2:$C$9</c:f>
              <c:numCache>
                <c:formatCode>#,##0.0</c:formatCode>
                <c:ptCount val="8"/>
                <c:pt idx="0">
                  <c:v>9.309999999999999</c:v>
                </c:pt>
                <c:pt idx="1">
                  <c:v>12</c:v>
                </c:pt>
                <c:pt idx="2">
                  <c:v>17.23</c:v>
                </c:pt>
                <c:pt idx="3">
                  <c:v>14.249999999999996</c:v>
                </c:pt>
                <c:pt idx="4">
                  <c:v>8.919999999999998</c:v>
                </c:pt>
                <c:pt idx="5">
                  <c:v>14.33</c:v>
                </c:pt>
                <c:pt idx="6">
                  <c:v>7.609999999999999</c:v>
                </c:pt>
                <c:pt idx="7">
                  <c:v>0.17999999999999972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