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Pernod Ricard SA</w:t>
      </w:r>
    </w:p>
    <w:p>
      <w:pPr>
        <w:spacing w:after="60"/>
        <w:rPr>
          <w:color w:val="52514E"/>
          <w:sz w:val="22"/>
          <w:szCs w:val="22"/>
        </w:rPr>
      </w:pPr>
      <w:r>
        <w:rPr>
          <w:color w:val="52514E"/>
          <w:sz w:val="22"/>
          <w:szCs w:val="22"/>
        </w:rPr>
        <w:t xml:space="preserve">RI · Euronext París · ISIN FR0000120693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67,46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77,68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+22,1 % (base +22,3 %)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84,98 EUR · mercado 105,45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17.027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Pernod Ricard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 / FR0000120693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Bebidas: destiladores y bodegas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https://www.pernod-ricard.com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67,46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57,86 – 90,34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17.027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30.525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44,5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77,68 EUR</w:t>
      </w:r>
      <w:r>
        <w:t xml:space="preserve"> frente a 67,46 · Rentabilidad a 12 meses </w:t>
      </w:r>
      <w:r>
        <w:rPr>
          <w:b/>
          <w:bCs/>
        </w:rPr>
        <w:t xml:space="preserve">+22,1 % (base +22,3 %)</w:t>
      </w:r>
      <w:r>
        <w:t xml:space="preserve"> · Valor intrínseco 84,98 EUR · con la prima implícita del mercado: 105,45 (+56,3 %) · Alcista / bajista +50,6 % / -19,0 %</w:t>
      </w:r>
    </w:p>
    <w:p>
      <w:pPr>
        <w:spacing w:after="100"/>
      </w:pPr>
      <w:r>
        <w:rPr>
          <w:b/>
        </w:rPr>
        <w:t xml:space="preserve">La recomendación y por qué.</w:t>
      </w:r>
      <w:r>
        <w:t xml:space="preserve"> Mantener con convicción media. La regla v3 da un objetivo a 12 meses de 77,68 EUR (77,80 EUR en el base), con una rentabilidad ponderada del 22,1 % y del 22,3 % en el base, dividendo del 7,0 % incluido; el valor intrínseco es de 84,98 EUR, un 26,0 % sobre el precio de 67,46 EUR (cierre del 19-oct), y el objetivo medio de los analistas (80,45 EUR) queda entre los dos. No es Comprar porque la compra no es robusta: la v2 de control da un 13,2 % (base 11,9 %), con un BPA un 10 % peor la v3 baja a un 9-10 %, y la calidad no llega (ROIC − WACC de 0,2 puntos frente a 5). La convicción es media: la subirían unas ventas orgánicas positivas en EE. UU. en el 1S27 (18-feb-2027); la bajaría una caja libre que no cubra el dividendo otro año.</w:t>
      </w:r>
    </w:p>
    <w:p>
      <w:pPr>
        <w:spacing w:after="100"/>
      </w:pPr>
      <w:r>
        <w:rPr>
          <w:b/>
        </w:rPr>
        <w:t xml:space="preserve">Qué cambia frente al informe del 18-oct.</w:t>
      </w:r>
      <w:r>
        <w:t xml:space="preserve"> El precio baja de 68,22 a 67,46 EUR (−1,1 % el 19-oct) y el consenso apenas se mueve; RBC sube su objetivo de 69 a 71 EUR [48]. Lo que cambia la cifra es la historia del PER: el informe anterior quitaba a mano el FY2021-FY2023 como auge poscovid, dejaba tres años y forzaba la v2 (9,3 %); aquí se usan los seis cierres porque ninguno cumple una regla de exclusión, la mediana es 17,5 veces y decide la v3 (22,1 %). La señal robusta no cambia: Mantener. Aparecen las posiciones cortas publicadas (1,17 % del capital) y una investigación fiscal en India sobre el whisky a granel [52, 54].</w:t>
      </w:r>
    </w:p>
    <w:p>
      <w:pPr>
        <w:spacing w:after="100"/>
      </w:pPr>
      <w:r>
        <w:rPr>
          <w:b/>
        </w:rPr>
        <w:t xml:space="preserve">El negocio.</w:t>
      </w:r>
      <w:r>
        <w:t xml:space="preserve"> Marcas líderes y 7.203 M de existencias envejecidas son un foso real, con un margen operativo del 25,8 % [3]. Pero el ROIC es del 6,8 %, 0,2 puntos sobre el WACC (6,6 %), frente al 10,0 % del FY2023: hoy apenas crea valor. La sostenibilidad del crecimiento es «En parte»: la proyección casi no necesita capital, pero el poder de precios (precio y mezcla negativos en el FY26 y el 1T27) no está demostrado.</w:t>
      </w:r>
    </w:p>
    <w:p>
      <w:pPr>
        <w:spacing w:after="100"/>
      </w:pPr>
      <w:r>
        <w:rPr>
          <w:b/>
        </w:rPr>
        <w:t xml:space="preserve">Finanzas.</w:t>
      </w:r>
      <w:r>
        <w:t xml:space="preserve"> La caja libre (1.197 M, conversión del 91 %) no cubre el dividendo (1.226 M) y la deuda neta ajustada es de 12.521 M, 3,8 veces el EBITDA [1, 3]. La guía apunta a menos de 3 veces en el FY29.</w:t>
      </w:r>
    </w:p>
    <w:p>
      <w:pPr>
        <w:spacing w:after="100"/>
      </w:pPr>
      <w:r>
        <w:rPr>
          <w:b/>
        </w:rPr>
        <w:t xml:space="preserve">Equipo y gobierno.</w:t>
      </w:r>
      <w:r>
        <w:t xml:space="preserve"> La familia Ricard controla el 22,84 % de los votos y ha comprado: 161,7 M en junio y el consejero delegado en abril [1, 36]. Suma alineación, resta independencia; la directora financiera salió el 30-sep [1].</w:t>
      </w:r>
    </w:p>
    <w:p>
      <w:pPr>
        <w:spacing w:after="100"/>
      </w:pPr>
      <w:r>
        <w:rPr>
          <w:b/>
        </w:rPr>
        <w:t xml:space="preserve">Valoración.</w:t>
      </w:r>
      <w:r>
        <w:t xml:space="preserve"> El DCF da 91,14 EUR; el DCF inverso dice que el precio descuenta ventas cayendo un 6,0 % al año durante siete años, o un margen final del 27,7 %, exigente frente a una caída orgánica del 1-4 % al año. Los comparables dan 65,66 EUR por EV/EBITDA y 90,48 EUR por PER: la deuda explica la diferencia. Nuestro BPA coincide con el consenso; la diferencia con el mercado es de múltiplo.</w:t>
      </w:r>
    </w:p>
    <w:p>
      <w:pPr>
        <w:spacing w:after="100"/>
      </w:pPr>
      <w:r>
        <w:rPr>
          <w:b/>
        </w:rPr>
        <w:t xml:space="preserve">Riesgos y catalizadores.</w:t>
      </w:r>
      <w:r>
        <w:t xml:space="preserve"> El mayor es la caída estructural del consumo (bajista de 54,62 EUR, −19,0 %), seguido de un recorte del dividendo, los aranceles y la disputa aduanera india (más de 600 M USD con sanciones, un 3 % del valor) [3, 64]. Catalizadores: junta del 20-nov, fin del perímetro de Imperial Blue en diciembre, 1S27 el 18-feb-2027 y la posible salida a bolsa de India. Precio y noticias: no cambia.</w:t>
      </w:r>
    </w:p>
    <w:p>
      <w:pPr>
        <w:spacing w:after="100"/>
      </w:pPr>
      <w:r>
        <w:rPr>
          <w:b/>
        </w:rPr>
        <w:t xml:space="preserve">Qué cambiaría la decisión.</w:t>
      </w:r>
      <w:r>
        <w:t xml:space="preserve"> La regla v3 da Comprar por debajo de 71,63 EUR y Vender por encima de 91,53 EUR, pero la calidad (ROIC − WACC de 0,2 puntos frente a 5) y la sostenibilidad «En parte» impiden comprar a cualquier precio mientras el ROIC no vuelva cerca del 10 %. Bajaríamos el base con EE. UU. por debajo de −8 % en el 1S27 o un dividendo por debajo de 4,00 EUR.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Más de 12 meses (2-3 años) · Objetivo a 12 meses: </w:t>
      </w:r>
      <w:r>
        <w:rPr>
          <w:b/>
          <w:bCs/>
        </w:rPr>
        <w:t xml:space="preserve">77,68 EUR</w:t>
      </w:r>
      <w:r>
        <w:t xml:space="preserve"> (rentabilidad +22,1 % (base +22,3 %)) · Valor intrínseco: 84,98 EUR (+26,0 % sobre 67,46) · con la prima implícita del mercado: 105,45 (+56,3 %)</w:t>
      </w:r>
    </w:p>
    <w:p>
      <w:pPr>
        <w:spacing w:after="100"/>
      </w:pPr>
      <w:r>
        <w:t xml:space="preserve">Pernod Ricard es el segundo grupo mundial de espirituosos (Absolut, Jameson, Chivas, Martell), con 9.404 M EUR de ventas y un margen operativo recurrente del 25,8 % en el FY2026 [3]. Sus marcas y sus 7.203 M de existencias envejecidas son una barrera real, pero el negocio lleva tres años encogiendo: el BPA recurrente pasó de 9,11 EUR a 5,85 EUR entre el FY2023 y el FY2026, y el ROIC del 10,0 % al 6,8 % [1, 11].</w:t>
      </w:r>
    </w:p>
    <w:p>
      <w:pPr>
        <w:spacing w:after="100"/>
      </w:pPr>
      <w:r>
        <w:t xml:space="preserve">A 67,46 EUR el precio descuenta que las ventas caigan un 6,0 % al año durante siete años; el PER adelantado es de 12,1 veces y la rentabilidad por dividendo, del 7,0 %. Es casi el múltiplo más bajo de su historia y el de una empresa sin crecimiento: el EV/EBITDA de 10,8 veces está en la mediana de los comparables solo porque la deuda (3,8 veces el EBITDA) lo infla.</w:t>
      </w:r>
    </w:p>
    <w:p>
      <w:pPr>
        <w:spacing w:after="100"/>
      </w:pPr>
      <w:r>
        <w:t xml:space="preserve">El mercado acierta en que el suelo no está probado: el 1T27 batió el consenso, pero EE. UU. cae un 10 %, China un 25 % y parte del +19 % de India es llenado de canal [4]. Se equivoca si el FY2026 fue el suelo: con ventas orgánicas planas en el FY2027, un 3 % después y el margen del plan de eficiencia, el valor es de 84,98 EUR. Para invertir hay que creer que EE. UU. vuelve a crecer en 2027 y que el dividendo aguanta; aun así, el ROIC no llega al listón de calidad del método.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4,96 = 52,58 · 13,3x × 5,85 = 77,80 · 18,0x × 6,39 = 115,02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 / 22,3 %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80,45 (nuestro base -3,3 %)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50,6 % / -19,0 %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6,6 % y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frente a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71,63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71,63 y 91,53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91,53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(22,1 % ponderada, 22,3 % el base, valor intrínseco 84,98 EUR sobre el precio), pero no es una compra robusta y no pasa los requisitos de calidad del método. Con la regla v2 de control la rentabilidad es del 13,2 % (base 11,9 %), por debajo del 15 % y del 12 %; con un BPA un 10 % peor la v3 cae a un 9-10 %. El ROIC (6,8 %) solo supera en 0,2 puntos al WACC (6,6 %), frente a los 5 que se exigen para comprar, y la sostenibilidad del crecimiento es «En parte» porque el poder de precios no está demostrado. Por eso nos quedamos en Mantener: la acción está barata en valor y la tesis es de recuperación a 2-3 años, pero la rentabilidad a 12 meses depende de una recuperación del múltiplo que solo la v3 supone.</w:t>
      </w:r>
    </w:p>
    <w:p>
      <w:pPr>
        <w:pStyle w:val="Heading2"/>
      </w:pPr>
      <w:r>
        <w:t xml:space="preserve">Qué cambiaría la recomendación</w:t>
      </w:r>
    </w:p>
    <w:p>
      <w:pPr>
        <w:pStyle w:val="ListParagraph"/>
        <w:numPr>
          <w:ilvl w:val="0"/>
          <w:numId w:val="2"/>
        </w:numPr>
        <w:spacing w:after="60"/>
      </w:pPr>
      <w:r>
        <w:t xml:space="preserve">Precio por debajo de 71,63 EUR: la regla v3 ya da Comprar, pero la calidad (ROIC − WACC de 0,2 puntos) y la sostenibilidad «En parte» lo impiden mientras el ROIC no se acerque al 10 %.</w:t>
      </w:r>
    </w:p>
    <w:p>
      <w:pPr>
        <w:pStyle w:val="ListParagraph"/>
        <w:numPr>
          <w:ilvl w:val="0"/>
          <w:numId w:val="2"/>
        </w:numPr>
        <w:spacing w:after="60"/>
      </w:pPr>
      <w:r>
        <w:t xml:space="preserve">Ventas orgánicas de EE. UU. positivas en el 1S27 o 3T27 y precio y mezcla positivos: revisaríamos la sostenibilidad a «Sí» y la probabilidad del alcista.</w:t>
      </w:r>
    </w:p>
    <w:p>
      <w:pPr>
        <w:pStyle w:val="ListParagraph"/>
        <w:numPr>
          <w:ilvl w:val="0"/>
          <w:numId w:val="2"/>
        </w:numPr>
        <w:spacing w:after="60"/>
      </w:pPr>
      <w:r>
        <w:t xml:space="preserve">Ventas orgánicas del 1S27 por debajo de −2 % o recorte del dividendo por debajo de 4,00 EUR: bajaríamos el caso base.</w:t>
      </w:r>
    </w:p>
    <w:p>
      <w:pPr>
        <w:pStyle w:val="ListParagraph"/>
        <w:numPr>
          <w:ilvl w:val="0"/>
          <w:numId w:val="2"/>
        </w:numPr>
        <w:spacing w:after="60"/>
      </w:pPr>
      <w:r>
        <w:t xml:space="preserve">Precio por encima de 91,53 EUR: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contracción permanente: ventas cayendo un 6,0 % al año durante siete años, o un margen EBITDA que baja al 27,7 %, como Brown-Forman, y un PER de 12 veces como el de una empresa sin crecimiento ni valor de marca.</w:t>
      </w:r>
    </w:p>
    <w:p>
      <w:pPr>
        <w:keepNext/>
        <w:spacing w:after="100"/>
      </w:pPr>
      <w:r>
        <w:rPr>
          <w:b/>
          <w:bCs/>
        </w:rPr>
        <w:t xml:space="preserve">Lo que creemos nosotros.</w:t>
      </w:r>
    </w:p>
    <w:p>
      <w:pPr>
        <w:spacing w:after="100"/>
      </w:pPr>
      <w:r>
        <w:t xml:space="preserve">Una estabilización: ventas orgánicas planas en el FY2027 y un 3-3,5 % después, el extremo bajo de la guía, con el margen del plan de eficiencia (31,5 %) y el dividendo mantenido. Coincidimos con el consenso en el beneficio; no tenemos una visión distinta del múltiplo a un año.</w:t>
      </w:r>
    </w:p>
    <w:p>
      <w:pPr>
        <w:keepNext/>
        <w:spacing w:after="100"/>
      </w:pPr>
      <w:r>
        <w:rPr>
          <w:b/>
          <w:bCs/>
        </w:rPr>
        <w:t xml:space="preserve">Por qué podemos tener razón.</w:t>
      </w:r>
    </w:p>
    <w:p>
      <w:pPr>
        <w:spacing w:after="100"/>
      </w:pPr>
      <w:r>
        <w:t xml:space="preserve">Fuera de EE. UU. y China las ventas ya crecen (+4 % en el resto del mundo en el 1T27), la demanda final de Martell volvió a crecer en China en el Medio Otoño y desde diciembre deja de restar el perímetro de Imperial Blue [4]. Pero no tenemos ventaja informativa: la discrepancia es de duración, no de dato.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67,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PER adelantado de 12,1 veces</w:t>
      </w:r>
      <w:r>
        <w:t xml:space="preserve">, cerca del mínimo de la serie, frente a una mediana de comparables de 16,6 veces [50].</w:t>
      </w:r>
    </w:p>
    <w:p>
      <w:pPr>
        <w:pStyle w:val="ListParagraph"/>
        <w:numPr>
          <w:ilvl w:val="0"/>
          <w:numId w:val="2"/>
        </w:numPr>
        <w:spacing w:after="60"/>
      </w:pPr>
      <w:r>
        <w:rPr>
          <w:b/>
        </w:rPr>
        <w:t xml:space="preserve">Rentabilidad por dividendo del 7,0 %</w:t>
      </w:r>
      <w:r>
        <w:t xml:space="preserve"> con 4,70 EUR mantenidos [3].</w:t>
      </w:r>
    </w:p>
    <w:p>
      <w:pPr>
        <w:pStyle w:val="ListParagraph"/>
        <w:numPr>
          <w:ilvl w:val="0"/>
          <w:numId w:val="2"/>
        </w:numPr>
        <w:spacing w:after="60"/>
      </w:pPr>
      <w:r>
        <w:rPr>
          <w:b/>
        </w:rPr>
        <w:t xml:space="preserve">1T27 mejor de lo esperado</w:t>
      </w:r>
      <w:r>
        <w:t xml:space="preserve">: −0,9 % orgánico frente a −1,7 % del consenso [4, 12].</w:t>
      </w:r>
    </w:p>
    <w:p>
      <w:pPr>
        <w:pStyle w:val="ListParagraph"/>
        <w:numPr>
          <w:ilvl w:val="0"/>
          <w:numId w:val="2"/>
        </w:numPr>
        <w:spacing w:after="60"/>
      </w:pPr>
      <w:r>
        <w:rPr>
          <w:b/>
        </w:rPr>
        <w:t xml:space="preserve">Plan de eficiencia de 1.000 M</w:t>
      </w:r>
      <w:r>
        <w:t xml:space="preserve"> del FY26 al FY28, la mitad ya entregada [4].</w:t>
      </w:r>
    </w:p>
    <w:p>
      <w:pPr>
        <w:pStyle w:val="ListParagraph"/>
        <w:numPr>
          <w:ilvl w:val="0"/>
          <w:numId w:val="2"/>
        </w:numPr>
        <w:spacing w:after="60"/>
      </w:pPr>
      <w:r>
        <w:rPr>
          <w:b/>
        </w:rPr>
        <w:t xml:space="preserve">La familia y el consejero delegado compran</w:t>
      </w:r>
      <w:r>
        <w:t xml:space="preserve">: 161,7 M en junio de 2026 [36].</w:t>
      </w:r>
    </w:p>
    <w:p>
      <w:pPr>
        <w:pStyle w:val="Heading2"/>
      </w:pPr>
      <w:r>
        <w:t xml:space="preserve">En contra</w:t>
      </w:r>
    </w:p>
    <w:p>
      <w:pPr>
        <w:pStyle w:val="ListParagraph"/>
        <w:numPr>
          <w:ilvl w:val="0"/>
          <w:numId w:val="2"/>
        </w:numPr>
        <w:spacing w:after="60"/>
      </w:pPr>
      <w:r>
        <w:rPr>
          <w:b/>
        </w:rPr>
        <w:t xml:space="preserve">ROIC del 6,8 %</w:t>
      </w:r>
      <w:r>
        <w:t xml:space="preserve">, 0,2 puntos sobre el WACC (6,6 %).</w:t>
      </w:r>
    </w:p>
    <w:p>
      <w:pPr>
        <w:pStyle w:val="ListParagraph"/>
        <w:numPr>
          <w:ilvl w:val="0"/>
          <w:numId w:val="2"/>
        </w:numPr>
        <w:spacing w:after="60"/>
      </w:pPr>
      <w:r>
        <w:rPr>
          <w:b/>
        </w:rPr>
        <w:t xml:space="preserve">Deuda neta ajustada de 12.521 M</w:t>
      </w:r>
      <w:r>
        <w:t xml:space="preserve">, 3,8 veces el EBITDA [1].</w:t>
      </w:r>
    </w:p>
    <w:p>
      <w:pPr>
        <w:pStyle w:val="ListParagraph"/>
        <w:numPr>
          <w:ilvl w:val="0"/>
          <w:numId w:val="2"/>
        </w:numPr>
        <w:spacing w:after="60"/>
      </w:pPr>
      <w:r>
        <w:rPr>
          <w:b/>
        </w:rPr>
        <w:t xml:space="preserve">EE. UU. −10 % y China −25 %</w:t>
      </w:r>
      <w:r>
        <w:t xml:space="preserve"> en el 1T27 [4].</w:t>
      </w:r>
    </w:p>
    <w:p>
      <w:pPr>
        <w:pStyle w:val="ListParagraph"/>
        <w:numPr>
          <w:ilvl w:val="0"/>
          <w:numId w:val="2"/>
        </w:numPr>
        <w:spacing w:after="60"/>
      </w:pPr>
      <w:r>
        <w:rPr>
          <w:b/>
        </w:rPr>
        <w:t xml:space="preserve">El dividendo (1.226 M) supera la caja libre (1.197 M)</w:t>
      </w:r>
      <w:r>
        <w:t xml:space="preserve"> y el saldo se ofrece en acciones [3].</w:t>
      </w:r>
    </w:p>
    <w:p>
      <w:pPr>
        <w:pStyle w:val="ListParagraph"/>
        <w:numPr>
          <w:ilvl w:val="0"/>
          <w:numId w:val="2"/>
        </w:numPr>
        <w:spacing w:after="60"/>
      </w:pPr>
      <w:r>
        <w:rPr>
          <w:b/>
        </w:rPr>
        <w:t xml:space="preserve">Disputa aduanera en India</w:t>
      </w:r>
      <w:r>
        <w:t xml:space="preserve"> de más de 600 M USD con sanciones, ampliada por una investigación el 19-oct [52, 64].</w:t>
      </w:r>
    </w:p>
    <w:p>
      <w:pPr>
        <w:pStyle w:val="Heading2"/>
      </w:pPr>
      <w:r>
        <w:t xml:space="preserve">Qué tiene que pasar para que la tesis funcione</w:t>
      </w:r>
    </w:p>
    <w:p>
      <w:pPr>
        <w:spacing w:after="100"/>
      </w:pPr>
      <w:r>
        <w:t xml:space="preserve">La tesis depende de que el FY2026 sea el suelo de las ventas en EE. UU. y China y de que el plan de eficiencia llegue al margen. La señal de que no se cumple: ventas orgánicas del 1S27 (18-feb-2027) por debajo de −2 %, EE. UU. por debajo de −8 %, India por debajo del +8 % una vez pasado el llenado de canal, o una caja libre que deje de cubrir el dividendo y lleve la deuda neta por encima de 4 veces el EBITDA.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FY26 fue el suelo.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−8 %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mercado y el que más cae.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India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+8 %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guía; parte es llenado de canal.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de eficiencia tiene que verse en 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 publicada (3,8x ajustada)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4,0x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y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 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 1.100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 del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 / 10,8x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 / 12,4x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3,8x · 4,4x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Pernod Ricard nace en 1975 de la fusión de Pernod y Ricard, dos casas de anís de Marsella y París. Se hizo global con compras: Irish Distillers (Jameson) en 1988, parte de Seagram (Chivas, Martell) en 2001, Allied Domecq (Ballantine’s, Beefeater, Kahlúa) en 2005 y Vin &amp; Sprit (Absolut) en 2008, esta última con mucha deuda. La familia Ricard conserva la presidencia y un bloque de referencia; Alexandre Ricard es presidente y consejero delegado desde 2015. Desde 2023 las ventas caen por la normalización tras la pandemia, el desestocaje en EE. UU. y la debilidad de China; en 2025-26 vendió la cartera de vinos y estudió sin éxito una fusión con Brown-Forman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Pernod y Ricard.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Irish Distillers (Jameson).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parte de los activos de Seagram (Chivas Regal, Martell).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Allied Domecq con Fortune Brands.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Vin &amp; Sprit (Absolut) por unos 5.600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Alexandre Ricard, presidente y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 ventas: 12.137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Conversaciones de fusión con Brown-Forman (marzo-abril), terminadas sin acuerdo.</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Segundo grupo mundial de espirituosos de marca: Absolut, Jameson, Chivas Regal, Ballantine’s, Martell, Royal Salute, The Glenlivet, Beefeater, Malibu, Havana Club, Ricard, Mumm y Perrier-Jouët, y whiskies indios (Royal Stag, el whisky n.º 1 del mundo con unos 32 M de cajas, y Blenders Pride) [2]. Las 13 marcas estratégicas internacionales son el 65 % de las ventas [2]. Vende en unos 160 países, con equipos propios en más de 60 y 16.893 empleados; las ventas del FY26 fueron 9.404 M: Asia y resto del mundo 42 %, Europa 31 % y Américas 27 %, con EE. UU. 17 %, India 13 % y China 7 % [2]. Mercados maduros, en torno al 55 %; emergentes, el 45 % [2]. Tras vender los vinos (2024-26) e Imperial Blue (diciembre de 2025), el negocio es de espirituosos, champán y RTD (2,5 % de las ventas) [2].</w:t>
      </w:r>
    </w:p>
    <w:p>
      <w:pPr>
        <w:pStyle w:val="Heading2"/>
      </w:pPr>
      <w:r>
        <w:t xml:space="preserve">Cómo gana dinero</w:t>
      </w:r>
    </w:p>
    <w:p>
      <w:pPr>
        <w:spacing w:after="100"/>
      </w:pPr>
      <w:r>
        <w:t xml:space="preserve">Margen bruto de en torno al 60 % y margen operativo recurrente del 26-28 % por el precio de marca; casi la mitad del valor está en marcas premium envejecidas (whisky, coñac) que exigen años de existencias en balance [22]. La publicidad y promoción es la palanca: un 15 % de las ventas en el FY26 [22]. El margen depende de la mezcla (prestige frente a estándar), del precio en mercados emergentes y del coste del líquido envejecido; la estacionalidad concentra ventas en el primer semestre (Navidad, Año Nuevo chino, Diwali).</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y 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y 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Vende a mayoristas y distribuidores (en EE. UU., por el sistema de tres niveles), a la gran distribución, a la hostelería y al travel retail; no hay un cliente relevante. El poder de precios se ha debilitado: el precio/mezcla de las marcas estratégicas fue −3 % en el FY26 (Jameson −5 %, Martell −7 %) con volumen −1 % [2]. En EE. UU. las ventas al consumidor cayeron en torno a un 7 % en el FY26 y los mayoristas redujeron existencias; el desfase frente al mercado mejoró a −2 puntos en el 1T27 [2, 4]. En China el coñac pierde cuota por su exposición a la hostelería, castigada por la campaña oficial de austeridad [2, 4]. En India gana cuota con precios al alza (premiumización)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(FY26); −0,9 %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mejora secuencial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EE. UU. y China, +0,5 % en el FY26 y +4 % en el 1T27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pb (−35 pb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−45 pb y coste del líquido envejecido frente a estructura −8 %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las marcas estratégicas internacionales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M de cajas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volumen, −3 % precio/mezcla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1T27, volumen del grupo +6 % y de estas marcas +2 %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y promoción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FY27: en torno al 16 %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estratégicas de 616 M frente a 1.213 M en el FY25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por debajo de 3x en el FY29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bebidas espirituosas de marca internacional (whisky escocés e irlandés, coñac, vodka, ginebra, ron, anisados) y champán, donde Pernod Ricard es el n.º 2 mundial detrás de Diageo [13, 22]. No hay una serie gratuita del valor mundial de los espirituosos: la serie usa EE. UU. (ingresos de los productores, DISCUS), el primer mercado de Pernod y el que más cae [22, 29]. Como contraste se dan las exportaciones de whisky escocés (Scotch Whisky Association) [31] y los volúmenes mundiales de IWSR [32]. El valor mundial de toda la bebida alcohólica fue de 1,17 billones de USD en 2022 (IWSR, citado por Diageo)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EE. UU.: 36.400 M USD de ingresos de los productores de espirituosos en 2025 (−2,2 %), 318,1 millones de cajas de 9 litros (+1,9 %) [29]. Exportaciones de whisky escocés: 5.300 M GBP en 2025 (−1,8 %) [31]. Total mundial de bebidas alcohólicas: 1,17 billones de USD de venta al público en 2022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los productores de espirituosos en EE. UU., DISC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las gamas alta y superpremium suman el 58 % de los ingresos pero bajan en volumen (−1,5 y −1,1 millones de cajas en 2025) [29]. Diageo dice que la premiumización sigue, pero «con más matices», y amplía su escalera de precios y formatos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Moderación del consumo y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IWSR prevé que el litro de alcohol puro por persona baje medio litro hasta 2035; el volumen mundial caerá hasta 2031 y en 2035 estará un 1 % por debajo de 2025 [32]. Diageo dice que los datos de Numerator muestran menos efecto de los GLP-1 en los espirituosos que en la cerveza y el vino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 listas para tomar (RTD)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las RTD crecieron un 16 % hasta 3.800 M USD en 2025; sin ellas, los espirituosos cayeron un 4 % [29, 30]. IWSR prevé +17 % de volumen de RTD en diez años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Demografía y mercados emergentes (India)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en edad legal de beber crecerá un 9 % hasta 2035; India sumará un 38 % de consumiciones y superará a EE. UU. en 2032 [32]. India es el primer mercado del whisky escocés en volumen (220 millones de botellas, +15 %)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 al Reino Unido y 15 % a la UE desde 2025; México y Canadá exentos por el T-MEC; coste para Diageo de unos 200 M USD anuales sin mitigar [17]. Exportaciones de whisky escocés a EE. UU.: −15 % en volumen entre mayo y diciembre de 2025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(baijiu y austeridad)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Diageo en la Gran China cayeron un 34,9 % en el FY26 por un descenso del 41,9 % del volumen de baijiu tras cambios de política que redujeron las ocasiones de consumo [13]. Las consumiciones en China cayeron un 7 % en 2025 [32].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FY26, Pernod bajó un 3,9 % orgánico y Diageo un 2,0 %; en EE. UU. el tequila de Diageo perdió cuota frente a una «mayor intensidad competitiva» y los precios bajan (precio/mezcla −1,6 % en Diageo) [13, 14,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el sistema de tres niveles obliga a vender a través de mayoristas, que redujeron inventario en el FY26 (envíos unos 2,5 puntos por debajo del consumo) [13]. La gran distribución y los monopolios estatales negocian precio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(cereal, agave, melaza, vidrio) son genéricas; el agave más barato mejoró el margen del FY26 en Norteamérica [13]. Un tercio de las ventas está expuesto a zonas con estrés hídrico alto o muy alto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whisky escocés exige años de envejecimiento y la distribución en EE. UU. depende de mayoristas; las marcas nuevas de éxito suelen acabar compradas por los grandes (Casamigos, Aviation Gin) [13,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RTD y las bebidas sin alcohol crecen (cerveza sin alcohol +8 % de volumen en 2025), y la moderación y los GLP-1 restan consumo [13, 32]. Los espirituosos ganaron 13 puntos de cuota en el alcohol de EE. UU. desde 2000 (42,4 % en 2025) [29].</w:t>
            </w:r>
          </w:p>
        </w:tc>
      </w:tr>
    </w:tbl>
    <w:p>
      <w:pPr>
        <w:spacing w:after="160" w:before="0"/>
      </w:pPr>
    </w:p>
    <w:p>
      <w:pPr>
        <w:pStyle w:val="Heading2"/>
      </w:pPr>
      <w:r>
        <w:t xml:space="preserve">Ciclo</w:t>
      </w:r>
    </w:p>
    <w:p>
      <w:pPr>
        <w:spacing w:after="100"/>
      </w:pPr>
      <w:r>
        <w:t xml:space="preserve">Los indicadores son los ingresos de los productores en EE. UU. (DISCUS), los volúmenes de IWSR y las ventas orgánicas de los grandes grupos. En 2008-09 el mercado de EE. UU. no cayó: 18.700 M USD en ambos años [29]. En 2020-21 subió un 10 % y un 12 % con el consumo en casa [29]. Desde 2022 se estanca: 37.600 M en 2022, 37.700 M en 2023, 37.200 M en 2024 y 36.400 M en 2025 [29], con desestocaje de los mayoristas y menor renta disponible. En el mundo, el volumen de espirituosos cayó un 3 % en 2025 [32], y Diageo y Pernod cayeron un 2,0 % y un 3,9 % orgánico en el FY26 [14, 22].</w:t>
      </w:r>
    </w:p>
    <w:p>
      <w:pPr>
        <w:pStyle w:val="Heading2"/>
      </w:pPr>
      <w:r>
        <w:t xml:space="preserve">Regulación</w:t>
      </w:r>
    </w:p>
    <w:p>
      <w:pPr>
        <w:spacing w:after="100"/>
      </w:pPr>
      <w:r>
        <w:t xml:space="preserve">Aranceles de EE. UU. desde 2025: 10 % a los productos del Reino Unido y 15 % a los de la UE; tequila mexicano y whisky canadiense exentos si cumplen el T-MEC [17, 25]. Se discute la posible subida al 35 % de la tarifa sobre el whisky de malta escocés (vence una suspensión de cinco años) y la revisión de los aranceles tras el fallo del Tribunal Supremo de EE. UU. [17, 31]. En mayo de 2026 Diageo celebró una noticia sobre el whisky escocés y los aranceles en EE. UU., con efecto mínimo en el FY26 y más relevante para el FY27 [18]. Impuestos especiales: en el Reino Unido, el impuesto a los espirituosos subió más del 17 % en tres años y se cobra por graduación [13, 31]; en India, Maharashtra subió impuestos en el FY26 [13]. En EE. UU. regulan la TTB federal y los estados (precios, etiquetado, publicidad, distribución) [13]. Rémy Cointreau cita un precio mínimo de importación del coñac en China acordado con el MOFCOM [25].</w:t>
      </w:r>
    </w:p>
    <w:p>
      <w:pPr>
        <w:pStyle w:val="Heading2"/>
      </w:pPr>
      <w:r>
        <w:t xml:space="preserve">Tendencias y disrupción</w:t>
      </w:r>
    </w:p>
    <w:p>
      <w:pPr>
        <w:spacing w:after="100"/>
      </w:pPr>
      <w:r>
        <w:t xml:space="preserve">Las RTD son el segmento que más crece: 1.000 millones de cajas de 9 litros en el mundo en 2025 [32] y +16 % en EE. UU. [29]; Diageo, que creó el segmento con Smirnoff Ice, reconoce que «perdió el foco» y lo vuelve a integrar con sus marcas [13]. La cerveza sin alcohol (+8 % de volumen) favorece a Guinness 0.0, la cerveza sin alcohol n.º 1 en el Reino Unido [13, 32]. El consumo se desplaza a India, México, Colombia y Vietnam, y cae en China, EE. UU., Japón, Alemania y Reino Unido [32]. El tequila, motor de la década en EE. UU., bajó un 4,1 % en 2025 [29] y Diageo perdió cuota en él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2 mundial en espirituosos de marca internacional, detrás de Diageo (ventas de 9.404 M EUR frente a 16.844 M EUR); n.º 1 en whisky irlandés (Jameson), n.º 1 en coñac en volumen en China (Martell, 48 % de cuota en valor según la empresa) y líder en espirituosos importados premium en India con un 40 % de cuota en valor [2,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DGE.L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mundial (Johnnie Walker, Smirnoff, Guinness, Don Julio). FY26 (a junio de 2026): ventas de 19.643 M USD y resultado operativo antes de partidas excepcionales de 5.683 M USD; convertido a 1,1662 USD/EUR (media BCE del ejercicio) [13, 14,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cerveza mexicana importada en EE. UU. (Modelo, Corona); compite con Guinness y las RTD. FY26 (a febrero de 2026): beneficio operativo de 2.721 M USD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(Vinos y Licores, Moët Hennessy)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Champán y coñac (Hennessy); Diageo tiene el 34 %. 2025: 5.358 M EUR y resultado operativo de 1.016 M EUR; a 1,1300 USD/EUR (media BCE de 2025) [28,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BF-B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Daniel's, Woodford Reserve, Herradura. FY26 (a abril de 2026): ventas netas de 3.928 M USD y beneficio operativo de 1.001 M USD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Campari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CPR.MI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Aperitivos (Aperol, Campari), Espolòn, Wild Turkey, Courvoisier. 2025: 3.051 M EUR (+2,4 % orgánico); margen EBIT ajustado; a 1,1300 USD/EUR [26,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Becle (Jose Cuervo)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CUERVO.MX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tequila. 2025: 43.087 M MXN (−2,0 %), beneficio operativo de 9.664 M MXN; a 19,178 MXN/USD (media BCE de 2025) [27,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Rémy Cointreau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RCO.PA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Coñac (Rémy Martin) y licores. Ejercicio 2025-26 (a marzo de 2026): 935,3 M EUR (+0,2 % orgánico) y resultado operativo corriente de 165,4 M EUR; a 1,1591 USD/EUR [25,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bebidas.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la fidelidad es a la marca, no un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centenarias con margen operativo del 25,8 % frente al 17,7 % de Rémy Cointreau y el 20,9 % de Campari [10, 13, 14]; pero precio/mezcla negativo en EE. UU. y China en el FY26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y publicidad; el coste del líquido envejecido sube con la inflación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propia en más de 160 países y existencias envejecidas que un entrante tarda 10-20 años en reunir [10].</w:t>
            </w:r>
          </w:p>
        </w:tc>
      </w:tr>
    </w:tbl>
    <w:p>
      <w:pPr>
        <w:spacing w:after="160" w:before="0"/>
      </w:pPr>
    </w:p>
    <w:p>
      <w:pPr>
        <w:pStyle w:val="Heading2"/>
      </w:pPr>
      <w:r>
        <w:t xml:space="preserve">Amenazas</w:t>
      </w:r>
    </w:p>
    <w:p>
      <w:pPr>
        <w:spacing w:after="100"/>
      </w:pPr>
      <w:r>
        <w:t xml:space="preserve">Primera, la moderación del consumo entre los jóvenes y los GLP-1: IWSR prevé que el volumen mundial siga cayendo hasta 2031 [32]. Segunda, la pérdida de poder de precios en EE. UU. y China, donde Pernod cayó un 14 % y el coñac sufre aranceles [22, 25]. Tercera, los aranceles de EE. UU. del 15 % a los productos de la UE [17]. Cuarta, el desplazamiento hacia las bebidas listas para tomar y el tequila, donde Pernod tiene poca presencia [29]. Probabilidad media-alta de que el margen no recupere el 28 % del FY23.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FY2021-FY2026: ingresos </w:t>
      </w:r>
      <w:r>
        <w:rPr>
          <w:b/>
          <w:bCs/>
        </w:rPr>
        <w:t xml:space="preserve">1,3 %</w:t>
      </w:r>
      <w:r>
        <w:t xml:space="preserve">, EBITDA </w:t>
      </w:r>
      <w:r>
        <w:rPr>
          <w:b/>
          <w:bCs/>
        </w:rPr>
        <w:t xml:space="preserve">0,3 %</w:t>
      </w:r>
      <w:r>
        <w:t xml:space="preserve">, BPA </w:t>
      </w:r>
      <w:r>
        <w:rPr>
          <w:b/>
          <w:bCs/>
        </w:rPr>
        <w:t xml:space="preserve">-1,0 %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caen tres años seguidos desde el máximo de 12.137 M del FY23 hasta 9.404 M en el FY26 (−22,5 %): orgánico −1 % en el FY24, −3 % en el FY25 y −3,9 % en el FY26, más divisa (−568 M en el FY26) y ventas de negocios (−582 M) [2, 8]. EE. UU. (−14 % orgánico en el FY26) y China (−19 %) explican la caída; sin ellos el grupo creció un 0,5 % [2]. El margen operativo recurrente pasó del 27,6 % del FY23 al 25,8 % (−35 pb orgánicos en el FY26, −117 pb publicados): el margen bruto restó 221 pb (precio/mezcla negativo, aranceles −45 pb, inflación del líquido envejecido) y los gastos de estructura, que bajaron un 8 %, sumaron 109 pb [2]. El 1T FY27 (15-oct-2026) mejora: −0,9 % orgánico y −6,3 % publicado, con volúmenes +6 % y EE. UU. −10 %, China −25 % e India +19 % [4].</w:t>
      </w:r>
    </w:p>
    <w:p>
      <w:pPr>
        <w:pStyle w:val="Heading2"/>
      </w:pPr>
      <w:r>
        <w:t xml:space="preserve">Ajustes y partidas no recurrentes</w:t>
      </w:r>
    </w:p>
    <w:p>
      <w:pPr>
        <w:spacing w:after="100"/>
      </w:pPr>
      <w:r>
        <w:t xml:space="preserve">La cuenta va en la base recurrente de la empresa: EBIT = resultado operativo recurrente (PRO), resultado financiero, impuesto y minoritarios recurrentes, beneficio neto recurrente atribuido y BPA recurrente diluido [2, 9, 10]. La diferencia con las NIIF son los «otros ingresos y gastos operativos» (reestructuraciones, deterioros, plusvalías de ventas de marcas): −261 M en el FY26 y −208 M en el FY25, con un beneficio neto publicado de 1.203 M (BPA 4,77) y 1.626 M (6,45) [1]. Se repiten todos los años (reestructuración «Fit for Future» y ventas de marcas), así que no son excepcionales: en la valoración se tratan como parte del coste vía la tasa de reinversión y se dicen en el texto. El EBITDA es el de la empresa (PRO más amortizaciones), el mismo que usa para la deuda neta/EBITDA (3,7x) y que da MarketScreener (2.836 M).</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Pernod publica ventas cada trimestre y resultados cada semestre (el trimestre fiscal empieza en julio: 1T27 = julio-septiembre de 2026). En los resultados del FY26 (27-ago) la dirección habló de un año de «transición»: orgánico del 1S −5,9 % y del 2S −1,3 %, guía FY27 de ventas orgánicas «ampliamente estables» con caídas en EE. UU. y China por ajuste de inventarios, y marco FY27-FY29 «cerca del extremo bajo» del +3 % a +6 % [2, 5]. Los analistas preguntaron sobre todo por el margen bruto (líquido envejecido más caro, conflicto de Oriente Medio, devolución de aranceles en EE. UU.) y por cómo encaja una media del 3 % con un FY27 plano: la directora financiera entrante dijo que el arancel neto en EE. UU. y China se compensa en parte con el tratado India-Reino Unido y no dio cifras [5]. Frente a febrero, cuando la guía FY26 hablaba de mejora «sesgada al 2S» y de inversiones estratégicas de 750 M, el discurso ya da por tocado fondo en China (ventas al consumidor de vuelta al crecimiento en el Medio Otoño) [4, 7]. El 1T27 (15-oct) batió el consenso que recopila la propia empresa: −0,9 % orgánico frente a −1,7 % (rango −3,8 % a −0,2 %) [4, 12]. La dirección evitó cuantificar el margen operativo orgánico del FY27 («lo defenderemos con fuerza») y la salida a bolsa de Pernod Ricard India, que dice estar preparando [4, 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(FY2023: Compras de participaciones y negocios por 1.159 M (estado de flujos) y salto de los minoritarios de 309 a 998 M: el activo crece 1.664 M [9].; FY2026: Venta de Imperial Blue (efectiva en diciembre de 2025) y de vinos (Mumm Napa, Kenwood): efecto perímetro de −582 M en ventas y −114 M en el resultado operativo recurrente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publicada (con arrendamientos) bajó de 10.951 M en el FY24 a 10.727 M en el FY25 y 10.662 M en el FY26, pero el ratio sobre EBITDA subió de 3,3x a 3,7x porque el EBITDA cayó un 16 % [2]. El circulante es el rasgo del negocio: 7.203 M de existencias envejecidas (whisky, coñac) sobre 8.470 M de inventario, un 77 % de las ventas; la empresa recortó la inversión en existencias estratégicas de 645 M (FY24) a 233 M (FY26) [2]. La caja libre cubre los dividendos solo con el factoring y las ventas de marcas: FCF de 1.197 M frente a 1.226 M de dividendos en el FY26 [2]. En el FY28 vencen 1.833 M de bonos con cupones del 0,5-3,75 %, que se refinanciarán por encima del 3,4 % de coste medio.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FY2021-FY2026: FCF </w:t>
      </w:r>
      <w:r>
        <w:rPr>
          <w:b/>
          <w:bCs/>
        </w:rPr>
        <w:t xml:space="preserve">7.281</w:t>
      </w:r>
      <w:r>
        <w:t xml:space="preserve">, conversión </w:t>
      </w:r>
      <w:r>
        <w:rPr>
          <w:b/>
          <w:bCs/>
        </w:rPr>
        <w:t xml:space="preserve">64 %</w:t>
      </w:r>
      <w:r>
        <w:t xml:space="preserve"> del beneficio neto; adquisiciones 2.508, dividendos 6.237, recompras 1.974.</w:t>
      </w:r>
    </w:p>
    <w:p>
      <w:pPr>
        <w:spacing w:after="100"/>
      </w:pPr>
      <w:r>
        <w:t xml:space="preserve">El flujo operativo (después de intereses e impuestos, que la empresa clasifica en explotación) cayó de 2.294 M en el FY22 a 1.579 M en el FY26 [1, 10]. La inversión en existencias estratégicas va dentro del circulante del flujo operativo (233 M en el FY26, 557 M en el FY25), y el capex de 391 M es la mitad del máximo de 773 M del FY24 [1, 2]. La empresa define la «caja libre» como flujo operativo menos capex neto: 1.197 M en el FY26, +6 %, con una conversión de caja del 91 % (74 % en el FY25) [2]. El capex de mantenimiento no se publica; estimación propia: unos 350-400 M, cerca de la amortización (413 M), porque el capex del FY26 ya está en ese nivel y la empresa habla de «inversiones estratégicas» que no pasarán de 700 M entre capex y existencias [2, 4]. Las ventas de marcas aportaron 438 M en el FY26 y 308 M en el FY25.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KPMG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consolidadas del FY26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NIIF-UE auditadas por Deloitte (23 años seguidos) y KPMG (10 años) sin salvedades [1]. Los «otros gastos operativos» se repiten todos los años (−261 M en el FY26, −208 M en el FY25), sobre todo reestructuración y deterioros (106 M de deterioros netos en el FY26), y la empresa los excluye de su beneficio recurrente: el BPA publicado (4,77) queda un 18 % por debajo del recurrente (5,85) [1, 2]. Las existencias envejecidas no se amortizan y su coste sube con la inflación pasada del líquido, lo que retrasa el impacto en el margen [5]. El factoring de 1.105 M mejora la caja y el circulante; está estable desde hace dos años [2]. Los pagos en acciones son pequeños (16 M). El auditor señala como cuestión clave el deterioro de marcas: 40 M en la sociedad matriz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−208 y −261 M al año en el FY25-FY26: el BPA recurrente sobrestima el beneficio publicado en un 13-18 %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Factoring de clientes por 1.105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Reduce las cuentas a cobrar netas a 1.228 M frente a 2.332 M brutas; se trata como deuda en el puente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por encima de la caja libre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de 1.226 M frente a FCF de 1.197 M en el FY26; el saldo del FY26 se ofrece en acciones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6.458 M en FY2026 (el 24 % del capital invertido medio); ha subido más de un 5 % en 2 de 5 años: compras pequeñas. ROIC publicado 6,8 %; sin fondo de comercio, 8,9 %.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0,0 % · </w:t>
      </w:r>
      <w:r>
        <w:rPr>
          <w:b/>
          <w:bCs/>
        </w:rPr>
        <w:t xml:space="preserve">WACC</w:t>
      </w:r>
      <w:r>
        <w:t xml:space="preserve">: 6,6 %.</w:t>
      </w:r>
    </w:p>
    <w:p>
      <w:pPr>
        <w:spacing w:after="100"/>
      </w:pPr>
      <w:r>
        <w:t xml:space="preserve">Pernod crea muy poco valor sobre el capital que ha pagado: el ROIC del FY2026 es del 6,8 %, apenas 0,2 puntos por encima del WACC (6,6 %), frente al 10,0 % del FY2023 [1]. La caída sale del margen, no de la rotación: el NOPAT baja de 2.591 M a 1.834 M mientras el capital invertido sube de 25.937 M a 27.099 M por las existencias envejecidas (7.203 M) y las marcas compradas. Sin fondo de comercio el ROIC es del 8,9 %, y el ROIC incremental de los últimos años es nulo: el capital añadido desde el FY2023 no ha generado beneficio. Diageo, con un margen operativo del 28,9 % frente al 25,8 %, rinde algo más sobre un capital igual de cargado de marcas [13, 14]. Con el margen del 30,6 % del FY2028e el ROIC volvería a un 7,5-8 %: crea valor, pero lejos de los 5 puntos sobre el WACC que exige una compra.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12.521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1.993 M a 30-jun-2026 y unos 2.800 M de líneas comprometidas no dispuestas, de ellas una sindicada revolving de 2.100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Baa1/P2 y S&amp;P BBB+/A2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Factoring y titulización de clientes por 1.105 M a 30-jun-2026 (1.122 M un año antes): las cuentas a cobrar brutas son 2.332 M y las netas 1.228 M [2]; es financiación y en el puente se suma a la deuda. El dividendo a cuenta de 592 M figuraba como pasivo corriente al cierre y se pagó el 24-jul-2026 [1]. Provisiones para pensiones de 216 M (265 M en el FY25), otras provisiones no corrientes de 310 M y corrientes de 125 M [1]. Los préstamos tienen covenants de apalancamiento financiero según el URD; la deuda neta/EBITDA es de 3,7x con objetivo por debajo de 3x en el FY29 [1, 2]. Pasivos por impuestos diferidos de 3.125 M ligados sobre todo a las marcas [1]. Sin litigios materiales provisionados por encima de lo habitual.</w:t>
      </w:r>
    </w:p>
    <w:p>
      <w:pPr>
        <w:pStyle w:val="Heading1"/>
      </w:pPr>
      <w:r>
        <w:t xml:space="preserve">12. Asignación de capital</w:t>
      </w:r>
    </w:p>
    <w:p>
      <w:pPr>
        <w:pStyle w:val="Confianza"/>
        <w:spacing w:after="100"/>
      </w:pPr>
      <w:r>
        <w:t xml:space="preserve">Confianza: Media</w:t>
      </w:r>
    </w:p>
    <w:p>
      <w:pPr>
        <w:spacing w:after="100"/>
      </w:pPr>
      <w:r>
        <w:t xml:space="preserve">Prioridades declaradas: inversión en existencias y capex, gestión activa de la cartera (compras que creen valor), dividendo progresivo con un pago de en torno al 50 % del beneficio neto recurrente y recompras cuando lo anterior esté cubierto, manteniendo el grado de inversión [2]. El dividendo está en 4,70 EUR desde el FY23, un 80 % del BPA recurrente del FY26 (5,85); el saldo del FY26 (2,35 EUR, fecha ex 25-nov-2026, pago 18-dic) se podrá cobrar en acciones nuevas emitidas con un 10 % de descuento [1]. No hay recompras desde el FY24 (334 M) [1]. Objetivo de deuda neta/EBITDA por debajo de 3x en el FY29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participaciones y marcas del FY23 (1.159 M en el estado de flujos)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contables de 998 M desde el FY23; sin deterioro material publicado del fondo de comercio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cartera de vinos (Jacob’s Creek, Campo Viejo y otras) y de Mumm Napa y Kenwood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(cobro)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Cobros de 308 M en el FY25 y parte de los 438 M del FY26; mejora el margen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Imperial Blue (India) a Tilaknagar, efectiva en diciembre de 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(cobro)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Inmediatamente acretiva en margen según la empresa; resta ventas al perímetro hasta diciembre de 2026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entre iguales con Brown-Forman (conversaciones confirmadas el 26-mar-2026)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Canje de acciones (propuesto)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Terminadas sin acuerdo el 28-abr-2026.</w:t>
            </w:r>
          </w:p>
        </w:tc>
      </w:tr>
    </w:tbl>
    <w:p>
      <w:pPr>
        <w:spacing w:after="160" w:before="0"/>
      </w:pPr>
    </w:p>
    <w:p>
      <w:pPr>
        <w:spacing w:after="100"/>
      </w:pPr>
      <w:r>
        <w:t xml:space="preserve">En diez años la dirección pasó de comprar (marcas premium, RTD, agave) a vender: unos 1.500 M de ingresos brutos por ventas de marcas no estratégicas [2]. El capital se ha ido sobre todo a existencias envejecidas: las inversiones estratégicas llegaron a 1.400 M en el FY24, cuando ya caían las ventas, y ahora se recortan a 616 M [2]. El retorno de esa inversión no aparece todavía: el beneficio recurrente es un 37 % inferior al del FY23. El dividendo plano de 4,70 EUR con un pago del 80 % y la opción de cobro en acciones indican que se defiende el dividendo con dilución en vez de recortarlo, a diferencia de Diageo, que lo redujo a la mitad en febrero de 2026.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Ricard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Nieto del fundador; en el grupo desde 2003, consejero delegado desde febrero de 2015 y presidente desde noviembre de 2015 [1]. Llevó las ventas a su máximo de 12.137 M en el FY23 y ha presidido la caída a 9.404 M; tiene 245.000 acciones a título personal y compró 22.581 en el último año [1,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Mauve Croizat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(EVP Finance &amp; IT)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Sustituye a Hélène de Tissot, que dejó el grupo el 30-sep-2026; presentó ya las cifras del FY26 en la conferencia de agosto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Conor McQuaid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Pernod Ricard USA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responde del primer mercado (17 % de las ventas), que cayó un 14 % orgánico en el FY26 y no cumplió el objetivo de evolucionar en línea con el mercado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Gilles Bogaert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Global Markets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a 30-jun-2026; dirige la red comercial reorganizada en 10 entidades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Patricia Barbizet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coordinadora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Contrapeso independiente de un presidente-consejero delegado de la familia; su mandato vence en la junta de 2026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ventas bajo de un dígito y expansión del margen operativo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−1 % orgánico; resultado operativo recurrente +1,5 % orgánico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orgánica de ventas de un dígito bajo y defensa del margen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−3 % orgánico; margen operativo publicado estable (26,9 %)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transición con mejora sesgada al 2S; inversiones estratégicas de unos 750 M; conversión de caja ≥ 80 %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−3,9 % (1S −5,9 %, 2S −1,3 %); inversiones de 616 M; conversión del 91 %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FY27-FY29 (marco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+3 % a +6 % de ventas orgánicas al año; desde ago-2026 «cerca del extremo bajo» de media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FY27 guiado plano; 1T27 −0,9 %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en la cúpula: Alexandre Ricard lleva once años al frente, sin cambios de presidente o consejero delegado en 24 meses [1]. La credibilidad de la guía es media: cumplió la defensa del margen y la caja, pero el marco de crecimiento a medio plazo se ha rebajado dos veces (4-7 % a 3-6 % y ahora al extremo bajo) [4, 6]. El cambio de directora financiera en septiembre de 2026 y la intentona fallida con Brown-Forman (marzo-abril) muestran presión para cambiar algo [1, 38, 39]. El presidente y la familia compran acciones (161,7 M el 19-jun-2026 por una sociedad familiar), señal de que ven el precio bajo [36]. No hay plan de sucesión público.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Ricard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Patricia Barbizet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Albert Baladi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Virginie Fauvel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Max Koeune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Anne Lange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 Lemierre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Petitcolin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Kory Sorenson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Ian Gallienne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 Groupe Bruxelles Lambert)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2012</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César Giron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 Société Paul Ricard)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Société Paul Ricard (Patricia Ricard Giron)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1983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Veronica Vargas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(familia Ricard)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Carla Machado Leite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Brice Thommen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consolidadas del FY26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163,64 / ventas 0,10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Concierto familiar Paul Ricard (Société Paul Ricard, Le Delos Invest I-III, Rigivar y miembros de la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(22,84 %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pt desde dic-2025 (15,16 %): compra de 2,52 M de acciones el 19-jun-2026 [1,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Bruxelles Lambert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de referencia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de la empresa a 31-mar-2026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Goldman Sachs Group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Cruza el 5 % de los votos el 15-jun-2026, a la vez que la operación con derivados de Le Delos Invest II [1,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el 5 % de los votos en julio de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el 5 % el 29-may-2026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5 % el 24-mar-2026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30-jun-2026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465.733 acciones sin voto a 30-sep-2026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Alexandre Ricard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Alexandre Ricard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(entrega de acciones de rendimiento, venta parcial)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 vinculada a un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Alexandre Ricard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 vinculada a Veronica Vargas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 Delos Invest II (sociedad de Société Paul Ricard,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2.523.628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el FY26 Alexandre Ricard devengó 1,33 M de fijo, 1,17 M de variable anual (108 % del fijo frente a un objetivo del 110 % y un máximo del 180 %) y acciones de rendimiento valoradas en 2,23 M: 5,25 M en total, 63 veces el coste medio por empleado del grupo [1]. El variable anual pesa un 80 % en cuatro métricas financieras (resultado operativo recurrente, beneficio neto recurrente, caja libre recurrente y margen, un 20 % cada una) y un 30 % en criterios no financieros; no cobró el criterio de EE. UU. [1]. Las acciones de rendimiento dependen del resultado operativo a tres años y del TSR frente a ocho competidores [1]. En la junta de 2025 la remuneración del FY25 obtuvo un 89,2 % a favor y un 10,8 % en contra; descontados los votos de la familia (22 % de los derechos), el rechazo del capital libre ronda el 14,6 % (estimación propia) [35].</w:t>
      </w:r>
    </w:p>
    <w:p>
      <w:pPr>
        <w:pStyle w:val="Heading2"/>
      </w:pPr>
      <w:r>
        <w:t xml:space="preserve">Operaciones vinculadas, estructura de control y defensas</w:t>
      </w:r>
    </w:p>
    <w:p>
      <w:pPr>
        <w:spacing w:after="100"/>
      </w:pPr>
      <w:r>
        <w:t xml:space="preserve">La familia Ricard actúa en concierto con el 16,16 % del capital y el 22,84 % de los votos gracias al voto doble de las acciones nominativas con más de dos años: 50,7 M de acciones tenían voto doble a 30-jun-2026 [1]. Preside y dirige un miembro de la familia y tiene otros tres consejeros (Société Paul Ricard, César Giron y Veronica Vargas); GBL, con un 6,8 %, tiene otro [1]. Ocho de los doce consejeros elegidos por la junta son independientes, con una consejera coordinadora [1]. Con un 22,8 % de los votos y una asistencia del 80 % del capital en la junta, la familia tiene de hecho minoría de bloqueo y decide quién preside; la fusión con Brown-Forman, otra empresa familiar, se rompió sin acuerdo en un mes [38, 39]. Las sociedades de la familia han pignorado acciones (950.917 el 14-oct-2026 y 2,84 M en junio de 2026, ligadas a instrumentos a plazo) [36].</w:t>
      </w:r>
    </w:p>
    <w:p>
      <w:pPr>
        <w:pStyle w:val="Heading2"/>
      </w:pPr>
      <w:r>
        <w:t xml:space="preserve">Señales de alerta</w:t>
      </w:r>
    </w:p>
    <w:p>
      <w:pPr>
        <w:pStyle w:val="ListParagraph"/>
        <w:numPr>
          <w:ilvl w:val="0"/>
          <w:numId w:val="2"/>
        </w:numPr>
        <w:spacing w:after="60"/>
      </w:pPr>
      <w:r>
        <w:t xml:space="preserve">Cambio de directora financiera: Hélène de Tissot dejó el grupo el 30-sep-2026; la sustituye Mauve Croizat [1].</w:t>
      </w:r>
    </w:p>
    <w:p>
      <w:pPr>
        <w:pStyle w:val="ListParagraph"/>
        <w:numPr>
          <w:ilvl w:val="0"/>
          <w:numId w:val="2"/>
        </w:numPr>
        <w:spacing w:after="60"/>
      </w:pPr>
      <w:r>
        <w:t xml:space="preserve">Pignoraciones de acciones por las sociedades familiares (Société Paul Ricard, Le Delos Invest II) en octubre de 2025, enero, junio y octubre de 2026, y compra de 2,52 M de acciones con instrumentos a plazo el 19-jun-2026: la familia se apalanca para aumentar su participación [36].</w:t>
      </w:r>
    </w:p>
    <w:p>
      <w:pPr>
        <w:pStyle w:val="ListParagraph"/>
        <w:numPr>
          <w:ilvl w:val="0"/>
          <w:numId w:val="2"/>
        </w:numPr>
        <w:spacing w:after="60"/>
      </w:pPr>
      <w:r>
        <w:t xml:space="preserve">Presidente y consejero delegado en la misma persona, de la familia de control, con voto doble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FY27 (guía del 27-ago-2026, confirmada el 15-oct-2026): ventas orgánicas «ampliamente estables», con caídas en EE. UU. y China por ajuste de inventarios desde el 1T y crecimiento en el resto del mundo, sobre todo India; publicidad en torno al 16 % de las ventas; defensa «fuerte» del margen operativo orgánico; inversiones estratégicas de unos 700 M y conversión de caja del 90 % [2, 4]. Medio plazo FY27-FY29: crecimiento orgánico de ventas de media «cerca del extremo bajo» del +3 % a +6 %, expansión del margen orgánico con 1.000 M de eficiencias acumuladas entre el FY26 y el FY28 (la mitad ya lograda), conversión del 90 % y deuda neta/EBITDA por debajo de 3x en el FY29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19-oct-2026 (BPA en NIIF, con partidas no recurrentes) [41]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19-oct-2026 [41]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19-oct-2026 [41]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 – 122,00</w:t>
            </w:r>
          </w:p>
        </w:tc>
      </w:tr>
    </w:tbl>
    <w:p>
      <w:pPr>
        <w:spacing w:after="160" w:before="0"/>
      </w:pPr>
    </w:p>
    <w:p>
      <w:pPr>
        <w:pStyle w:val="Heading2"/>
      </w:pPr>
      <w:r>
        <w:t xml:space="preserve">Revisiones de estimaciones</w:t>
      </w:r>
    </w:p>
    <w:p>
      <w:pPr>
        <w:spacing w:after="100"/>
      </w:pPr>
      <w:r>
        <w:t xml:space="preserve">Las estimaciones llevan un año a la baja: el FY26 acabó con ventas de 9.404 M y BPA recurrente de 5,85 (−19 %) y, tras los resultados de agosto, Mediobanca y Deutsche Bank rebajaron sus objetivos [42, 53]. Desde finales de septiembre los objetivos se mueven poco y en los dos sentidos: Deutsche Bank sube de 61 a 63 EUR por el dólar aunque recorta ventas (30-sep), Rothschild &amp; Co Redburn baja de 82 a 65 EUR (9-oct), BNP Paribas sube de 58 a 60 EUR en infraponderar y Berenberg revisa estimaciones manteniendo comprar tras el 1T27 (16-oct), y RBC sube de 69 a 71 EUR en «performance de marché» el 19-oct, con un orgánico del FY27 del −0,2 % y dudas sobre el dividendo y el desapalancamiento [48, 52, 53]. El 1T27 batió el consenso de la propia empresa (−0,9 % orgánico frente a −1,7 %) [12]. Las estimaciones de MarketScreener del 19-oct apenas cambian frente al 16-oct (ventas FY27e 9.322 M frente a 9.325 M; BPA igual). Solo hay una fuente gratuita con estimaciones completas (MarketScreener); su EBITDA y su EBIT son los recurrentes de la empresa y su BPA es el NIIF (4,77 en el FY26 frente a 5,85 recurrente).</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bl>
    <w:p>
      <w:pPr>
        <w:spacing w:after="160" w:before="0"/>
      </w:pPr>
    </w:p>
    <w:p>
      <w:pPr>
        <w:spacing w:after="100"/>
      </w:pPr>
      <w:r>
        <w:t xml:space="preserve">La acción pierde un 24,4 % en un año y un 19,2 % anual en cinco, frente a −3,7 % y +3,4 % anual del CAC 40 en precio [40]: el mercado ha pasado de pagar el ciclo alcista poscovid de los destilados (máximo de 217 EUR en 2022) a descontar una caída estructural. La caída máxima de cinco años es del −68,9 % (abril de 2023 a marzo de 2026), y el mínimo de 52 semanas, 57,86 EUR, se marcó el 5-oct-2026 [40]. En 2026 la peor parte llegó con los resultados de Diageo (25-feb, −7,9 % en Pernod por el recorte del dividendo de Diageo), la confirmación de las conversaciones con Brown-Forman (26-mar, −5,7 %) y los resultados del FY26 (27-ago, −4,6 %) [38, 40, 49]. Desde el mínimo de octubre sube un 16,6 %, con todo el sector y un 1T27 mejor de lo esperado [40, 46, 47]; el 19-oct cede un 1,1 % (67,46 EUR) pese a la subida de objetivo de RBC [48]. Posiciones cortas publicadas (por encima del 0,5 %): Marshall Wace 0,58 % (15-oct) y AQR 0,59 % (30-sep), un 1,17 % del capital entre las dos [54]. Beta de 0,62 mensual a cinco años y 0,96 semanal a dos años frente al CAC 40 [40].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 / +6,8 % / +2,6 % / -25,3 %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 / +16,2 %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un mes hasta el 16-oct (ocho sesiones seguidas al alza desde el mínimo de 57,86 EUR del 5-oct), con todo el sector (Diageo +7 %, Rémy +19 % entre el 12 y el 16-oct) y ventas del 1T27 mejores de lo esperado (−0,9 % orgánico frente a −1,7 %); el 19-oct cede un 1,1 % [4, 12, 40, 46, 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18-sep tras los resultados del FY26 (27-ago: −4,6 % en el día), con la guía de ventas orgánicas solo estables y el sector en mínimos de una década [3,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Pernod confirma conversaciones de fusión con Brown-Forman; terminan sin acuerdo el 28-abr [38,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recorta su dividendo a la mitad y el mercado extiende la duda a Pernod, cuyo dividendo absorbe toda la caja libre [49].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 Newswires informa de que India investiga a Pernod Ricard y a Diageo por la clasificación de importaciones de whisky escocés a granel [52]. Se suma al litigio aduanero que ya figura en las cuentas (decisión del 15-sep-2025 que sube un 67,49 % el valor de los concentrados importados desde 2021, suspendida y recurrida, y otra del 29-jun-2026 sobre 2009-2015) [1]; la prensa cifra la reclamación en unos 314 M USD y más de 600 M USD con sanciones si pierde (unos 2,1 EUR por acción) [64]. No hay decisión con fecha.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RBC sube el objetivo de 69 a 71 EUR y mantiene «performance de marché»: ve el problema del sector como cíclico y estructural y el dividendo «preocupante» para el desapalancamiento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BNP Paribas sigue en infraponderar con objetivo de 58 a 60 EUR; Berenberg revisa estimaciones y mantiene comprar; el 9-oct Rothschild &amp; Co Redburn bajó de 82 a 65 EUR en neutral, y el 30-sep Deutsche Bank subió de 61 a 63 EUR en conservar [52, 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publicadas por la AMF: Marshall Wace 0,58 % (15-oct) y AQR 0,59 % (30-sep), un 1,17 % del capital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 de 2.234 M (−0,9 % orgánico, −6,3 % publicado por la salida de Imperial Blue y de los vinos); EE. UU. −10 %, China −25 %, India +19 % con llenado de canal por la posible salida a bolsa de la filial; guía del FY27 confirmada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Société Paul Ricard pignora 950.917 acciones (declaración del 16-oct); la familia ya había pignorado acciones en junio al comprar 2,52 M con instrumentos a plazo. No hay venta anunciada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la directora financiera, Hélène de Tissot; la sustituye Mauve Croizat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 Delos Invest II (familia Ricard) compra 2.523.628 acciones (161,7 M); el concierto familiar sube al 16,16 % del capital y al 22,84 % de los votos [1,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presidente y consejero delegado, Alexandre Ricard, compra 6.081 acciones y una persona vinculada a una consejera, 3.000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y Brown-Forman terminan las conversaciones de fusión sin acuerdo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13,5 % en un mes y un 16,2 % desde el mínimo de 52 semanas, pero pierde un 25,3 % en un año y sigue en tendencia lateral, un 0,4 % sobre la media de 200 sesiones y sin avisos de precio [40]. El rebote es de sector y lo apoya un dato (1T27 mejor de lo esperado), no un rumor [4, 47]. Lo nuevo del 19-oct es una investigación fiscal en India sobre el whisky a granel, que amplía un litigio ya recogido en las cuentas y sin fecha de decisión: la exposición publicada (más de 600 M USD con sanciones) es un 3 % de la capitalización [1, 64]. No hay colocaciones ni ventas de la familia, que ha comprado en 2026 [36]. Los resultados del 1S27 (18-feb-2027) quedan a cuatro meses. Ningún hecho pendiente con fecha puede mover el precio más de un 5 %: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los seis cierres de junio (FY2021-FY2026) el PER adelantado pasa de 22,9-25,6 veces en 2021-2023 a 11,5 veces en junio de 2026; la mediana de cinco años es de 17,5 veces y el actual, de 12,1 [1, 40]. No quitamos el FY2021-FY2023: son el múltiplo que Pernod tuvo antes de la pandemia, no una burbuja, y no cumplen ninguna regla de exclusión. Lo estructural es que el mercado ha dejado de pagar a Pernod como un crecedor del 4-7 %: la mediana está 1,45 veces por encima del actual, por debajo del 1,8 que el método trata como cambio de régimen, así que decide la v3 con su tope (el base sube solo un 10 %, a 13,3 veces).</w:t>
      </w:r>
    </w:p>
    <w:p>
      <w:pPr>
        <w:pStyle w:val="Heading1"/>
      </w:pPr>
      <w:r>
        <w:t xml:space="preserve">18. Comparables cotizados</w:t>
      </w:r>
    </w:p>
    <w:p>
      <w:pPr>
        <w:pStyle w:val="Confianza"/>
        <w:spacing w:after="100"/>
      </w:pPr>
      <w:r>
        <w:t xml:space="preserve">Confianza: Media</w:t>
      </w:r>
    </w:p>
    <w:p>
      <w:pPr>
        <w:spacing w:after="100"/>
      </w:pPr>
      <w:r>
        <w:t xml:space="preserve">Grupos de bebidas alcohólicas con marcas globales: los destiladores cotizados (Diageo, Brown-Forman, Campari, Rémy Cointreau), Constellation Brands y las dos grandes cerveceras (AB InBev y Heineken). Las cifras son de MarketScreener a 12-oct-2026 (en EUR) y se llevan al cierre del 19-oct (Europa; EE. UU. al del 16-oct, porque la sesión del 19-oct no había cerrado) con la variación del precio de cada una: la capitalización y el PER, por el cociente de precios; el valor empresa, por el cambio de la capitalización (en Diageo, sin deuda neta en la ficha, solo el PER) [40, 50]. Fuera LVMH (el lujo pesa el 90 % de su beneficio) y Kweichow Moutai (mercado chino regulado). Rémy Cointreau (+15 % en una semana) distorsiona por arriba; con ella fuera la mediana del PER apenas cambia. Sin cambio de divisa: el EUR/USD pasa de 1,1253 a 1,1225 entre el 16 y el 19-oct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 InBev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Campari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Rémy Cointreau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Heineken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10,6x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10,6x / 13,2x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16,6x / 18,3x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 / 3,5x / 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11,9 + -0,32 × crecimiento; R² = 0,10. El crecimiento explica poco los múltiplos de estos comparables (R² &lt; 0,3): la regresión no se usa en la valoración.</w:t>
      </w:r>
    </w:p>
    <w:p>
      <w:pPr>
        <w:spacing w:after="100"/>
      </w:pPr>
      <w:r>
        <w:t xml:space="preserve">Pernod cotiza a 10,8 veces el EBITDA de los próximos 12 meses, en línea con la mediana de los siete comparables, y a 12,4 veces el BPA, frente a una mediana de 16,6 veces [50]. Las dos lecturas no cuadran por la deuda: Pernod tiene 3,8 veces de deuda neta ajustada sobre el EBITDA y el PER castiga menos que el valor empresa a los apalancados. El EV/EBITDA da 65,66 EUR por acción y el PER 90,48 EUR; usamos la media (78,07 EUR) con un 20 % de peso. La mezcla tiene sesgos: AB InBev y Heineken son cerveceras que crecen más; Rémy (26,4 veces el BPA) y Campari (19,8 veces) llevan prima de recuperación; Constellation (10,8 veces) está tan desrateada como Pernod. El crecimiento no explica los múltiplos de la muestra (R² 0,10).</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 African Breweries (65 %) y UDV Kenya (53,68 %)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Asahi Group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Diageo: producto neto estimado de 2.300 M USD tras impuestos y costes, 17 veces el EBITDA ajustado y valor empresa implícito de 4.800 M USD por el 100 % de EABL. EABL facturó 996 M USD en el FY25, con EBITDA de 258 M (18,6x publicado) y deuda neta de 229 M. Cierre previsto en el 2S del año natural 2026.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Courvoisier (coñac, con Salignac)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Campari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1.320 M USD (1.200 M fijos más hasta 120 M de pago aplazado en 2029), unas 17 veces la contribución tras publicidad (CAAP) de 2022 (78 M USD) sobre ventas de 249 M. No publica EBITDA. Cerrada el 30-abr-2024.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Cinzano y Frattina (vermú y espumosos)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Caffo Group 1915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Campari por 100 M EUR sin caja ni deuda (112 M USD al tipo del corte), sobre ventas de 75 M EUR y CAAP de 21 M EUR en 2024 (4,8 veces la CAAP). Marcas de vino y vermú de bajo margen.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 Papa Rum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260 M EUR al contado más hasta 177,5 M EUR condicionados a resultados hasta 2028 (291 M USD el pago inicial y 489 M USD con todo el variable, al tipo del corte). No se publicaron ventas ni múltiplo. En el FY26 Diageo registró un deterioro de Don Papa dentro de los 1.500 M de deterioros.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Aviation American Gin y Davos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610 M USD: 335 M iniciales y hasta 275 M según resultados en diez años. No se publicaron ventas ni múltiplo. [51]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61,09 – 135,05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 destilados publican el múltiplo de EBITDA: Asahi paga 17 veces el EBITDA ajustado por EABL y Campari pagó unas 17 veces la contribución tras publicidad por Courvoisier (5,3 veces ventas), mientras las marcas de vino y vermú salen a 1,3 veces ventas [51]. Pernod tiene un concierto familiar con el 22,8 % de los votos: una opa hostil es inviable, y la única operación corporativa intentada, la fusión entre iguales con Brown-Forman de marzo de 2026, terminó sin acuerdo un mes después [38, 39]. El valor de control no es un escenario de este informe.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−3 %, con ventas orgánicas estables según la guía, unos −2,8 puntos de perímetro por Imperial Blue y los vinos (−127 M en el 1T27, hasta diciembre) y divisa casi neutra (−3 M en el 1T27) [4]. FY2028e-FY2031e: 3-3,5 %, el extremo bajo del objetivo de la empresa para el FY27-FY29 («cerca del +3 %») [4]; luego 2,5 %. Es algo menos que el consenso en el FY2027e (9.122 M frente a 9.322 M) porque recogemos el perímetro entero, y casi igual en el FY2029e [41]. El crecimiento medio (2,1 %) queda por encima del 1,3 % anual histórico de las ventas publicadas FY2021-FY2026 [1, 11].</w:t>
      </w:r>
    </w:p>
    <w:p>
      <w:pPr>
        <w:keepNext/>
        <w:spacing w:after="100"/>
      </w:pPr>
      <w:r>
        <w:rPr>
          <w:b/>
          <w:bCs/>
        </w:rPr>
        <w:t xml:space="preserve">Márgenes.</w:t>
      </w:r>
    </w:p>
    <w:p>
      <w:pPr>
        <w:spacing w:after="100"/>
      </w:pPr>
      <w:r>
        <w:t xml:space="preserve">Margen EBITDA del 30,2 % en el FY2027e, el real del FY2026 (2.423 M de resultado operativo recurrente más 413 M de amortización sobre 9.404 M) [3], en línea con el consenso (30,2 %) [41]. Sube al 31,5 % en el FY2031e con el plan de 1.000 M de eficiencias del FY26 al FY28 (la mitad ya entregada), parte del cual se reinvierte en publicidad (16 % de las ventas) [3, 4]. Queda por debajo del 31,0 % del FY2023 más el ahorro, porque el poder de precios se ha debilitado (precio y mezcla negativos en el FY26) y los aranceles costaron 45 pb [2].</w:t>
      </w:r>
    </w:p>
    <w:p>
      <w:pPr>
        <w:keepNext/>
        <w:spacing w:after="100"/>
      </w:pPr>
      <w:r>
        <w:rPr>
          <w:b/>
          <w:bCs/>
        </w:rPr>
        <w:t xml:space="preserve">Inversión y circulante.</w:t>
      </w:r>
    </w:p>
    <w:p>
      <w:pPr>
        <w:spacing w:after="100"/>
      </w:pPr>
      <w:r>
        <w:t xml:space="preserve">Amortización del 4,4 % de las ventas (413 M en el FY2026). Capex del 5,4 %: el 4,2 % del FY2026 (391 M) más los pagos de arrendamientos (101 M), porque el EBITDA NIIF 16 no lleva los alquileres [1]. El circulante comercial se queda en el 79,5 % de las ventas (77,2 % en el FY2026: 8.470 M de existencias, el 85 % envejecidas, más clientes menos proveedores) [3]: con la guía de inversiones estratégicas de unos 700 M (capex más existencias estratégicas) el modelo invierte unos 500 M de capex y 210-260 M de circulante al año desde el FY2028e [4]. El FCFF del FY2027e (1.686 M antes de intereses) queda algo por encima de la caja libre publicada del FY2026 más intereses (unos 1.500 M), que llevaba costes de reestructuración [3].</w:t>
      </w:r>
    </w:p>
    <w:p>
      <w:pPr>
        <w:keepNext/>
        <w:spacing w:after="100"/>
      </w:pPr>
      <w:r>
        <w:rPr>
          <w:b/>
          <w:bCs/>
        </w:rPr>
        <w:t xml:space="preserve">Coste del capital.</w:t>
      </w:r>
    </w:p>
    <w:p>
      <w:pPr>
        <w:spacing w:after="100"/>
      </w:pPr>
      <w:r>
        <w:t xml:space="preserve">Tasa libre del 3,49 % (Bund a 10 años, 19-oct-2026) [43]. Beta de 0,9: la ajustada semanal a cinco años es 0,91 y la semanal a dos años 0,96; la mensual a cinco años (0,62) está deprimida por el periodo de pandemia [40]. Prima de mercado del 5,5 % y 0,5 puntos de prima adicional por la exposición a India, China y otros emergentes. Coste de la deuda antes de impuestos del 3,7 % (el coste medio actual es del 3,4 %; sumamos el de refinanciar) [3] y 38 % de deuda a valor de mercado (10.662 M frente a 17.027 M de capitalización). WACC del 6,6 %. Con la prima implícita del mercado (4,2 %) [45] el WACC baja al 5,9 %.</w:t>
      </w:r>
    </w:p>
    <w:p>
      <w:pPr>
        <w:keepNext/>
        <w:spacing w:after="100"/>
      </w:pPr>
      <w:r>
        <w:rPr>
          <w:b/>
          <w:bCs/>
        </w:rPr>
        <w:t xml:space="preserve">Valor terminal.</w:t>
      </w:r>
    </w:p>
    <w:p>
      <w:pPr>
        <w:spacing w:after="100"/>
      </w:pPr>
      <w:r>
        <w:t xml:space="preserve">Crecimiento a perpetuidad del 2,0 %, la inflación esperada del euro y 1,5 puntos por debajo del Bund. El valor terminal pesa el 75 % del valor; equivale a 12,2 veces el EBITDA final, algo por encima del EV/EBITDA de los próximos 12 meses de hoy (10,8 veces) y de la mediana de los comparables [50].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 M (15 %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(reinvierte el 37 %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(histórico: 0,0 %)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frente al 2,1 %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2.053 M, el 15 % del NOPAT, con un capex bruto medio del 5,4 % de las ventas). En un negocio de activos ligeros, el crecimiento medio del 2,1 %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orgánicas estables: volumen +1 % (India y resto del mundo; +6 % en el 1T27) y precio/mezcla −1 % (mezcla peor por la caída de EE. UU. y del coñac en China); −3 % de perímetro (Imperial Blue y vinos) y divisa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y precio +2 %, inflación de los emergentes: el extremo bajo del objetivo del 3-6 % orgánico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por India y el resto del mundo, con EE. UU. estabilizado; precio +2 %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y precio +2 %; por debajo del 4-7 % que la empresa logró antes de la pandemia [9,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el FY2030e; converge al 2,5 % y al 2 % terminal.</w:t>
            </w:r>
          </w:p>
        </w:tc>
      </w:tr>
    </w:tbl>
    <w:p>
      <w:pPr>
        <w:spacing w:after="160" w:before="0"/>
      </w:pPr>
    </w:p>
    <w:p>
      <w:pPr>
        <w:spacing w:after="100"/>
      </w:pPr>
      <w:r>
        <w:t xml:space="preserve">Las pruebas del motor pasan: la proyección reinvierte el 15 % del NOPAT y un negocio de marcas puede crecer un 2,1 % con precio y volumen sin capital nuevo. Pero la prueba de un negocio ligero es el poder de precios, y está en duda: el precio y la mezcla fueron negativos en el FY26 y en el 1T27, las ventas publicadas solo crecieron un 1,3 % anual entre el FY2021 y el FY2026 y el ROIC (6,8 %) apenas cubre el WACC [1, 2, 4]. El foso (marcas líderes, existencias envejecidas de 7.203 M que un competidor tardaría doce años en reunir) sostiene el margen, pero el crecimiento del 3 % solo se ha visto antes de la pandemia. «En parte»: no rebajamos el base porque ya está en el extremo bajo de la guía y las pruebas numéricas pasan.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 (base: 2,1 %)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27,7 % (base: 31,5 %)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6,6 %)</w:t>
            </w:r>
          </w:p>
        </w:tc>
      </w:tr>
    </w:tbl>
    <w:p>
      <w:pPr>
        <w:spacing w:after="160" w:before="0"/>
      </w:pPr>
    </w:p>
    <w:p>
      <w:pPr>
        <w:spacing w:after="100"/>
      </w:pPr>
      <w:r>
        <w:t xml:space="preserve">El DCF da 91,14 EUR por acción, un 35,1 % sobre el precio, con el valor terminal en el 75 % del total. El DCF inverso es la clave: a 67,46 EUR el mercado descuenta que las ventas caigan un 6,0 % al año durante siete años con nuestros márgenes, o un margen EBITDA final del 27,7 % con nuestras ventas; la rentabilidad implícita en el precio es del 7,5 %, frente a un WACC del 6,6 %. Es un supuesto exigente a la baja: las ventas publicadas cayeron un 8,1 % anual entre el FY2023 y el FY2026, pero con desestocaje, la salida del pico de la pandemia, la venta de los vinos y de Imperial Blue y divisa; en orgánico la caída fue del 1-4 % al año [1, 3]. Un margen del 27,7 % es el de Brown-Forman hoy [23]. Dicho de otra forma, el precio solo se justifica si la caída de los tres últimos años continúa y el plan de eficiencia no llega al margen. La sensibilidad es grande: con un WACC un punto más alto (7,6 %) el valor baja a 65,39 EUR,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y China siguen cayendo en el FY2027 (ventas −5 %), el efecto de India se revierte, el plan de eficiencia se reinvierte entero en publicidad y el margen EBITDA baja dos puntos, al 28,2-29,5 %, como el de Brown-Forman; el WACC sube medio punto por la rebaja de rating. Es lo que ya viven Diageo y Rémy.</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planas en el FY2027 y vuelta a un 3-3,5 % desde el FY2028 por India y el resto del mundo, el extremo bajo de la guía; el plan de eficiencia sube el margen EBITDA al 31,5 % y el dividendo se mantiene.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vuelve a crecer en el FY2028 al terminar el desestocaje, China se estabiliza con el acuerdo del coñac y el crecimiento llega al 4,5-5 %, el centro de la banda del 3-6 %; el margen sube un punto más que en el base.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67,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82,28 EUR (+22,0 %).</w:t>
      </w:r>
    </w:p>
    <w:p>
      <w:pPr>
        <w:spacing w:after="100"/>
      </w:pPr>
      <w:r>
        <w:t xml:space="preserve">El bajista (54,62 EUR, −19,0 %) pierde una quinta parte; el alcista (101,61 EUR, +50,6 %) gana la mitad. La asimetría es de 2,66 veces en el DCF y de 3,2 veces a 12 meses. Damos un 30 % al bajista porque la caída del consumo puede ser estructural: es el escenario que ya viven Diageo y Rémy Cointreau [49]. El alcista tiene poco recorrido sobre el base (+11 %) porque el valor ya supone una recuperación del margen; el riesgo está en el lado bajista. Compensa en valor, pero depende de un WACC bajo: con un punto más el base (65,39 EUR) queda por debajo del precio.</w:t>
      </w:r>
    </w:p>
    <w:p>
      <w:pPr>
        <w:pStyle w:val="Heading1"/>
      </w:pPr>
      <w:r>
        <w:t xml:space="preserve">22. Suma de partes</w:t>
      </w:r>
    </w:p>
    <w:p>
      <w:pPr>
        <w:pStyle w:val="Confianza"/>
        <w:spacing w:after="100"/>
      </w:pPr>
      <w:r>
        <w:t xml:space="preserve">Confianza: Media</w:t>
      </w:r>
    </w:p>
    <w:p>
      <w:pPr>
        <w:spacing w:after="100"/>
      </w:pPr>
      <w:r>
        <w:t xml:space="preserve">No aplica: tras vender los vinos (2024-2025) e Imperial Blue (diciembre de 2025), el grupo es un solo negocio de espirituosos y champán, con márgenes y comparables parecidos en todas las marcas [1,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67,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84,98 EUR (+26,0 % sobre 67,46).</w:t>
      </w:r>
    </w:p>
    <w:p>
      <w:pPr>
        <w:spacing w:after="100"/>
      </w:pPr>
      <w:r>
        <w:t xml:space="preserve">Pesamos el DCF base (91,14 EUR) y los escenarios ponderados (82,28 EUR) al 40 % cada uno y los comparables al 20 % (78,07 EUR, la media de EV/EBITDA y PER de los próximos 12 meses): valor intrínseco de 84,98 EUR, un 26,0 % sobre el precio. Las transacciones (mediana de 126,11 EUR) llevan prima de control y marcas de crecimiento (Courvoisier, EABL): no se usan [51]. La dispersión es amplia (de 54,62 a 126,83 EUR) porque el valor depende de que el margen se recupere y de una tasa de descuento baja.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(12.1x) × 1.1 (tope: la mediana de 5 años, 17.5x,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+77,5 %</w:t>
            </w:r>
          </w:p>
        </w:tc>
      </w:tr>
    </w:tbl>
    <w:p>
      <w:pPr>
        <w:spacing w:after="160" w:before="0"/>
      </w:pPr>
    </w:p>
    <w:p>
      <w:pPr>
        <w:spacing w:after="100"/>
      </w:pPr>
      <w:r>
        <w:rPr>
          <w:b/>
          <w:bCs/>
        </w:rPr>
        <w:t xml:space="preserve">Objetivo a 12 meses (ponderado):</w:t>
      </w:r>
      <w:r>
        <w:t xml:space="preserve"> 77,68 EUR · rentabilidad +22,1 % (base +22,3 %) · señal Comprar.</w:t>
      </w:r>
    </w:p>
    <w:p>
      <w:pPr>
        <w:spacing w:after="100"/>
      </w:pPr>
      <w:r>
        <w:t xml:space="preserve">Para comparar, con la regla v2 (historia al cierre, mismo precio): 10,9x / 12,1x / 15,7x, 13,2 % Mantener; con el tope anterior del base (×1,3, 14-oct mediodía): 30,7 %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recurrente del FY2028e (5,85 EUR) está un 3 % por encima del BPA NIIF del consenso (5,68 EUR), que lleva unos 0,2-0,3 EUR de partidas no recurrentes al año (4,77 frente a 5,85 en el FY26): en la misma base estamos en línea [3, 41]. En ventas y EBITDA quedamos un 1-2 % por debajo del consenso en el FY2027e-FY2028e porque recogemos todo el perímetro de Imperial Blue. Nuestro precio base a 12 meses (77,80 EUR) está un 3,3 % por debajo del objetivo medio de 80,45 EUR, dentro del rango de 60-122 EUR: la diferencia es de múltiplo (13,3 veces frente a unas 14 veces implícitas), no de beneficio.</w:t>
      </w:r>
    </w:p>
    <w:p>
      <w:pPr>
        <w:keepNext/>
        <w:spacing w:after="100"/>
      </w:pPr>
      <w:r>
        <w:rPr>
          <w:b/>
          <w:bCs/>
        </w:rPr>
        <w:t xml:space="preserve">Del valor intrínseco al objetivo a 12 meses.</w:t>
      </w:r>
    </w:p>
    <w:p>
      <w:pPr>
        <w:spacing w:after="100"/>
      </w:pPr>
      <w:r>
        <w:t xml:space="preserve">El objetivo a 12 meses (77,68 EUR ponderado; 77,80 EUR el base) queda un 9 % por debajo del valor intrínseco (84,98 EUR). La regla v3 sube el PER del actual (12,1 veces) solo hasta el tope de ×1,1 (13,3 veces), aunque la mediana de cinco años es 17,5 veces; la v2 de control (base en el PER de hoy, 12,1 veces) da 71,68 EUR y un 13,2 %. La diferencia entre las dos es justo si el mercado devuelve algo de múltiplo en un año: eso pide uno o dos trimestres de ventas orgánicas positivas en EE. UU., y el primer dato es el 1S27 (18-feb-2027). Con un BPA un 10 % peor la ponderada cae al 9-10 %.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Aprueba el saldo del dividendo del FY26 (2,35 EUR) con opción de cobro en acciones; voto de la remuneración del consejero delegado [1,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25-nov-2026 / 18-dic-2026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y pago del saldo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2,35 EUR por acción (3,5 % del precio); un cobro en acciones alto diluye en torno a un 1-1,5 %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efecto perímetro de Imperial Blue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2S27 las ventas publicadas dejan de restar unos 130 M por trimestre (−127 M en el 1T27)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del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Navidad y Año Nuevo chino: prueba de si EE. UU. y China tocan fondo y primer dato de margen del plan de eficiencia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 del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 la vuelta a ventas orgánicas positivas que necesita el múltiplo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salida a bolsa de la filial india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Pondría precio de mercado al negocio que más crece (+19 % en el 1T27) y podría reducir deuda; depende del consejo [4,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Litigio aduanero e investigación fiscal en India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Reclamación de unos 314 M USD (más de 600 M USD con sanciones), recurrida; la investigación del 19-oct sobre el whisky a granel la amplía [1, 52, 64].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del consumo de alcohol (jóvenes, salud, GLP-1)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sobre el DCF base (escenario bajista: 54,62 EUR frente a 91,14)</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Premiumización y emergentes (India +19 % en el 1T27) que crecen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mundial de IWSR y consumo final de EE. UU. por debajo de −3 % otro año [32]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y China no tocan fondo en el FY27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−20 % sobre el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Desestocaje de mayoristas avanzado; en China la demanda final volvió a crecer en el Medio Otoño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por debajo de −8 % o China por debajo de −15 %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corto plazo (Diageo cayó con fuerza el día de su recorte) [49]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cobro en acciones y caja libre de 1.197 M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por debajo de 1.100 M o deuda neta/EBITDA por encima de 4x; RBC ya lo llama «preocupante» [48]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de 3,8 veces el EBITDA con la deuda ajustada y rebaja del rating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+0,5 puntos de WACC ≈ −16 % (76,99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Baa1/BBB+, coste de la deuda del 3,4 % y unos 2.800 M de líneas sin disponer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Perspectiva negativa de Moody’s o S&amp;P; deuda neta/EBITDA sin bajar en el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la UE y el Reino Unido y fin del acuerdo con China sobre el coñac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Tratado India-Reino Unido en vigor desde julio de 2026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del arancel de la UE o del precio mínimo chino del coñac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 aduanero e investigación fiscal en India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(más de 600 M USD con sanciones, unos 2,1 EUR por acción) [64]</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2025 suspendida y recurrida; victorias previas de la filial en el Supremo sobre la deducibilidad de la publicidad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del Commissioner o nueva reclamación tras la investigación del 19-oct [52]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de llenado de canal en India antes de la salida a bolsa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india es sólida (premiumización, comparativa fácil en Maharashtra)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por debajo del +8 %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grande que diluya o endeude (tras el intento con Brown-Forman)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Conversaciones cerradas sin acuerdo el 28-abr; objetivo de deuda neta/EBITDA por debajo de 3x en el FY29 [4,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Rumores de fusión o ampliación</w:t>
            </w:r>
          </w:p>
        </w:tc>
      </w:tr>
    </w:tbl>
    <w:p>
      <w:pPr>
        <w:spacing w:after="160" w:before="0"/>
      </w:pPr>
    </w:p>
    <w:p>
      <w:pPr>
        <w:pStyle w:val="Heading2"/>
      </w:pPr>
      <w:r>
        <w:t xml:space="preserve">Pre-mortem</w:t>
      </w:r>
    </w:p>
    <w:p>
      <w:pPr>
        <w:spacing w:after="100"/>
      </w:pPr>
      <w:r>
        <w:t xml:space="preserve">Octubre de 2029: la acción ha perdido un 40 %, hasta unos 40 EUR. La caída del consumo en EE. UU. no era desestocaje sino estructural: los menores de 35 años beben menos, los GLP-1 se generalizan y las bebidas sin alcohol ganan ocasiones. Pernod encadena tres años de ventas orgánicas planas o negativas; el llenado de canal del 1T27 en India se revierte en cuanto sale a bolsa la filial, y la disputa aduanera india acaba en una reclamación de más de 600 M USD. El plan de eficiencia de 1.000 M se reinvierte en publicidad para defender cuota y el margen operativo no pasa del 25 %. China rompe el acuerdo sobre el coñac tras una nueva disputa comercial con la UE. La caja libre baja de 1.000 M, la deuda neta pasa de 4 veces el EBITDA, Moody’s rebaja a Baa2 y el consejo recorta el dividendo a la mitad, como Diageo. El PER se queda en 8-9 veces un BPA de 4,5 EUR. Indicadores que lo habrían anticipado: ventas orgánicas de EE. UU. por debajo de −8 % en el 1S27, caja libre por debajo del dividendo dos años seguidos y la deuda neta/EBITDA sin bajar de 3,5x en el FY27.</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−2 % (pequeño frente al escenario bajista)</w:t>
      </w:r>
    </w:p>
    <w:p>
      <w:pPr>
        <w:spacing w:after="100"/>
      </w:pPr>
      <w:r>
        <w:t xml:space="preserve">La IA no sustituye una botella de Jameson ni una existencia envejecida de doce años: las ventas no son sustituibles por la IA. Toca los costes y la publicidad. Pernod usa herramientas propias de IA para asignar el presupuesto de publicidad y promoción (el 16 % de las ventas) y para la gestión de precios y promociones, y la transformación digital forma parte del plan de eficiencia de 1.000 M entre el FY26 y el FY28 [3, 4]. La amenaza es indirecta: distribuidores y comercio electrónico con IA comparan precios y ganan poder de negociación, y la publicidad dirigida abarata la entrada de marcas pequeñas. Señal: que el margen operativo no suba con el plan de eficiencia o que la publicidad sobre ventas tenga que pasar del 16 % para defender la cuota.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18,7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 /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2025-06</w:t>
            </w:r>
          </w:p>
        </w:tc>
      </w:tr>
    </w:tbl>
    <w:p>
      <w:pPr>
        <w:spacing w:after="160" w:before="0"/>
      </w:pPr>
    </w:p>
    <w:p>
      <w:pPr>
        <w:pStyle w:val="Heading2"/>
      </w:pPr>
      <w:r>
        <w:t xml:space="preserve">Asuntos materiales</w:t>
      </w:r>
    </w:p>
    <w:p>
      <w:pPr>
        <w:spacing w:after="100"/>
      </w:pPr>
      <w:r>
        <w:t xml:space="preserve">Los asuntos materiales son el consumo responsable (regulación de publicidad, impuestos especiales e información sanitaria: en EE. UU. se debatió en 2025 el aviso de cáncer en las etiquetas), el agua y la agricultura (cereal, uva, agave) y el envasado de vidrio, que concentra buena parte de las emisiones del alcance 3 [29, 32].</w:t>
      </w:r>
    </w:p>
    <w:p>
      <w:pPr>
        <w:pStyle w:val="Heading2"/>
      </w:pPr>
      <w:r>
        <w:t xml:space="preserve">Controversias</w:t>
      </w:r>
    </w:p>
    <w:p>
      <w:pPr>
        <w:spacing w:after="100"/>
      </w:pPr>
      <w:r>
        <w:t xml:space="preserve">No hemos encontrado sanciones relevantes en tres años en las fuentes accesibles. El principal litigio comercial es la investigación antidumping china sobre el brandy europeo, que impuso depósitos y luego un precio mínimo de importación del coñac [25].</w:t>
      </w:r>
    </w:p>
    <w:p>
      <w:pPr>
        <w:pStyle w:val="Heading1"/>
      </w:pPr>
      <w:r>
        <w:t xml:space="preserve">27. Preguntas abiertas para la dirección y la due diligence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−10 % del 1T27 es desestocaje y cuánto consumo, y en qué trimestre se igualan envíos y consumo final?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problema cíclico de uno estructural; mueve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+19 % del 1T27 es llenado de canal por la salida a bolsa, qué porcentaje de la filial se colocaría y qué provisión hay para la disputa aduanera?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sostiene la guía de ventas estables y concentra el litigio de más de 600 M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caja libre y apalancamiento se mantiene el dividendo de 4,70 EUR, y cuánto del saldo se espera en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(1.226 M) consume toda la caja libre (1.197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eficiencia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1.000 M llega al margen y cuánto cuesta en caja la reestructuración?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que el margen EBITDA sube del 30,2 % al 31,5 %.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margen devuelve en el FY27 la caída del impacto de aranceles y qué pasa si China revisa el acuerdo del coñac?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Fueron −45 pb en el FY26.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nivel objetivo de existencias envejecidas sobre ventas y cuándo deja de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mayor partida de reinversión y decide la conversión en caja.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análisis de septiembre ve debilidad a corto plazo pero recorrido a largo; el titular de la retirada del arancel del 10 % al whiskey irlandés en EE. UU. (14-sep) se lee como alivio para Jameson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(comentario y lectores, Alemania)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FY26, «las cifras solo se arreglan con el dividendo»; prevé un dividendo menor en 2026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Narrativas alcistas por marcas premium y emergentes conviven con una cadena de rebajas de objetivos de los analistas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Idéal Investisseur y BFM Bourse (comentario de mercado, Francia)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«no encuentra suelo» desde los resultados de agosto; algunos lectores señalan el RSI cerca de sobreventa como posible rebote técnico [58,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Culture Financière (artículo y comentarios, Francia)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1T27, el rebote se lee como el final del desestocaje; los lectores discuten si el dividendo de 4,70 EUR aguanta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Idéal Investisseur (comentario técnico)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Rotura de resistencias de 64,50 y 65,52 EUR antes de las ventas; se habla de rebote técnico desde mínimos plurianuales [62].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Sostenibilidad del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fondo: la caja libre del FY26 (1.197 M) no cubre los 1.226 M pagados en dividendos y el saldo se ofrece en acciones [1, 3]; RBC lo llama «preocupante» [48]. La empresa mantiene 4,70 EUR y espera una conversión del 90 %; nuestro base lo mantiene, y el recorte está en los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y China: cuándo toca fondo la demanda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1T27 lo confirma solo en parte: EE. UU. −10 % y China −25 % por ajuste de inventarios, pero la demanda final de Martell volvió a crecer en el Medio Otoño y el grupo bate el consenso [4,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mínimos de una década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de 12,1 veces está cerca del mínimo de la serie y la rentabilidad por dividendo es del 7,0 % [40]; el DCF inverso dice que el precio descuenta ventas cayendo un 6,0 % al año durante siete años, más exigente que la caída orgánica del 1-4 % anual del FY2024-FY2026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Moderación del consumo y GLP-1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real y ya en el escenario bajista; IWSR prevé volumen mundial a la baja antes de recuperarse [32].</w:t>
            </w:r>
          </w:p>
        </w:tc>
      </w:tr>
    </w:tbl>
    <w:p>
      <w:pPr>
        <w:spacing w:after="160" w:before="0"/>
      </w:pPr>
    </w:p>
    <w:p>
      <w:pPr>
        <w:spacing w:after="100"/>
      </w:pPr>
      <w:r>
        <w:t xml:space="preserve">El sentimiento pasa de negativo a dividido tras el 1T27: los foros franceses leen el rebote como el final del desestocaje, mientras los de Alemania y EE. UU. siguen centrados en el dividendo [59, 62]. No hay euforia ni capitulación: el debate es si el dividendo aguanta, no si la empresa sobrevive. Coincide con los analistas, con un objetivo medio de 80,45 EUR y movimientos de objetivo pequeños en los dos sentidos en octubre [42, 52]. El sentimiento no aporta un riesgo que el informe no recoja; recuerda que el rebote de octubre es de sector y que el dato que tiene que confirmarlo es el del 1S27.</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64 (36 primarias); citas distintas en el texto: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79,5 % frente a 77,2 %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0,10: el crecimiento no explica los múltiplos de estos comparables; no uses el valor de la regresión. Explicación: Con siete comparables y crecimientos de −0,2 % a 6,8 %, el crecimiento no explica los múltiplos (R² 0,10): pesan más el apalancamiento y la mezcla de cerveza frente a destilados.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13,2 %: para comprar o ampliar hace falta motivo de negocio propio; para mantener basta la vigente. Explicación: La v3 da Comprar (22,1 % ponderada), pero la v2 de control se queda en 13,2 % (base 11,9 %): no es una compra robusta. Además falla la calidad (ROIC 6,8 % frente a un WACC del 6,6 %, 0,2 puntos frente a los 5 exigidos) y la sostenibilidad es «En parte»: la recomendación es Mantener.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fuentes (36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15, 16, 21, 34, 55.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4.8 de deuda del URD FY26 (no publica la vida media); 2) presentación FY26, diapositiva de vencimientos (imagen sin cifras); 3) calcularla con la lista de bonos de la diapositiva 66: posible, pero el saldo en USD no cuadra con el contable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Pernod (no accesible); 2) IWSR y DISCUS (solo volúmenes y EE. UU.); 3) cociente de ventas frente a un mercado mundial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de las juntas de 2023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juntas de la web (solo el acta de 2025 enlazada); 2) URD FY26 (no repite los porcentajes); 3) búsqueda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voto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(comprar, mantener, 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la media «outperform» y 20 analistas); 2) página de consenso de la empresa (solo el 1T27); 3) prensa (Jefferies comprar, Deutsche Bank conservar, Berenberg comprar)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EBITDA de las transacciones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las partes (solo Asahi-EABL publica el EBITDA); 2) informes anuales de Diageo y Campari;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una con múltiplo de EBITDA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Registration Document 2025-2026 (incluye el informe financiero anual y las cuentas consolidadas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https://www.pernod-ricard.com/system/files/2026-09/PERNOD_RICARD_DEU_2025-2026_EN.pdf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Sales and Results (presentación, 27-ago-2026)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https://www.pernod-ricard.com/system/files/2026-08/Pernod%20Ricard%20FY26%20Financial%20Communication.pdf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FY26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https://www.pernod-ricard.com/system/files/news/downloads/2026-08/2026%2008%2027%20Full%20Year%2026.pdf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FY27 Sales (nota de prensa,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https://www.pernod-ricard.com/system/files/news/downloads/2026-10/2026%2010%2015%20Pernod%20Ricard%20Q1%20FY27%20Release.pdf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Transcript FY26 Sales and Results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https://www.pernod-ricard.com/sites/default/files/inline-files/Transcript%20Pernod%20Ricard%20F26%20Sales%20and%20Results%20Call.pdf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FY26 Sales and Results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https://www.pernod-ricard.com/sites/default/files/2026-02/Pernod%20Ricard%20FY26%20H1%20Financial%20Communication.pdf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FY26 results call transcript (19-feb-2026)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https://www.pernod-ricard.com/system/files/2026-10/RI-EP_Transcript_2026-02-19.pdf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 and Results FY25 (nota de prensa con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https://www.pernod-ricard.com/sites/default/files/2025-08/Sales%20and%20Results%20FY25.pdf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https://www.pernod-ricard.com/sites/default/files/inline-files/PERNOD-RICARD_DEU_23-24_VUK_MEL_2409_1.pdf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https://www.pernod-ricard.com/sites/default/files/2022-09/PER_URD2021_EN_2022_09_27_MEL_3.pdf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de Pernod Ricard FY2021-FY2025 (xBRL-JSON, LEI 52990097YFPX9J0H5D87)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https://filings.xbrl.org/52990097YFPX9J0H5D87/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as of October 9th 2026 (ventas orgánicas del 1T FY27: −1,7 %, rango −3,8 % / −0,2 %)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https://www.pernod-ricard.com/en/consensus-october-9th-2026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2026 (informe anual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https://www.diageo.com/~/media/Files/D/Diageo-V2/Diageo-Corp/investors/results-reports-and-events/annual-reports/2026/annual-report-2026.pdf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year ended 30 June 2026 (nota de prensa de resultados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https://www.diageo.com/~/media/Files/D/Diageo-V2/Diageo-Corp/press-release/2026/f26-preliminary-results-press-release.pdf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preliminary results presentation with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https://www.diageo.com/~/media/Files/D/Diageo-V2/Diageo-Corp/investors/results-reports-and-events/our-results/2026/fy26-prelims-results-presentation-with-script.pdf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Aide Memoire FY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https://www.diageo.com/~/media/Files/D/Diageo-V2/Diageo-Corp/press-release/2026/diageo-aide-memoire-fy-fiscal-2026.pdf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half year ended 31 December 2025 (incluye «Tariff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https://www.diageo.com/~/media/Files/D/Diageo-V2/Diageo-Corp/press-release/2026/f26-interims-results-press-release.pdf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2026 Q3 Trading Statement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https://www.diageo.com/~/media/Files/D/Diageo-V2/Diageo-Corp/investors/results-reports-and-events/our-results/2026/fiscal-26-q3-trading-statement-transcript.pdf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del ejercicio 2023 (informe anual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https://www.sec.gov/Archives/edgar/data/835403/000083540323000016/deo-20230630.htm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https://www.diageo.com/en/our-business/our-history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Awards and rankings (calificaciones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https://www.diageo.com/en/esg/esg-governance-and-reporting-centre/awards-and-rankings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Full-year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https://www.webdisclosure.com/press-release/pernod-ricard-epa-ri-inside-information-news-release-on-accounts-results-gblpv5P9kYB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Form 10-K FY2026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https://data.sec.gov/api/xbrl/companyfacts/CIK0000014693.json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Form 10-K FY2026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https://data.sec.gov/api/xbrl/companyfacts/CIK0000016918.json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2025-26: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https://rapport-annuel.remy-cointreau.com/2026/en/performance/annual-results/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Davide Campari-Milano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https://www.camparigroup.com/sites/default/files/downloads/20260304%202025%20Results%20Press%20Release_vF.pdf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4Q25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Becle, S.A.B. de C.V.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https://cuervo.com.mx/documents/reportes-trimestrales/2025/4Q25%20Earnings%20Release%20-%20Final.pdf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Documents -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https://lvmh-com.cdn.prismic.io/lvmh-com/aXjqHgIvOtkhB_8I_Financialdocuments-December31%2C2025.pdf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Economic Briefing 2026 (datos de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Distilled Spirits Council of the United States (DISCUS)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https://distilledspirits.org/wp-content/uploads/2026/02/FINAL-DISCUS-Annual-Economic-Briefing-Presentation-2026-2.5.2026-11-AM.pdf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Briefing Support Tables, 2025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Distilled Spirits Council of the United States (DISCUS)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https://distilledspirits.org/wp-content/uploads/2026/02/Support-tables-2025-2.5.2026-1.pdf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export figures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Scotch Whisky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https://scotch-whisky.org.uk/newsroom/2025-export-figures/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beverage alcohol to drop further before recovering (datos de 2025 y previsión 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IWSR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https://www.theiwsr.com/insight/press-release/global-beverage-alcohol-to-drop-further-before-recovering/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diario)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ratings &amp; reporting (MSCI AA, Sustainalytics 18,7, CDP A en clima y A− en agua, ISS ESG C+ Prime)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https://www.pernod-ricard.com/en/sustainability-responsibility/esg-ratings-reporting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27 octobre 2025: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https://www.pernod-ricard.com/sites/default/files/2025-10/Re%CC%81sultat%20Des%20Vote_V2.pdf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(BDIF): Pernod Ricard, octubre de 2025 a octubre de 2026 (última, 2026DD1144515 del 16-oct: pignoración de 950.917 acciones por Société Paul Ricard el 14-oct; consultada el 19-oct)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https://bdif.amf-france.org/back/api/v1/informations?RechercheTexte=PERNOD%20RICARD&amp;TypesInformation=DD&amp;From=0&amp;Size=40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Nombre total de droits de vote et d’actions au 30.09.2026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https://www.pernod-ricard.com/system/files/2026-10/DROITSVOTE_2026%2009%2030.pdf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confirms discussions with Brown-Forman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https://www.pernod-ricard.com/system/files/news/downloads/2026-03/2026%2003%2026%20Pernod%20ricard%20and%20Brown%20Forman.pdf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and Brown-Forman fail to reach merger agreement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Spirits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https://www.thespiritsbusiness.com/2026/04/pernod-and-brown-forman-fail-to-reach-merger-agreement/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RI.PA, CAC 40 (^FCHI) y STOXX Europe 600 Food &amp; Beverage (EXH3.DE), hasta el cierre del 19-oct-2026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https://finance.yahoo.com/quote/RI.PA/history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Financial Data, Forecasts, Estimates (ventas, EBITDA, EBIT, beneficio, BPA, DPA, deuda neta FY25-FY29)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consensus (20 analistas, «outperform», objetivo medio 80,45 EUR, mínimo 60, máximo 122)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R10XX): 3,49 %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(19-oct-2026: 1,1225 USD; 0,84205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vers une huitième hausse consécutive (Deutsche Bank conservar 63 EUR; Jefferies comprar 90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https://www.tradingsat.com/pernod-ricard-FR0000120693/actualites/pernod-ricard-pernod-ricard-vers-une-huitieme-hausse-consecutive-1171888.html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sales beat expectations at Pernod Ricard (Sharecast)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https://www.hl.co.uk/shares/stock-market-news/company--news/q1-sales-beat-expectations-at-pernod-ricard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RBC relève sa cible sur Pernod Ricard, le titre recule quand même (RBC: «performance de marché», objetivo de 69 a 71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https://www.zonebourse.com/actualite-bourse/rbc-releve-sa-cible-sur-pernod-ricard-le-titre-recule-quand-meme-ce785cdbda81f721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new Diageo strategy involves massive dividend cut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https://www.ii.co.uk/analysis-commentary/ii-view-new-diageo-strategy-involves-massive-dividend-cut-ii538260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bebidas a 12-oct-2026 (MarketScreener, en EUR), tomados de los análisis de Heineken y Diageo del repositorio y llevados al cierre del 19-oct (Europa) o del 16-oct (EE. UU.) con la variación del precio de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https://www.marketscreener.com/quote/stock/DIAGEO-PLC-4000237/finances/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del sector de bebidas (Asahi-EABL, Campari-Courvoisier, Caffo-Cinzano, Diageo-Don Papa, Diageo-Aviation), recogidas en el análisis de Diageo del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prensa de las partes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https://www.diageo.com/en/news-and-media/press-releases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Actualités Pernod Ricard (titulares del 1 al 19-oct-2026: BNP Paribas infraponderar con objetivo de 58 a 60 EUR el 16-oct; Rothschild &amp; Co Redburn neutral con objetivo de 82 a 65 EUR el 9-oct; Berenberg comprar el 16-oct; «Pernod Ricard et Diageo feraient l’objet d’une enquête fiscale en Inde sur la classification d’importations de whisky écossais en vrac», MT Newswires, 19-oct)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https://www.zonebourse.com/cours/action/PERNOD-RICARD-4681/actualite/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en tête du CAC 40, Deutsche Bank vise plus haut (conservar, objetivo de 61 a 63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https://www.abcbourse.com/marches/newsContent/703413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 positions courtes nettes (BDIF): Marshall Wace LLP 0,58 % a 15-oct-2026 (0,60 % a 13-oct; 0,50 % a 2-oct) y AQR Capital Management 0,59 % a 30-sep-2026 (0,60 % a 23-sep)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https://bdif.amf-france.org/back/api/v1/informations?RechercheTexte=PERNOD%20RICARD&amp;From=0&amp;Size=40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 sold Pernod Ricard and downgrade it to a Hold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https://seekingalpha.com/article/4830823-why-i-sold-pernod-ricard-and-downgrade-it-to-a-hold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diese Zahlen lassen sich nur mit der Dividende schöntrinken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https://stock3.com/news/pernod-ricard-diese-zahlen-lassen-sich-nur-mit-der-dividende-schoentrinken-17259006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comunidad y narrativas de inversores (actualizaciones de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https://simplywall.st/community/narratives/fr/food-beverage-tobacco/epa-ri/pernod-ricard-shares/50lbg8us-ri-premium-positioning-and-global-brands-will-drive-resilient-long-term-expansion/updates/15-the-analyst-price-target-for-pernod-ricard-has-been-reduced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stock breaks through 60 EUR and signs a multi-year low (comentario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https://www.ideal-investisseur.fr/en/actions-b/pernod-ricard-stock-breaks-through-60-eur-and-signs-a-multi-year-low/24806.html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32 % last year: is Pernod Ricard ready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https://www.tikr.com/blog/down-32-last-year-is-pernod-ricard-ready-for-2026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sanctionné en Bourse après l’abandon de son projet de fusion avec Brown-Forman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https://www.tradingsat.com/pernod-ricard-FR0000120693/actualites/pernod-ricard-pernod-ricard-sanctionne-en-bourse-apres-l-abandon-de-son-projet-de-fusion-avec-brown-forman-1161715.html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jour, 1 action: Pernod Ricard rebondit après des ventes trimestrielles qui rassurent le marché (artículo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Culture Financière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https://culture-financiere.com/?p=6659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share 65.52 EUR resistance breaks ahead of quarterly sales (comentario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https://www.ideal-investisseur.fr/en/stock-news/pernod-ricard-share-65-52-eur-resistance-breaks-ahead-of-quarterly-sales/27085.html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 News and Analysis (fuente RSS: «Pernod Ricard: Weakness Persists, But Long-Term Upside Remains», 7-sep-2026; «Trump to lift 10% tariff on Irish whiskey», 14-sep-2026; transcripción del 1T27,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https://seekingalpha.com/api/sa/combined/PRNDY.xml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 Accuses Pernod Ricard of Misrepresenting Whisky Value to Pay Lower Tariffs (con datos de Reuters: reclamación de unos 30.000 M de rupias, unos 314 M USD; más de 600 M USD con sanciones si pierde)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Daily Pour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https://finance.yahoo.com/economy/policy/articles/india-accuses-pernod-ricard-misrepresenting-010211965.html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ninguna</w:t>
      </w:r>
      <w:r>
        <w:t xml:space="preserve"> · Generado el 19 oct 2026.</w:t>
      </w:r>
    </w:p>
    <w:p>
      <w:pPr>
        <w:pStyle w:val="Nota"/>
        <w:spacing w:after="100"/>
      </w:pPr>
      <w:r>
        <w:t xml:space="preserve">Cuenta en base recurrente (resultado operativo recurrente y beneficio neto recurrente atribuido, diluido), la que usa la empresa y la que sigue el mercado; la cuenta NIIF completa sale del XBRL ESEF de los informes FY2021-FY2025 (cuentas.mjs con el LEI 52990097YFPX9J0H5D87, 19-oct-2026) y del documento de registro universal del FY2026 [1, 11]. Precio: cierre del lunes 19-oct-2026 en Euronext París (67,46 EUR, sesión cerrada a las 17:30 de París) [40]. El 1T del FY27 solo publica ventas: no hay EBITDA ni BPA trimestrales. El consenso gratuito (MarketScreener) da el BPA en NIIF, no el recurrente, y no publica el reparto de recomendaciones [41, 42]. Los comparables son de MarketScreener a 12-oct llevados al 19-oct con la variación del precio (EE. UU., al cierre del 16-oct) [50]. La nota de sector (B) es la del 18-oct, releída: el tamaño de mercado y los competidores son datos anuales.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Pernod Ricard SA (RI)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67,46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(57,86 – 90,34)</c:v>
                </c:pt>
                <c:pt idx="1">
                  <c:v>Precio objetivo de los analistas (60,00 – 122,00)</c:v>
                </c:pt>
                <c:pt idx="2">
                  <c:v>Comparables: EV/EBITDA NTM (51,61 – 88,14)</c:v>
                </c:pt>
                <c:pt idx="3">
                  <c:v>Comparables: PER NTM (81,21 – 99,74)</c:v>
                </c:pt>
                <c:pt idx="4">
                  <c:v>Transacciones precedentes (EV/ventas) (61,09 – 135,05)</c:v>
                </c:pt>
                <c:pt idx="5">
                  <c:v>DCF (WACC y g ± 0,5) (68,14 – 126,83)</c:v>
                </c:pt>
                <c:pt idx="6">
                  <c:v>Escenarios (bajista – alcista) (54,62 – 101,61)</c:v>
                </c:pt>
                <c:pt idx="7">
                  <c:v>DCF con la prima implícita del mercado (4,2 %)</c:v>
                </c:pt>
                <c:pt idx="8">
                  <c:v>Precio actual (67,46)</c:v>
                </c:pt>
              </c:strCache>
            </c:strRef>
          </c:cat>
          <c:val>
            <c:numRef>
              <c:f>Hoja1!$B$2:$B$10</c:f>
              <c:numCache>
                <c:formatCode>#,##0</c:formatCode>
                <c:ptCount val="9"/>
                <c:pt idx="0">
                  <c:v>57.86</c:v>
                </c:pt>
                <c:pt idx="1">
                  <c:v>60</c:v>
                </c:pt>
                <c:pt idx="2">
                  <c:v>51.61</c:v>
                </c:pt>
                <c:pt idx="3">
                  <c:v>81.21</c:v>
                </c:pt>
                <c:pt idx="4">
                  <c:v>61.09</c:v>
                </c:pt>
                <c:pt idx="5">
                  <c:v>68.14</c:v>
                </c:pt>
                <c:pt idx="6">
                  <c:v>54.62</c:v>
                </c:pt>
                <c:pt idx="7">
                  <c:v>98.58</c:v>
                </c:pt>
                <c:pt idx="8">
                  <c:v>67.12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(57,86 – 90,34)</c:v>
                </c:pt>
                <c:pt idx="1">
                  <c:v>Precio objetivo de los analistas (60,00 – 122,00)</c:v>
                </c:pt>
                <c:pt idx="2">
                  <c:v>Comparables: EV/EBITDA NTM (51,61 – 88,14)</c:v>
                </c:pt>
                <c:pt idx="3">
                  <c:v>Comparables: PER NTM (81,21 – 99,74)</c:v>
                </c:pt>
                <c:pt idx="4">
                  <c:v>Transacciones precedentes (EV/ventas) (61,09 – 135,05)</c:v>
                </c:pt>
                <c:pt idx="5">
                  <c:v>DCF (WACC y g ± 0,5) (68,14 – 126,83)</c:v>
                </c:pt>
                <c:pt idx="6">
                  <c:v>Escenarios (bajista – alcista) (54,62 – 101,61)</c:v>
                </c:pt>
                <c:pt idx="7">
                  <c:v>DCF con la prima implícita del mercado (4,2 %)</c:v>
                </c:pt>
                <c:pt idx="8">
                  <c:v>Precio actual (67,46)</c:v>
                </c:pt>
              </c:strCache>
            </c:strRef>
          </c:cat>
          <c:val>
            <c:numRef>
              <c:f>Hoja1!$C$2:$C$10</c:f>
              <c:numCache>
                <c:formatCode>#,##0</c:formatCode>
                <c:ptCount val="9"/>
                <c:pt idx="0">
                  <c:v>32.480000000000004</c:v>
                </c:pt>
                <c:pt idx="1">
                  <c:v>62</c:v>
                </c:pt>
                <c:pt idx="2">
                  <c:v>36.53</c:v>
                </c:pt>
                <c:pt idx="3">
                  <c:v>18.53</c:v>
                </c:pt>
                <c:pt idx="4">
                  <c:v>73.96000000000001</c:v>
                </c:pt>
                <c:pt idx="5">
                  <c:v>58.69</c:v>
                </c:pt>
                <c:pt idx="6">
                  <c:v>46.99</c:v>
                </c:pt>
                <c:pt idx="7">
                  <c:v>45.05999999999999</c:v>
                </c:pt>
                <c:pt idx="8">
                  <c:v>0.6799999999999926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2627</c:v>
                </c:pt>
                <c:pt idx="1">
                  <c:v>3133</c:v>
                </c:pt>
                <c:pt idx="2">
                  <c:v>3481</c:v>
                </c:pt>
                <c:pt idx="3">
                  <c:v>3340</c:v>
                </c:pt>
                <c:pt idx="4">
                  <c:v>3154</c:v>
                </c:pt>
                <c:pt idx="5">
                  <c:v>2584</c:v>
                </c:pt>
              </c:numCache>
            </c:numRef>
          </c:val>
        </c:ser>
        <c:ser>
          <c:idx val="1"/>
          <c:order val="1"/>
          <c:tx>
            <c:strRef>
              <c:f>Hoja1!$C$1</c:f>
              <c:strCache>
                <c:ptCount val="1"/>
                <c:pt idx="0">
                  <c:v>Asia y resto del mundo</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3640</c:v>
                </c:pt>
                <c:pt idx="1">
                  <c:v>4438</c:v>
                </c:pt>
                <c:pt idx="2">
                  <c:v>5191</c:v>
                </c:pt>
                <c:pt idx="3">
                  <c:v>4973</c:v>
                </c:pt>
                <c:pt idx="4">
                  <c:v>4635</c:v>
                </c:pt>
                <c:pt idx="5">
                  <c:v>3920</c:v>
                </c:pt>
              </c:numCache>
            </c:numRef>
          </c:val>
        </c:ser>
        <c:ser>
          <c:idx val="2"/>
          <c:order val="2"/>
          <c:tx>
            <c:strRef>
              <c:f>Hoja1!$D$1</c:f>
              <c:strCache>
                <c:ptCount val="1"/>
                <c:pt idx="0">
                  <c:v>Europa</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2557</c:v>
                </c:pt>
                <c:pt idx="1">
                  <c:v>3130</c:v>
                </c:pt>
                <c:pt idx="2">
                  <c:v>3465</c:v>
                </c:pt>
                <c:pt idx="3">
                  <c:v>3285</c:v>
                </c:pt>
                <c:pt idx="4">
                  <c:v>3170</c:v>
                </c:pt>
                <c:pt idx="5">
                  <c:v>2900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Américas</c:v>
                </c:pt>
                <c:pt idx="1">
                  <c:v>Asia y resto del mundo</c:v>
                </c:pt>
                <c:pt idx="2">
                  <c:v>Europa</c:v>
                </c:pt>
              </c:strCache>
            </c:strRef>
          </c:cat>
          <c:val>
            <c:numRef>
              <c:f>Hoja1!$B$2:$B$4</c:f>
              <c:numCache>
                <c:formatCode>General</c:formatCode>
                <c:ptCount val="3"/>
                <c:pt idx="0">
                  <c:v>27.5</c:v>
                </c:pt>
                <c:pt idx="1">
                  <c:v>41.7</c:v>
                </c:pt>
                <c:pt idx="2">
                  <c:v>30.8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EE. UU.</c:v>
                </c:pt>
                <c:pt idx="1">
                  <c:v>Resto de América</c:v>
                </c:pt>
                <c:pt idx="2">
                  <c:v>India</c:v>
                </c:pt>
                <c:pt idx="3">
                  <c:v>China</c:v>
                </c:pt>
                <c:pt idx="4">
                  <c:v>Resto de Asia, África y Oriente Medio</c:v>
                </c:pt>
                <c:pt idx="5">
                  <c:v>Europa</c:v>
                </c:pt>
              </c:strCache>
            </c:strRef>
          </c:cat>
          <c:val>
            <c:numRef>
              <c:f>Hoja1!$B$2:$B$7</c:f>
              <c:numCache>
                <c:formatCode>0"%"</c:formatCode>
                <c:ptCount val="6"/>
                <c:pt idx="0">
                  <c:v>17</c:v>
                </c:pt>
                <c:pt idx="1">
                  <c:v>10.5</c:v>
                </c:pt>
                <c:pt idx="2">
                  <c:v>13</c:v>
                </c:pt>
                <c:pt idx="3">
                  <c:v>7</c:v>
                </c:pt>
                <c:pt idx="4">
                  <c:v>21.7</c:v>
                </c:pt>
                <c:pt idx="5">
                  <c:v>30.8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los productores de espirituosos en EE. UU., DISCUS))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27600</c:v>
                </c:pt>
                <c:pt idx="1">
                  <c:v>29000</c:v>
                </c:pt>
                <c:pt idx="2">
                  <c:v>31900</c:v>
                </c:pt>
                <c:pt idx="3">
                  <c:v>35800</c:v>
                </c:pt>
                <c:pt idx="4">
                  <c:v>37600</c:v>
                </c:pt>
                <c:pt idx="5">
                  <c:v>37700</c:v>
                </c:pt>
                <c:pt idx="6">
                  <c:v>37200</c:v>
                </c:pt>
                <c:pt idx="7">
                  <c:v>36400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Pernod Ricard</c:v>
                </c:pt>
                <c:pt idx="1">
                  <c:v>Diageo</c:v>
                </c:pt>
                <c:pt idx="2">
                  <c:v>Constellation Brands</c:v>
                </c:pt>
                <c:pt idx="3">
                  <c:v>LVMH (Vinos y Licores, Moët Hennessy)</c:v>
                </c:pt>
                <c:pt idx="4">
                  <c:v>Brown-Forman</c:v>
                </c:pt>
                <c:pt idx="5">
                  <c:v>Campari</c:v>
                </c:pt>
                <c:pt idx="6">
                  <c:v>Becle (Jose Cuervo)</c:v>
                </c:pt>
                <c:pt idx="7">
                  <c:v>Rémy Cointreau</c:v>
                </c:pt>
              </c:strCache>
            </c:strRef>
          </c:cat>
          <c:val>
            <c:numRef>
              <c:f>Hoja1!$B$2:$B$9</c:f>
              <c:numCache>
                <c:formatCode>0.0"%"</c:formatCode>
                <c:ptCount val="8"/>
                <c:pt idx="0">
                  <c:v>25.8</c:v>
                </c:pt>
                <c:pt idx="1">
                  <c:v>28.9</c:v>
                </c:pt>
                <c:pt idx="2">
                  <c:v>29.8</c:v>
                </c:pt>
                <c:pt idx="3">
                  <c:v>19</c:v>
                </c:pt>
                <c:pt idx="4">
                  <c:v>25.5</c:v>
                </c:pt>
                <c:pt idx="5">
                  <c:v>20.9</c:v>
                </c:pt>
                <c:pt idx="6">
                  <c:v>22.4</c:v>
                </c:pt>
                <c:pt idx="7">
                  <c:v>17.7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strCache>
            </c:strRef>
          </c:cat>
          <c:val>
            <c:numRef>
              <c:f>Hoja1!$B$2:$B$14</c:f>
              <c:numCache>
                <c:formatCode>#,##0</c:formatCode>
                <c:ptCount val="13"/>
                <c:pt idx="0">
                  <c:v>8824</c:v>
                </c:pt>
                <c:pt idx="1">
                  <c:v>10701</c:v>
                </c:pt>
                <c:pt idx="2">
                  <c:v>12137</c:v>
                </c:pt>
                <c:pt idx="3">
                  <c:v>11598</c:v>
                </c:pt>
                <c:pt idx="4">
                  <c:v>10959</c:v>
                </c:pt>
                <c:pt idx="5">
                  <c:v>9404</c:v>
                </c:pt>
                <c:pt idx="6">
                  <c:v>9122</c:v>
                </c:pt>
                <c:pt idx="7">
                  <c:v>9396</c:v>
                </c:pt>
                <c:pt idx="8">
                  <c:v>9724</c:v>
                </c:pt>
                <c:pt idx="9">
                  <c:v>10016</c:v>
                </c:pt>
                <c:pt idx="10">
                  <c:v>10317</c:v>
                </c:pt>
                <c:pt idx="11">
                  <c:v>10575</c:v>
                </c:pt>
                <c:pt idx="12">
                  <c:v>10839</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strCache>
            </c:strRef>
          </c:cat>
          <c:val>
            <c:numRef>
              <c:f>Hoja1!$C$2:$C$14</c:f>
              <c:numCache>
                <c:formatCode>#,##0</c:formatCode>
                <c:ptCount val="13"/>
                <c:pt idx="0">
                  <c:v>2790</c:v>
                </c:pt>
                <c:pt idx="1">
                  <c:v>3405</c:v>
                </c:pt>
                <c:pt idx="2">
                  <c:v>3765</c:v>
                </c:pt>
                <c:pt idx="3">
                  <c:v>3557</c:v>
                </c:pt>
                <c:pt idx="4">
                  <c:v>3373</c:v>
                </c:pt>
                <c:pt idx="5">
                  <c:v>2836</c:v>
                </c:pt>
                <c:pt idx="6">
                  <c:v>2755</c:v>
                </c:pt>
                <c:pt idx="7">
                  <c:v>2875</c:v>
                </c:pt>
                <c:pt idx="8">
                  <c:v>3015</c:v>
                </c:pt>
                <c:pt idx="9">
                  <c:v>3135</c:v>
                </c:pt>
                <c:pt idx="10">
                  <c:v>3250</c:v>
                </c:pt>
                <c:pt idx="11">
                  <c:v>3331</c:v>
                </c:pt>
                <c:pt idx="12">
                  <c:v>3414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60</c:v>
                </c:pt>
                <c:pt idx="1">
                  <c:v>60.5</c:v>
                </c:pt>
                <c:pt idx="2">
                  <c:v>59.7</c:v>
                </c:pt>
                <c:pt idx="3">
                  <c:v>60.1</c:v>
                </c:pt>
                <c:pt idx="4">
                  <c:v>59.5</c:v>
                </c:pt>
                <c:pt idx="5">
                  <c:v>58.4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31.6</c:v>
                </c:pt>
                <c:pt idx="1">
                  <c:v>31.8</c:v>
                </c:pt>
                <c:pt idx="2">
                  <c:v>31</c:v>
                </c:pt>
                <c:pt idx="3">
                  <c:v>30.7</c:v>
                </c:pt>
                <c:pt idx="4">
                  <c:v>30.8</c:v>
                </c:pt>
                <c:pt idx="5">
                  <c:v>30.2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27.5</c:v>
                </c:pt>
                <c:pt idx="1">
                  <c:v>28.3</c:v>
                </c:pt>
                <c:pt idx="2">
                  <c:v>27.6</c:v>
                </c:pt>
                <c:pt idx="3">
                  <c:v>26.9</c:v>
                </c:pt>
                <c:pt idx="4">
                  <c:v>26.9</c:v>
                </c:pt>
                <c:pt idx="5">
                  <c:v>25.8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18.3</c:v>
                </c:pt>
                <c:pt idx="1">
                  <c:v>19.8</c:v>
                </c:pt>
                <c:pt idx="2">
                  <c:v>19.3</c:v>
                </c:pt>
                <c:pt idx="3">
                  <c:v>17.2</c:v>
                </c:pt>
                <c:pt idx="4">
                  <c:v>16.7</c:v>
                </c:pt>
                <c:pt idx="5">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3T25</c:v>
                </c:pt>
                <c:pt idx="1">
                  <c:v>4T25</c:v>
                </c:pt>
                <c:pt idx="2">
                  <c:v>1T26</c:v>
                </c:pt>
                <c:pt idx="3">
                  <c:v>2T26</c:v>
                </c:pt>
                <c:pt idx="4">
                  <c:v>3T26</c:v>
                </c:pt>
                <c:pt idx="5">
                  <c:v>4T26</c:v>
                </c:pt>
                <c:pt idx="6">
                  <c:v>1T27</c:v>
                </c:pt>
              </c:strCache>
            </c:strRef>
          </c:cat>
          <c:val>
            <c:numRef>
              <c:f>Hoja1!$B$2:$B$8</c:f>
              <c:numCache>
                <c:formatCode>0.0"%"</c:formatCode>
                <c:ptCount val="7"/>
                <c:pt idx="0">
                  <c:v>-2.9</c:v>
                </c:pt>
                <c:pt idx="1">
                  <c:v>-5.8</c:v>
                </c:pt>
                <c:pt idx="2">
                  <c:v>-14.3</c:v>
                </c:pt>
                <c:pt idx="3">
                  <c:v>-15.4</c:v>
                </c:pt>
                <c:pt idx="4">
                  <c:v>-14.6</c:v>
                </c:pt>
                <c:pt idx="5">
                  <c:v>-12</c:v>
                </c:pt>
                <c:pt idx="6">
                  <c:v>-6.3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3T25</c:v>
                </c:pt>
                <c:pt idx="1">
                  <c:v>4T25</c:v>
                </c:pt>
                <c:pt idx="2">
                  <c:v>1T26</c:v>
                </c:pt>
                <c:pt idx="3">
                  <c:v>2T26</c:v>
                </c:pt>
                <c:pt idx="4">
                  <c:v>3T26</c:v>
                </c:pt>
                <c:pt idx="5">
                  <c:v>4T26</c:v>
                </c:pt>
                <c:pt idx="6">
                  <c:v>1T27</c:v>
                </c:pt>
              </c:strCache>
            </c:strRef>
          </c:cat>
          <c:val>
            <c:numRef>
              <c:f>Hoja1!$C$2:$C$8</c:f>
              <c:numCache>
                <c:formatCode>0.0"%"</c:formatCode>
                <c:ptCount val="7"/>
                <c:pt idx="0">
                  <c:v>-3.2</c:v>
                </c:pt>
                <c:pt idx="1">
                  <c:v>-0.3</c:v>
                </c:pt>
                <c:pt idx="2">
                  <c:v>-7.3</c:v>
                </c:pt>
                <c:pt idx="3">
                  <c:v>-4.3</c:v>
                </c:pt>
                <c:pt idx="4">
                  <c:v>0</c:v>
                </c:pt>
                <c:pt idx="5">
                  <c:v>-2.3</c:v>
                </c:pt>
                <c:pt idx="6">
                  <c:v>-0.9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47</c:v>
                </c:pt>
                <c:pt idx="1">
                  <c:v>47</c:v>
                </c:pt>
                <c:pt idx="2">
                  <c:v>55</c:v>
                </c:pt>
                <c:pt idx="3">
                  <c:v>50</c:v>
                </c:pt>
                <c:pt idx="4">
                  <c:v>49</c:v>
                </c:pt>
                <c:pt idx="5">
                  <c:v>53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678</c:v>
                </c:pt>
                <c:pt idx="1">
                  <c:v>636</c:v>
                </c:pt>
                <c:pt idx="2">
                  <c:v>605</c:v>
                </c:pt>
                <c:pt idx="3">
                  <c:v>652</c:v>
                </c:pt>
                <c:pt idx="4">
                  <c:v>692</c:v>
                </c:pt>
                <c:pt idx="5">
                  <c:v>791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242</c:v>
                </c:pt>
                <c:pt idx="1">
                  <c:v>261</c:v>
                </c:pt>
                <c:pt idx="2">
                  <c:v>258</c:v>
                </c:pt>
                <c:pt idx="3">
                  <c:v>231</c:v>
                </c:pt>
                <c:pt idx="4">
                  <c:v>223</c:v>
                </c:pt>
                <c:pt idx="5">
                  <c:v>241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1469</c:v>
                </c:pt>
                <c:pt idx="1">
                  <c:v>1673</c:v>
                </c:pt>
                <c:pt idx="2">
                  <c:v>1215</c:v>
                </c:pt>
                <c:pt idx="3">
                  <c:v>829</c:v>
                </c:pt>
                <c:pt idx="4">
                  <c:v>1008</c:v>
                </c:pt>
                <c:pt idx="5">
                  <c:v>1087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1612</c:v>
                </c:pt>
                <c:pt idx="1">
                  <c:v>2124</c:v>
                </c:pt>
                <c:pt idx="2">
                  <c:v>2340</c:v>
                </c:pt>
                <c:pt idx="3">
                  <c:v>2000</c:v>
                </c:pt>
                <c:pt idx="4">
                  <c:v>1829</c:v>
                </c:pt>
                <c:pt idx="5">
                  <c:v>1476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8.1</c:v>
                </c:pt>
                <c:pt idx="1">
                  <c:v>9.8</c:v>
                </c:pt>
                <c:pt idx="2">
                  <c:v>10</c:v>
                </c:pt>
                <c:pt idx="3">
                  <c:v>8.7</c:v>
                </c:pt>
                <c:pt idx="4">
                  <c:v>8.1</c:v>
                </c:pt>
                <c:pt idx="5">
                  <c:v>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6.6</c:v>
                </c:pt>
                <c:pt idx="1">
                  <c:v>6.6</c:v>
                </c:pt>
                <c:pt idx="2">
                  <c:v>6.6</c:v>
                </c:pt>
                <c:pt idx="3">
                  <c:v>6.6</c:v>
                </c:pt>
                <c:pt idx="4">
                  <c:v>6.6</c:v>
                </c:pt>
                <c:pt idx="5">
                  <c:v>6.6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10.9</c:v>
                </c:pt>
                <c:pt idx="1">
                  <c:v>13.8</c:v>
                </c:pt>
                <c:pt idx="2">
                  <c:v>14.8</c:v>
                </c:pt>
                <c:pt idx="3">
                  <c:v>12.7</c:v>
                </c:pt>
                <c:pt idx="4">
                  <c:v>11.8</c:v>
                </c:pt>
                <c:pt idx="5">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2.69</c:v>
                </c:pt>
                <c:pt idx="1">
                  <c:v>2.54</c:v>
                </c:pt>
                <c:pt idx="2">
                  <c:v>2.73</c:v>
                </c:pt>
                <c:pt idx="3">
                  <c:v>3.07</c:v>
                </c:pt>
                <c:pt idx="4">
                  <c:v>3.19</c:v>
                </c:pt>
                <c:pt idx="5">
                  <c:v>3.76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c:v>
                </c:pt>
                <c:pt idx="1">
                  <c:v>FY2028</c:v>
                </c:pt>
                <c:pt idx="2">
                  <c:v>FY2029</c:v>
                </c:pt>
                <c:pt idx="3">
                  <c:v>FY2030</c:v>
                </c:pt>
                <c:pt idx="4">
                  <c:v>FY2031</c:v>
                </c:pt>
                <c:pt idx="5">
                  <c:v>FY2032</c:v>
                </c:pt>
                <c:pt idx="6">
                  <c:v>FY2033+</c:v>
                </c:pt>
              </c:strCache>
            </c:strRef>
          </c:cat>
          <c:val>
            <c:numRef>
              <c:f>Hoja1!$B$2:$B$8</c:f>
              <c:numCache>
                <c:formatCode>#,##0</c:formatCode>
                <c:ptCount val="7"/>
                <c:pt idx="0">
                  <c:v>490</c:v>
                </c:pt>
                <c:pt idx="1">
                  <c:v>1833</c:v>
                </c:pt>
                <c:pt idx="2">
                  <c:v>1350</c:v>
                </c:pt>
                <c:pt idx="3">
                  <c:v>1500</c:v>
                </c:pt>
                <c:pt idx="4">
                  <c:v>1500</c:v>
                </c:pt>
                <c:pt idx="5">
                  <c:v>1300</c:v>
                </c:pt>
                <c:pt idx="6">
                  <c:v>4249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131</c:v>
                </c:pt>
                <c:pt idx="1">
                  <c:v>735</c:v>
                </c:pt>
                <c:pt idx="2">
                  <c:v>1159</c:v>
                </c:pt>
                <c:pt idx="3">
                  <c:v>245</c:v>
                </c:pt>
                <c:pt idx="4">
                  <c:v>174</c:v>
                </c:pt>
                <c:pt idx="5">
                  <c:v>64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704</c:v>
                </c:pt>
                <c:pt idx="1">
                  <c:v>826</c:v>
                </c:pt>
                <c:pt idx="2">
                  <c:v>1072</c:v>
                </c:pt>
                <c:pt idx="3">
                  <c:v>1208</c:v>
                </c:pt>
                <c:pt idx="4">
                  <c:v>1201</c:v>
                </c:pt>
                <c:pt idx="5">
                  <c:v>1226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20</c:v>
                </c:pt>
                <c:pt idx="1">
                  <c:v>813</c:v>
                </c:pt>
                <c:pt idx="2">
                  <c:v>786</c:v>
                </c:pt>
                <c:pt idx="3">
                  <c:v>334</c:v>
                </c:pt>
                <c:pt idx="4">
                  <c:v>11</c:v>
                </c:pt>
                <c:pt idx="5">
                  <c:v>10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Independiente</c:v>
                </c:pt>
                <c:pt idx="2">
                  <c:v>Dominical</c:v>
                </c:pt>
                <c:pt idx="3">
                  <c:v>Otro externo</c:v>
                </c:pt>
              </c:strCache>
            </c:strRef>
          </c:cat>
          <c:val>
            <c:numRef>
              <c:f>Hoja1!$B$2:$B$5</c:f>
              <c:numCache>
                <c:formatCode>0</c:formatCode>
                <c:ptCount val="4"/>
                <c:pt idx="0">
                  <c:v>1</c:v>
                </c:pt>
                <c:pt idx="1">
                  <c:v>8</c:v>
                </c:pt>
                <c:pt idx="2">
                  <c:v>4</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Concierto familiar Paul Ricard (Société Paul Ricard, Le Delos Invest I-III, Rigivar y miembros de la familia)</c:v>
                </c:pt>
                <c:pt idx="1">
                  <c:v>Groupe Bruxelles Lambert</c:v>
                </c:pt>
                <c:pt idx="2">
                  <c:v>Goldman Sachs Group (indirecta)</c:v>
                </c:pt>
                <c:pt idx="3">
                  <c:v>Massachusetts Financial Services</c:v>
                </c:pt>
                <c:pt idx="4">
                  <c:v>BlackRock</c:v>
                </c:pt>
                <c:pt idx="5">
                  <c:v>Capital Group</c:v>
                </c:pt>
                <c:pt idx="6">
                  <c:v>Empleados</c:v>
                </c:pt>
                <c:pt idx="7">
                  <c:v>Autocartera</c:v>
                </c:pt>
              </c:strCache>
            </c:strRef>
          </c:cat>
          <c:val>
            <c:numRef>
              <c:f>Hoja1!$B$2:$B$9</c:f>
              <c:numCache>
                <c:formatCode>0.0"%"</c:formatCode>
                <c:ptCount val="8"/>
                <c:pt idx="0">
                  <c:v>16.16</c:v>
                </c:pt>
                <c:pt idx="1">
                  <c:v>6.8</c:v>
                </c:pt>
                <c:pt idx="2">
                  <c:v>6.47</c:v>
                </c:pt>
                <c:pt idx="3">
                  <c:v>6.27</c:v>
                </c:pt>
                <c:pt idx="4">
                  <c:v>5.22</c:v>
                </c:pt>
                <c:pt idx="5">
                  <c:v>4.79</c:v>
                </c:pt>
                <c:pt idx="6">
                  <c:v>1.47</c:v>
                </c:pt>
                <c:pt idx="7">
                  <c:v>0.18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c:v>
                </c:pt>
                <c:pt idx="1">
                  <c:v>28.2</c:v>
                </c:pt>
                <c:pt idx="2">
                  <c:v>8.6</c:v>
                </c:pt>
                <c:pt idx="3">
                  <c:v>11.2</c:v>
                </c:pt>
                <c:pt idx="4">
                  <c:v>-1.6</c:v>
                </c:pt>
                <c:pt idx="5">
                  <c:v>34.9</c:v>
                </c:pt>
                <c:pt idx="6">
                  <c:v>-13.1</c:v>
                </c:pt>
                <c:pt idx="7">
                  <c:v>-13.1</c:v>
                </c:pt>
                <c:pt idx="8">
                  <c:v>-31.8</c:v>
                </c:pt>
                <c:pt idx="9">
                  <c:v>-32.9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20.3</c:v>
                </c:pt>
                <c:pt idx="1">
                  <c:v>16</c:v>
                </c:pt>
                <c:pt idx="2">
                  <c:v>16.8</c:v>
                </c:pt>
                <c:pt idx="3">
                  <c:v>12.4</c:v>
                </c:pt>
                <c:pt idx="4">
                  <c:v>9.8</c:v>
                </c:pt>
                <c:pt idx="5">
                  <c:v>9.8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0.0"x"</c:formatCode>
                <c:ptCount val="6"/>
                <c:pt idx="0">
                  <c:v>14.2</c:v>
                </c:pt>
                <c:pt idx="1">
                  <c:v>14.2</c:v>
                </c:pt>
                <c:pt idx="2">
                  <c:v>14.2</c:v>
                </c:pt>
                <c:pt idx="3">
                  <c:v>14.2</c:v>
                </c:pt>
                <c:pt idx="4">
                  <c:v>14.2</c:v>
                </c:pt>
                <c:pt idx="5">
                  <c:v>14.2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Pernod Ricard</c:v>
                </c:pt>
                <c:pt idx="1">
                  <c:v>AB InBev</c:v>
                </c:pt>
                <c:pt idx="2">
                  <c:v>Constellation Brands</c:v>
                </c:pt>
                <c:pt idx="3">
                  <c:v>Diageo</c:v>
                </c:pt>
                <c:pt idx="4">
                  <c:v>Brown-Forman</c:v>
                </c:pt>
                <c:pt idx="5">
                  <c:v>Campari</c:v>
                </c:pt>
                <c:pt idx="6">
                  <c:v>Rémy Cointreau</c:v>
                </c:pt>
                <c:pt idx="7">
                  <c:v>Heineken</c:v>
                </c:pt>
              </c:strCache>
            </c:strRef>
          </c:cat>
          <c:val>
            <c:numRef>
              <c:f>Hoja1!$B$2:$B$9</c:f>
              <c:numCache>
                <c:formatCode>0.0"x"</c:formatCode>
                <c:ptCount val="8"/>
                <c:pt idx="0">
                  <c:v>10.8</c:v>
                </c:pt>
                <c:pt idx="1">
                  <c:v>9.3</c:v>
                </c:pt>
                <c:pt idx="2">
                  <c:v>9.4</c:v>
                </c:pt>
                <c:pt idx="3">
                  <c:v>10.6</c:v>
                </c:pt>
                <c:pt idx="4">
                  <c:v>13</c:v>
                </c:pt>
                <c:pt idx="5">
                  <c:v>12.2</c:v>
                </c:pt>
                <c:pt idx="6">
                  <c:v>14.1</c:v>
                </c:pt>
                <c:pt idx="7">
                  <c:v>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Pernod Ricard</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-0.2</c:v>
                </c:pt>
              </c:numCache>
            </c:numRef>
          </c:xVal>
          <c:yVal>
            <c:numRef>
              <c:f>Hoja1!$C$2</c:f>
              <c:numCache>
                <c:formatCode>0.0"x"</c:formatCode>
                <c:ptCount val="1"/>
                <c:pt idx="0">
                  <c:v>10.8</c:v>
                </c:pt>
              </c:numCache>
            </c:numRef>
          </c:yVal>
          <c:smooth val="0"/>
        </c:ser>
        <c:ser>
          <c:idx val="1"/>
          <c:order val="1"/>
          <c:tx>
            <c:strRef>
              <c:f>Hoja1!$A$3</c:f>
              <c:strCache>
                <c:ptCount val="1"/>
                <c:pt idx="0">
                  <c:v>AB InBev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6.8</c:v>
                </c:pt>
              </c:numCache>
            </c:numRef>
          </c:xVal>
          <c:yVal>
            <c:numRef>
              <c:f>Hoja1!$C$3</c:f>
              <c:numCache>
                <c:formatCode>0.0"x"</c:formatCode>
                <c:ptCount val="1"/>
                <c:pt idx="0">
                  <c:v>9.3</c:v>
                </c:pt>
              </c:numCache>
            </c:numRef>
          </c:yVal>
          <c:smooth val="0"/>
        </c:ser>
        <c:ser>
          <c:idx val="2"/>
          <c:order val="2"/>
          <c:tx>
            <c:strRef>
              <c:f>Hoja1!$A$4</c:f>
              <c:strCache>
                <c:ptCount val="1"/>
                <c:pt idx="0">
                  <c:v>Constellation Brands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0.4</c:v>
                </c:pt>
              </c:numCache>
            </c:numRef>
          </c:xVal>
          <c:yVal>
            <c:numRef>
              <c:f>Hoja1!$C$4</c:f>
              <c:numCache>
                <c:formatCode>0.0"x"</c:formatCode>
                <c:ptCount val="1"/>
                <c:pt idx="0">
                  <c:v>9.4</c:v>
                </c:pt>
              </c:numCache>
            </c:numRef>
          </c:yVal>
          <c:smooth val="0"/>
        </c:ser>
        <c:ser>
          <c:idx val="3"/>
          <c:order val="3"/>
          <c:tx>
            <c:strRef>
              <c:f>Hoja1!$A$5</c:f>
              <c:strCache>
                <c:ptCount val="1"/>
                <c:pt idx="0">
                  <c:v>Brown-Forman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0.7</c:v>
                </c:pt>
              </c:numCache>
            </c:numRef>
          </c:xVal>
          <c:yVal>
            <c:numRef>
              <c:f>Hoja1!$C$5</c:f>
              <c:numCache>
                <c:formatCode>0.0"x"</c:formatCode>
                <c:ptCount val="1"/>
                <c:pt idx="0">
                  <c:v>13</c:v>
                </c:pt>
              </c:numCache>
            </c:numRef>
          </c:yVal>
          <c:smooth val="0"/>
        </c:ser>
        <c:ser>
          <c:idx val="4"/>
          <c:order val="4"/>
          <c:tx>
            <c:strRef>
              <c:f>Hoja1!$A$6</c:f>
              <c:strCache>
                <c:ptCount val="1"/>
                <c:pt idx="0">
                  <c:v>Campari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c:v>
                </c:pt>
              </c:numCache>
            </c:numRef>
          </c:xVal>
          <c:yVal>
            <c:numRef>
              <c:f>Hoja1!$C$6</c:f>
              <c:numCache>
                <c:formatCode>0.0"x"</c:formatCode>
                <c:ptCount val="1"/>
                <c:pt idx="0">
                  <c:v>12.2</c:v>
                </c:pt>
              </c:numCache>
            </c:numRef>
          </c:yVal>
          <c:smooth val="0"/>
        </c:ser>
        <c:ser>
          <c:idx val="5"/>
          <c:order val="5"/>
          <c:tx>
            <c:strRef>
              <c:f>Hoja1!$A$7</c:f>
              <c:strCache>
                <c:ptCount val="1"/>
                <c:pt idx="0">
                  <c:v>Rémy Cointreau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3.6</c:v>
                </c:pt>
              </c:numCache>
            </c:numRef>
          </c:xVal>
          <c:yVal>
            <c:numRef>
              <c:f>Hoja1!$C$7</c:f>
              <c:numCache>
                <c:formatCode>0.0"x"</c:formatCode>
                <c:ptCount val="1"/>
                <c:pt idx="0">
                  <c:v>14.1</c:v>
                </c:pt>
              </c:numCache>
            </c:numRef>
          </c:yVal>
          <c:smooth val="0"/>
        </c:ser>
        <c:ser>
          <c:idx val="6"/>
          <c:order val="6"/>
          <c:tx>
            <c:strRef>
              <c:f>Hoja1!$A$8</c:f>
              <c:strCache>
                <c:ptCount val="1"/>
                <c:pt idx="0">
                  <c:v>Heineken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3.9</c:v>
                </c:pt>
              </c:numCache>
            </c:numRef>
          </c:xVal>
          <c:yVal>
            <c:numRef>
              <c:f>Hoja1!$C$8</c:f>
              <c:numCache>
                <c:formatCode>0.0"x"</c:formatCode>
                <c:ptCount val="1"/>
                <c:pt idx="0">
                  <c:v>7.9</c:v>
                </c:pt>
              </c:numCache>
            </c:numRef>
          </c:yVal>
          <c:smooth val="0"/>
        </c:ser>
        <c:axId val="10"/>
        <c:axId val="20"/>
      </c:scatterChart>
      <c:valAx>
        <c:axId val="10"/>
        <c:scaling>
          <c:orientation val="minMax"/>
          <c:max val="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East African Breweries (65 %) y UDV Kenya (53,68 %)</c:v>
                </c:pt>
                <c:pt idx="1">
                  <c:v>Courvoisier (coñac, con Salignac)</c:v>
                </c:pt>
                <c:pt idx="2">
                  <c:v>Cinzano y Frattina (vermú y espumosos)</c:v>
                </c:pt>
                <c:pt idx="3">
                  <c:v>Don Papa Rum</c:v>
                </c:pt>
                <c:pt idx="4">
                  <c:v>Aviation American Gin y Davos Brands</c:v>
                </c:pt>
              </c:strCache>
            </c:strRef>
          </c:cat>
          <c:val>
            <c:numRef>
              <c:f>Hoja1!$B$2:$B$6</c:f>
              <c:numCache>
                <c:formatCode>0.0"x"</c:formatCode>
                <c:ptCount val="5"/>
                <c:pt idx="0">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1686</c:v>
                </c:pt>
                <c:pt idx="1">
                  <c:v>1535</c:v>
                </c:pt>
                <c:pt idx="2">
                  <c:v>1581</c:v>
                </c:pt>
                <c:pt idx="3">
                  <c:v>1689</c:v>
                </c:pt>
                <c:pt idx="4">
                  <c:v>1755</c:v>
                </c:pt>
                <c:pt idx="5">
                  <c:v>1838</c:v>
                </c:pt>
                <c:pt idx="6">
                  <c:v>1884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9245</c:v>
                </c:pt>
                <c:pt idx="1">
                  <c:v>27257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67,46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54.62</c:v>
                </c:pt>
                <c:pt idx="1">
                  <c:v>91.14</c:v>
                </c:pt>
                <c:pt idx="2">
                  <c:v>101.61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67,46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(57,86 – 90,34)</c:v>
                </c:pt>
                <c:pt idx="1">
                  <c:v>Precio objetivo de los analistas (60,00 – 122,00)</c:v>
                </c:pt>
                <c:pt idx="2">
                  <c:v>Comparables: EV/EBITDA NTM (51,61 – 88,14)</c:v>
                </c:pt>
                <c:pt idx="3">
                  <c:v>Comparables: PER NTM (81,21 – 99,74)</c:v>
                </c:pt>
                <c:pt idx="4">
                  <c:v>Transacciones precedentes (EV/ventas) (61,09 – 135,05)</c:v>
                </c:pt>
                <c:pt idx="5">
                  <c:v>DCF (WACC y g ± 0,5) (68,14 – 126,83)</c:v>
                </c:pt>
                <c:pt idx="6">
                  <c:v>Escenarios (bajista – alcista) (54,62 – 101,61)</c:v>
                </c:pt>
                <c:pt idx="7">
                  <c:v>DCF con la prima implícita del mercado (4,2 %)</c:v>
                </c:pt>
                <c:pt idx="8">
                  <c:v>Precio actual (67,46)</c:v>
                </c:pt>
              </c:strCache>
            </c:strRef>
          </c:cat>
          <c:val>
            <c:numRef>
              <c:f>Hoja1!$B$2:$B$10</c:f>
              <c:numCache>
                <c:formatCode>#,##0</c:formatCode>
                <c:ptCount val="9"/>
                <c:pt idx="0">
                  <c:v>57.86</c:v>
                </c:pt>
                <c:pt idx="1">
                  <c:v>60</c:v>
                </c:pt>
                <c:pt idx="2">
                  <c:v>51.61</c:v>
                </c:pt>
                <c:pt idx="3">
                  <c:v>81.21</c:v>
                </c:pt>
                <c:pt idx="4">
                  <c:v>61.09</c:v>
                </c:pt>
                <c:pt idx="5">
                  <c:v>68.14</c:v>
                </c:pt>
                <c:pt idx="6">
                  <c:v>54.62</c:v>
                </c:pt>
                <c:pt idx="7">
                  <c:v>98.58</c:v>
                </c:pt>
                <c:pt idx="8">
                  <c:v>67.12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(57,86 – 90,34)</c:v>
                </c:pt>
                <c:pt idx="1">
                  <c:v>Precio objetivo de los analistas (60,00 – 122,00)</c:v>
                </c:pt>
                <c:pt idx="2">
                  <c:v>Comparables: EV/EBITDA NTM (51,61 – 88,14)</c:v>
                </c:pt>
                <c:pt idx="3">
                  <c:v>Comparables: PER NTM (81,21 – 99,74)</c:v>
                </c:pt>
                <c:pt idx="4">
                  <c:v>Transacciones precedentes (EV/ventas) (61,09 – 135,05)</c:v>
                </c:pt>
                <c:pt idx="5">
                  <c:v>DCF (WACC y g ± 0,5) (68,14 – 126,83)</c:v>
                </c:pt>
                <c:pt idx="6">
                  <c:v>Escenarios (bajista – alcista) (54,62 – 101,61)</c:v>
                </c:pt>
                <c:pt idx="7">
                  <c:v>DCF con la prima implícita del mercado (4,2 %)</c:v>
                </c:pt>
                <c:pt idx="8">
                  <c:v>Precio actual (67,46)</c:v>
                </c:pt>
              </c:strCache>
            </c:strRef>
          </c:cat>
          <c:val>
            <c:numRef>
              <c:f>Hoja1!$C$2:$C$10</c:f>
              <c:numCache>
                <c:formatCode>#,##0</c:formatCode>
                <c:ptCount val="9"/>
                <c:pt idx="0">
                  <c:v>32.480000000000004</c:v>
                </c:pt>
                <c:pt idx="1">
                  <c:v>62</c:v>
                </c:pt>
                <c:pt idx="2">
                  <c:v>36.53</c:v>
                </c:pt>
                <c:pt idx="3">
                  <c:v>18.53</c:v>
                </c:pt>
                <c:pt idx="4">
                  <c:v>73.96000000000001</c:v>
                </c:pt>
                <c:pt idx="5">
                  <c:v>58.69</c:v>
                </c:pt>
                <c:pt idx="6">
                  <c:v>46.99</c:v>
                </c:pt>
                <c:pt idx="7">
                  <c:v>45.05999999999999</c:v>
                </c:pt>
                <c:pt idx="8">
                  <c:v>0.6799999999999926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