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Tencent Holdings Limited</w:t>
      </w:r>
    </w:p>
    <w:p>
      <w:pPr>
        <w:spacing w:after="60"/>
        <w:rPr>
          <w:color w:val="52514E"/>
          <w:sz w:val="22"/>
          <w:szCs w:val="22"/>
        </w:rPr>
      </w:pPr>
      <w:r>
        <w:rPr>
          <w:color w:val="52514E"/>
          <w:sz w:val="22"/>
          <w:szCs w:val="22"/>
        </w:rPr>
        <w:t xml:space="preserve">0700.HK · Hong Kong Stock Exchange (línea en HKD; también línea en RMB 80700) · ISIN KYG875721634 · Servicios de comunicación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355,94 CNY (417,80 HKD)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432,84 CNY (508,06 HKD)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+22,9 % (base +18,4 %)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454,33 CNY (533,29 HKD) · mercado 539,83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3.250.800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7,4x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Tencent Holdings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0700.HK / KYG875721634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Hong Kong Stock Exchange (línea en HKD; también línea en RMB 80700)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Hang Seng (Tracker Fund 2800.HK)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Servicios de comunicación / Medios e internet interactivos; entretenimiento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Shenzhen · 1998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https://www.tencent.com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355,94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350,15 – 565,69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9.133,0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3.250.800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2.598.054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10.006 M HKD/día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432,84 CNY (508,06 HKD)</w:t>
      </w:r>
      <w:r>
        <w:t xml:space="preserve"> frente a 355,94 (417,80 HKD) · Rentabilidad a 12 meses </w:t>
      </w:r>
      <w:r>
        <w:rPr>
          <w:b/>
          <w:bCs/>
        </w:rPr>
        <w:t xml:space="preserve">+22,9 % (base +18,4 %)</w:t>
      </w:r>
      <w:r>
        <w:t xml:space="preserve"> · Valor intrínseco 454,33 CNY (533,29 HKD) · con la prima implícita del mercado: 539,83 (633,65 HKD) (+51,7 %) · Alcista / bajista +48,9 % / -7,2 %</w:t>
      </w:r>
    </w:p>
    <w:p>
      <w:pPr>
        <w:spacing w:after="100"/>
      </w:pPr>
      <w:r>
        <w:rPr>
          <w:b/>
        </w:rPr>
        <w:t xml:space="preserve">La recomendación y por qué.</w:t>
      </w:r>
      <w:r>
        <w:t xml:space="preserve"> Mantener, con convicción media. Con nuestro BPA no NIIF y la regla común de múltiplos (v3), el objetivo a 12 meses es de 432,84 RMB (508,06 HKD) frente a 417,80 HKD (cierre del viernes 16 de octubre; el 19 Hong Kong cerró por festivo): +22,9 % con el dividendo y +18,4 % en el caso base. La regla da Comprar, pero no es una compra robusta: la v2 de control da un 11,5 % y, con un BPA un 10 % menor, la ponderada baja al 10,7 %. El valor intrínseco, 454,33 RMB (533,29 HKD, +27,6 %), sí queda holgadamente por encima del precio. La convicción es media y no alta porque la v2 y el BPA −10 % no pasan y porque el consenso recorta el beneficio; subiría si el 3T26 (18 de noviembre) muestra que el capex toca techo y la caja libre vuelve, y bajaría si la amortización frena el beneficio no NIIF por debajo del +5 %.</w:t>
      </w:r>
    </w:p>
    <w:p>
      <w:pPr>
        <w:spacing w:after="100"/>
      </w:pPr>
      <w:r>
        <w:rPr>
          <w:b/>
        </w:rPr>
        <w:t xml:space="preserve">El negocio.</w:t>
      </w:r>
      <w:r>
        <w:t xml:space="preserve"> Weixin (1.439 millones de usuarios a junio) [6], el mayor editor de juegos del mundo, publicidad, pagos y nube: 751.766 M RMB de ingresos en 2025 (+13,9 %) con un margen EBITDA del 41,3 % [1]. El ROIC del 18,9 % supera en 9,95 puntos al WACC del 8,95 %, y el crecimiento previsto (6,7 % anual) es sostenible: menor que el histórico y financiado por franquicias que ya existen.</w:t>
      </w:r>
    </w:p>
    <w:p>
      <w:pPr>
        <w:spacing w:after="100"/>
      </w:pPr>
      <w:r>
        <w:rPr>
          <w:b/>
        </w:rPr>
        <w:t xml:space="preserve">Finanzas.</w:t>
      </w:r>
      <w:r>
        <w:t xml:space="preserve"> Las ventas crecen un 10,1 % en el primer semestre de 2026, pero la inversión en IA se dispara: capex del 26,7 % de las ventas y caja libre negativa en el 2T26 [5, 6]. La empresa emite bonos (≈5.500 M USD en octubre y ≈4.500 M en junio) y recorta recompras; la caja total (511.154 M) aún supera a la deuda (452.963 M) [6, 10].</w:t>
      </w:r>
    </w:p>
    <w:p>
      <w:pPr>
        <w:spacing w:after="100"/>
      </w:pPr>
      <w:r>
        <w:rPr>
          <w:b/>
        </w:rPr>
        <w:t xml:space="preserve">Equipo y gobierno.</w:t>
      </w:r>
      <w:r>
        <w:t xml:space="preserve"> Neutro: el fundador Ma Huateng tiene el 8,85 %, Prosus (22,60 %) vende de forma ordenada y 5 de los 8 consejeros son independientes [1, 5].</w:t>
      </w:r>
    </w:p>
    <w:p>
      <w:pPr>
        <w:spacing w:after="100"/>
      </w:pPr>
      <w:r>
        <w:rPr>
          <w:b/>
        </w:rPr>
        <w:t xml:space="preserve">Valoración.</w:t>
      </w:r>
      <w:r>
        <w:t xml:space="preserve"> A 11,9 veces nuestro BPA de 2027e (29,99 RMB) cotiza en el mínimo de su historia de cinco años (11,4-29,0 veces) y por debajo de sus pares (13,0). El DCF da 460,38 RMB y el precio descuenta un crecimiento del 1,0 % anual frente al 6,3 % de nuestro base. No discrepamos del consenso en el beneficio (30,50 RMB en 2027e) sino en el múltiplo: el objetivo medio de 41 analistas (655,19 HKD) supone volver a 17-18 veces; la regla común solo deja subir el actual un 10 %.</w:t>
      </w:r>
    </w:p>
    <w:p>
      <w:pPr>
        <w:spacing w:after="100"/>
      </w:pPr>
      <w:r>
        <w:rPr>
          <w:b/>
        </w:rPr>
        <w:t xml:space="preserve">Riesgos y catalizadores.</w:t>
      </w:r>
      <w:r>
        <w:t xml:space="preserve"> El mayor es que la IA no rinda y la amortización frene el beneficio varios años (bajista −28 % frente al base); le siguen la regulación china, ByteDance (Doubao) y CFIUS [16, 18]. Catalizador cercano: resultados del 3T26 el 18 de noviembre. La acción cae un 38,1 % en 12 meses y está a un 1,6 % de su mínimo anual, por la inversión en IA y los recortes del consenso, no por el negocio: veredicto «no cambia» [23, 29].</w:t>
      </w:r>
    </w:p>
    <w:p>
      <w:pPr>
        <w:spacing w:after="100"/>
      </w:pPr>
      <w:r>
        <w:rPr>
          <w:b/>
        </w:rPr>
        <w:t xml:space="preserve">Frente al análisis del 14 de octubre.</w:t>
      </w:r>
      <w:r>
        <w:t xml:space="preserve"> Cuentas tomadas ahora de los informes oficiales y no de búsquedas, precio 417,80 HKD (antes 425,20), WACC del 8,95 % (antes 9,31 %) y sostenibilidad «Sí» (antes «En parte»). La v3 da ahora 22,9 % (antes 23,8 %) y la v2 11,5 % (antes 12,1 %): la acción sigue siendo Mantener.</w:t>
      </w:r>
    </w:p>
    <w:p>
      <w:pPr>
        <w:spacing w:after="100"/>
      </w:pPr>
      <w:r>
        <w:rPr>
          <w:b/>
        </w:rPr>
        <w:t xml:space="preserve">Qué cambiaría la decisión.</w:t>
      </w:r>
      <w:r>
        <w:t xml:space="preserve"> Compra robusta por debajo de 398,20 HKD (v3 y v2 pasan aun con el BPA −10 %); la v3 sola da Comprar por debajo de 441,86 HKD. Venderíamos por encima de 570,73 HKD. Bajaríamos el BPA si el resultado operativo no NIIF crece menos del 5 % dos trimestres seguidos, y lo subiríamos si el capex de 2027 baja del 20 % de las ventas con la publicidad por encima del 15 %.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432,84 CNY (508,06 HKD)</w:t>
      </w:r>
      <w:r>
        <w:t xml:space="preserve"> (rentabilidad +22,9 % (base +18,4 %)) · Valor intrínseco: 454,33 CNY (533,29 HKD) (+27,6 % sobre 355,94) · con la prima implícita del mercado: 539,83 (633,65 HKD) (+51,7 %)</w:t>
      </w:r>
    </w:p>
    <w:p>
      <w:pPr>
        <w:spacing w:after="100"/>
      </w:pPr>
      <w:r>
        <w:t xml:space="preserve">Tencent es la mejor franquicia de consumo de internet de China: Weixin, los juegos perennes (Honor of Kings, Peacekeeper Elite) y una publicidad que crece un 20 % con la IA, con un margen EBITDA del 41 % y un ROIC del 18,9 % [1, 6].</w:t>
      </w:r>
    </w:p>
    <w:p>
      <w:pPr>
        <w:spacing w:after="100"/>
      </w:pPr>
      <w:r>
        <w:t xml:space="preserve">El precio (417,80 HKD, 11,9 veces nuestro BPA de 2027e) descuenta un crecimiento del 1 % anual: el mercado trata el gasto en IA como dinero perdido. Nuestro base crece un 6,7 % anual con el capex volviendo al 12-13 % de las ventas en 2029-30.</w:t>
      </w:r>
    </w:p>
    <w:p>
      <w:pPr>
        <w:spacing w:after="100"/>
      </w:pPr>
      <w:r>
        <w:t xml:space="preserve">El mercado se equivoca en el plazo, no en la dirección: la amortización frenará el BPA en 2026-27, pero el negocio de siempre crece un 19 % sin los nuevos productos de IA [7]. Lo que no sabemos es cuándo volverá a pagar un múltiplo normal; por eso la regla no da una compra robusta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432,84 CNY (508,06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27,79 = 291,80 · 13,1x × 31,82 = 416,84 · 17,7x × 34,23 = 605,87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 /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558,18 (nuestro base -25,3 %)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454,33 CNY (533,29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(HKD al tipo de 0,8519 CNY por HKD)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355,94 CNY (417,80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 /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frente a 8,9 %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539,83 CNY (633,65 HKD)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376,44 (441,86 HKD)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376,44 y 486,23 (441,86 y 570,73 HKD)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486,23 (570,73 HKD)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v3 da Comprar (ponderada 22,9 %, base 18,4 %, valor intrínseco por encima del precio), pero la compra no es robusta: la v2 de control da Mantener (11,5 % / 7,7 %) y con el BPA un 10 % más bajo la v3 se queda en el 10,7 % / 6,7 %. Sin motivo de negocio propio para saltarse la v2, la acción es Mantener; la compra robusta empieza por debajo de 398,20 HKD (prueba de robustez).</w:t>
      </w:r>
    </w:p>
    <w:p>
      <w:pPr>
        <w:pStyle w:val="Heading2"/>
      </w:pPr>
      <w:r>
        <w:t xml:space="preserve">Qué cambiaría la recomendación</w:t>
      </w:r>
    </w:p>
    <w:p>
      <w:pPr>
        <w:pStyle w:val="ListParagraph"/>
        <w:numPr>
          <w:ilvl w:val="0"/>
          <w:numId w:val="2"/>
        </w:numPr>
        <w:spacing w:after="60"/>
      </w:pPr>
      <w:r>
        <w:t xml:space="preserve">Precio por debajo de 398,20 HKD: compra robusta (v3 y v2 con el BPA −10 %).</w:t>
      </w:r>
    </w:p>
    <w:p>
      <w:pPr>
        <w:pStyle w:val="ListParagraph"/>
        <w:numPr>
          <w:ilvl w:val="0"/>
          <w:numId w:val="2"/>
        </w:numPr>
        <w:spacing w:after="60"/>
      </w:pPr>
      <w:r>
        <w:t xml:space="preserve">Precio por encima de 570,73 HKD: Vender o reducir.</w:t>
      </w:r>
    </w:p>
    <w:p>
      <w:pPr>
        <w:pStyle w:val="ListParagraph"/>
        <w:numPr>
          <w:ilvl w:val="0"/>
          <w:numId w:val="2"/>
        </w:numPr>
        <w:spacing w:after="60"/>
      </w:pPr>
      <w:r>
        <w:t xml:space="preserve">Capex de 2027 por encima del 20 % de las ventas: bajaríamos el BPA y el objetivo.</w:t>
      </w:r>
    </w:p>
    <w:p>
      <w:pPr>
        <w:pStyle w:val="ListParagraph"/>
        <w:numPr>
          <w:ilvl w:val="0"/>
          <w:numId w:val="2"/>
        </w:numPr>
        <w:spacing w:after="60"/>
      </w:pPr>
      <w:r>
        <w:t xml:space="preserve">Orden de CFIUS de vender Riot, Supercell o Epic con descuento: revisaríamos el valor.</w:t>
      </w:r>
    </w:p>
    <w:p>
      <w:pPr>
        <w:pStyle w:val="ListParagraph"/>
        <w:numPr>
          <w:ilvl w:val="0"/>
          <w:numId w:val="2"/>
        </w:numPr>
        <w:spacing w:after="60"/>
      </w:pPr>
      <w:r>
        <w:t xml:space="preserve">Publicidad por debajo del 10 % dos trimestres: pasaríamos al escenario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inversión en IA (capex del 24-27 % de las ventas) se come la caja varios años sin retorno, con más deuda y menos recompras: PER de 11,9 veces, el mínimo de su historia reciente, y un DCF inverso de solo el 1 % de crecimiento [6, 10].</w:t>
      </w:r>
    </w:p>
    <w:p>
      <w:pPr>
        <w:keepNext/>
        <w:spacing w:after="100"/>
      </w:pPr>
      <w:r>
        <w:rPr>
          <w:b/>
          <w:bCs/>
        </w:rPr>
        <w:t xml:space="preserve">Lo que creemos nosotros.</w:t>
      </w:r>
    </w:p>
    <w:p>
      <w:pPr>
        <w:spacing w:after="100"/>
      </w:pPr>
      <w:r>
        <w:t xml:space="preserve">El BPA no NIIF sigue creciendo (29,99 RMB en 2027e y 31,82 en 2028e, en línea con el consenso) porque la publicidad y la nube cobran ya la IA, y el capital nuevo rinde ≈20 %, como el ROIC actual.</w:t>
      </w:r>
    </w:p>
    <w:p>
      <w:pPr>
        <w:keepNext/>
        <w:spacing w:after="100"/>
      </w:pPr>
      <w:r>
        <w:rPr>
          <w:b/>
          <w:bCs/>
        </w:rPr>
        <w:t xml:space="preserve">Por qué podemos tener razón.</w:t>
      </w:r>
    </w:p>
    <w:p>
      <w:pPr>
        <w:spacing w:after="100"/>
      </w:pPr>
      <w:r>
        <w:t xml:space="preserve">En el 2T26 la publicidad creció un 22 % y el resultado operativo sin la IA nueva un 19 % [6, 7]; la amortización sube, pero desde un margen EBITDA del 42 %.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355,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Weixin</w:t>
      </w:r>
      <w:r>
        <w:t xml:space="preserve">, con 1.439 millones de usuarios: la puerta de entrada al internet chino [1].</w:t>
      </w:r>
    </w:p>
    <w:p>
      <w:pPr>
        <w:pStyle w:val="ListParagraph"/>
        <w:numPr>
          <w:ilvl w:val="0"/>
          <w:numId w:val="2"/>
        </w:numPr>
        <w:spacing w:after="60"/>
      </w:pPr>
      <w:r>
        <w:rPr>
          <w:b/>
        </w:rPr>
        <w:t xml:space="preserve">Márgenes al alza</w:t>
      </w:r>
      <w:r>
        <w:t xml:space="preserve">: EBITDA del 30,9 % en 2021 al 41,3 % en 2025 [1].</w:t>
      </w:r>
    </w:p>
    <w:p>
      <w:pPr>
        <w:pStyle w:val="ListParagraph"/>
        <w:numPr>
          <w:ilvl w:val="0"/>
          <w:numId w:val="2"/>
        </w:numPr>
        <w:spacing w:after="60"/>
      </w:pPr>
      <w:r>
        <w:rPr>
          <w:b/>
        </w:rPr>
        <w:t xml:space="preserve">ROIC del 18,9 %</w:t>
      </w:r>
      <w:r>
        <w:t xml:space="preserve">, 9,95 puntos por encima del WACC.</w:t>
      </w:r>
    </w:p>
    <w:p>
      <w:pPr>
        <w:pStyle w:val="ListParagraph"/>
        <w:numPr>
          <w:ilvl w:val="0"/>
          <w:numId w:val="2"/>
        </w:numPr>
        <w:spacing w:after="60"/>
      </w:pPr>
      <w:r>
        <w:rPr>
          <w:b/>
        </w:rPr>
        <w:t xml:space="preserve">Barata frente a su historia</w:t>
      </w:r>
      <w:r>
        <w:t xml:space="preserve">: 11,9 veces el BPA de 2027e frente a una mediana de 17,2.</w:t>
      </w:r>
    </w:p>
    <w:p>
      <w:pPr>
        <w:pStyle w:val="ListParagraph"/>
        <w:numPr>
          <w:ilvl w:val="0"/>
          <w:numId w:val="2"/>
        </w:numPr>
        <w:spacing w:after="60"/>
      </w:pPr>
      <w:r>
        <w:rPr>
          <w:b/>
        </w:rPr>
        <w:t xml:space="preserve">Cartera de participadas</w:t>
      </w:r>
      <w:r>
        <w:t xml:space="preserve"> de 875.100 M (≈27 % de la capitalización) [5, 6].</w:t>
      </w:r>
    </w:p>
    <w:p>
      <w:pPr>
        <w:pStyle w:val="Heading2"/>
      </w:pPr>
      <w:r>
        <w:t xml:space="preserve">En contra</w:t>
      </w:r>
    </w:p>
    <w:p>
      <w:pPr>
        <w:pStyle w:val="ListParagraph"/>
        <w:numPr>
          <w:ilvl w:val="0"/>
          <w:numId w:val="2"/>
        </w:numPr>
        <w:spacing w:after="60"/>
      </w:pPr>
      <w:r>
        <w:rPr>
          <w:b/>
        </w:rPr>
        <w:t xml:space="preserve">Capex disparado</w:t>
      </w:r>
      <w:r>
        <w:t xml:space="preserve">: 26,7 % de las ventas en el 1S26 y caja libre negativa en el 2T26 [6].</w:t>
      </w:r>
    </w:p>
    <w:p>
      <w:pPr>
        <w:pStyle w:val="ListParagraph"/>
        <w:numPr>
          <w:ilvl w:val="0"/>
          <w:numId w:val="2"/>
        </w:numPr>
        <w:spacing w:after="60"/>
      </w:pPr>
      <w:r>
        <w:rPr>
          <w:b/>
        </w:rPr>
        <w:t xml:space="preserve">Más deuda y menos recompras</w:t>
      </w:r>
      <w:r>
        <w:t xml:space="preserve">: bonos por ≈10.000 M USD en 2026 [10, 11].</w:t>
      </w:r>
    </w:p>
    <w:p>
      <w:pPr>
        <w:pStyle w:val="ListParagraph"/>
        <w:numPr>
          <w:ilvl w:val="0"/>
          <w:numId w:val="2"/>
        </w:numPr>
        <w:spacing w:after="60"/>
      </w:pPr>
      <w:r>
        <w:rPr>
          <w:b/>
        </w:rPr>
        <w:t xml:space="preserve">Consenso a la baja</w:t>
      </w:r>
      <w:r>
        <w:t xml:space="preserve">: BPA de 2027e −6,6 % en 90 días [27].</w:t>
      </w:r>
    </w:p>
    <w:p>
      <w:pPr>
        <w:pStyle w:val="ListParagraph"/>
        <w:numPr>
          <w:ilvl w:val="0"/>
          <w:numId w:val="2"/>
        </w:numPr>
        <w:spacing w:after="60"/>
      </w:pPr>
      <w:r>
        <w:rPr>
          <w:b/>
        </w:rPr>
        <w:t xml:space="preserve">Riesgos chinos</w:t>
      </w:r>
      <w:r>
        <w:t xml:space="preserve">: regulación, VIE, CFIUS y lista 1260H [16].</w:t>
      </w:r>
    </w:p>
    <w:p>
      <w:pPr>
        <w:pStyle w:val="ListParagraph"/>
        <w:numPr>
          <w:ilvl w:val="0"/>
          <w:numId w:val="2"/>
        </w:numPr>
        <w:spacing w:after="60"/>
      </w:pPr>
      <w:r>
        <w:rPr>
          <w:b/>
        </w:rPr>
        <w:t xml:space="preserve">Prosus vende</w:t>
      </w:r>
      <w:r>
        <w:t xml:space="preserve"> de forma continua (22,60 %) [5].</w:t>
      </w:r>
    </w:p>
    <w:p>
      <w:pPr>
        <w:pStyle w:val="Heading2"/>
      </w:pPr>
      <w:r>
        <w:t xml:space="preserve">Qué tiene que pasar para que la tesis funcione</w:t>
      </w:r>
    </w:p>
    <w:p>
      <w:pPr>
        <w:spacing w:after="100"/>
      </w:pPr>
      <w:r>
        <w:t xml:space="preserve">La tesis depende de que la inversión en IA toque techo en 2026 y la caja libre vuelva en 2027. La señal de que no se cumple sería un capex que siga por encima del 20 % de las ventas en 2027 o un resultado operativo no NIIF que crezca menos del 5 %. Lo segundo: la publicidad, que tiene que seguir por encima del 15 % para compensar la amortización.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cuándo vuelve la caja libre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operativo no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(2T26, beneficio no NIIF)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amortización se come 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vía de cobro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Juegos nacionales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fuente de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7,9x / 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Tencent nació en Shenzhen en 1998, fundada por Ma Huateng y otros socios, con un servicio de mensajería (OICQ, luego QQ). Naspers (hoy a través de Prosus) entró en 2001 y sigue siendo el primer accionista, con el 22,60 % en junio de 2026 [1]. Cotiza en Hong Kong desde el 16-jun-2004 [1]. QQ financió los juegos en línea y Weixin (2011) se convirtió en la plataforma de comunicación, pagos y miniaplicaciones de China. Entre 2021 y 2022 vivió la campaña regulatoria contra las plataformas y la congelación de licencias de juegos, y repartió en especie sus participaciones en JD.com y Meituan. Desde 2025 el eje es la IA: modelos Hy (antes Hunyuan), WorkBuddy y CodeBuddy, el agente Xiaowei dentro de Weixin y una inversión que se triplica en 2026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Shenzhen; mensajería OICQ (QQ).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Naspers (MIH) en el capital.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Hong Kong (16 de junio).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Weixin/WeChat; Weixin Pay en 2013.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Supercell con un consorcio; Riot Games ya era filial desde 2015.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regulatoria y congelación de licencias; repartos en especie de JD.com (2021) y Meituan (2022-23).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751.766 M (+13,9 %) y beneficio no NIIF de 259.626 M; empieza el ciclo de inversión en 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Hy3 en producción (julio), WorkBuddy líder en agentes de oficina; inversión del 2T26 de 52.784 M (+176 %) y emisiones de bonos en junio y octubre [6,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Tencent es la mayor empresa de internet de China por beneficio. Tres negocios comparten la base de 1.439 M de usuarios mensuales de Weixin y WeChat y los 520 M de QQ [6]: (1) servicios de valor añadido (49 % de los ingresos de 2025): juegos propios y licenciados en China (164.200 M) y fuera (77.400 M, Supercell, Riot, PUBG MOBILE) y redes sociales (127.700 M: directos en Video Accounts, música y vídeo de pago) [1]; (2) servicios de marketing (19 %): publicidad en Video Accounts, Mini Programs, búsqueda y Moments; y (3) fintech y servicios empresariales (31 %): Weixin Pay, gestión patrimonial, crédito al consumo, Tencent Cloud y comisiones de Mini Shops [1]. Además tiene una cartera de participaciones valorada en 875.100 M a junio de 2026 (cotizadas a mercado 487.200 M y no cotizadas a valor contable 387.900 M) [6].</w:t>
      </w:r>
    </w:p>
    <w:p>
      <w:pPr>
        <w:pStyle w:val="Heading2"/>
      </w:pPr>
      <w:r>
        <w:t xml:space="preserve">Cómo gana dinero</w:t>
      </w:r>
    </w:p>
    <w:p>
      <w:pPr>
        <w:spacing w:after="100"/>
      </w:pPr>
      <w:r>
        <w:t xml:space="preserve">El margen sale de la escala: un usuario más de Weixin cuesta casi nada y un juego de éxito dura una década (Honour of Kings, Peacekeeper Elite). El margen bruto pasó del 43,9 % en 2021 al 56,2 % en 2025 por la mezcla: más publicidad y juegos propios, menos vídeo caro [1]. Casi todo es recurrente: compras dentro de los juegos, publicidad y comisiones de pago. El cambio de 2026 es la inversión en IA: servidores que se amortizan en pocos años, con una inversión trimestral que pasa de 19.107 M a 52.784 M y unos nuevos productos de IA que restan ≈10.500 M de resultado operativo por trimestre [6]. El beneficio futuro depende de que la IA suba el precio de la publicidad y el gasto en la nube y en agentes más deprisa que esa amortización.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(juegos y redes sociales)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marketing (publicidad)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144.973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Fintech y servicios empresariales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valor añadido (juegos y redes sociales)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287.565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369.281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de marketing (publicidad)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144.973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Fintech y servicios empresariales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Ingresos por ubicación del cliente en 2025: China continental 662.119 M y resto 89.647 M (nota 6 de las cuentas) [1].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pesa: los cinco mayores fueron el 6,5 % de los ingresos de 2025 [1]. Cientos de millones de jugadores y usuarios de pago, millones de anunciantes y comercios. El poder de precios se ve en la publicidad (marketing +19,4 % en 2025 y +22 % en el 2T26, con más precio por impresión gracias a la segmentación con IA) [1, 6] y en la nube, que en 2026 sube precios por la escasez de capacidad («a more favourable pricing environment») [6]. En juegos, la regulación limita el tiempo de los menores, no el precio de los objetos virtuales.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Usuarios mensuales de Weixin y WeChat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 M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casi saturada en China; el crecimiento viene del tiempo de uso (Video Accounts +20 % en el 2T26)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juegos nacionales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Delta Force, VALORANT y Roco Kingdom: World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juegos internacionales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Supercell, a la baja; Wuthering Waves y VALORANT, al alza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marketing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35.762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43.565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recomendación de anuncios con IA y AIM+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Suscripciones de pago (VAS)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M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Vídeo y música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inmovilizado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19.107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52.784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de cálculo para IA; caja libre del 2T26 de −13.800 M (37.600 M sin los anticipos por compra de capacidad)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operativo no NIIF sin nuevos productos de IA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72.400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86.100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ellos, 75.600 M (+9 %): los nuevos productos de IA (Hy, Yuanbao, CodeBuddy, WorkBuddy, Xiaowei) restaron ≈10.500 M en el trimestre [6,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Tencent compite en varios mercados chinos: juegos, publicidad digital, pagos y nube. Tomamos como referencia el que más pesa en su beneficio, el mercado de videojuegos de China en ventas reales (CADPA): 350.790 M RMB en 2025 (+7,7 %) [13] y 325.800 M en 2024 (+7,5 %) [14]. Los años anteriores salen del mismo comunicado de CADPA citado por la prensa (2023 ≈303.000 M, +14 %; 2022 derivado). La publicidad, los pagos y la nube no tienen una cifra contrastada en dos fuentes: se describen en tendencias y drivers.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≈350.800 M RMB en 2025 (videojuegos en China, CADPA) [13,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RMB)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en la publicidad (segmentación y campañas automáticas)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Marketing +19,4 % en 2025 y +22 % en el 2T26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 de juegos y protección de menores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Congelaciones de 2018 y 2021-22; con licencias normalizadas el mercado crece un 7,5-7,7 % en 2024-25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y acceso a la capacidad de cálculo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del 2T26 de 52.784 M (+176 %); arrendamiento de 100.000 chips vía Oracle por ≈7.000 M USD (oct-26, prensa) [6,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(WorkBuddy, Xiaowei) como nueva puerta de entrada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WorkBuddy, primero en interacciones de agentes de oficina en China (jun-26); ByteDance integra Doubao en una superaplicación [7,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Fintech y servicios empresariales +8,2 % en 2025 y +9 % en el 2T26 [1,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ByteDance (Douyin, Doubao) compite por el tiempo de uso, la publicidad y la IA de consumo; Alibaba, Huawei y ByteDance en la nube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Usuarios y anunciantes atomizados: los cinco mayores clientes son el 6,5 %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Chips de IA escasos por los controles de exportación; Tencent arrienda capacidad en el extranjero y compra a fabricantes chinos [6,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Weixin y la escala en juegos no se replican; en IA, la barrera es el capital.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Vídeo corto (Douyin) y asistentes de IA pueden desplazar el tiempo de uso; Video Accounts crece más de un 20 % en tiempo de uso [6].</w:t>
            </w:r>
          </w:p>
        </w:tc>
      </w:tr>
    </w:tbl>
    <w:p>
      <w:pPr>
        <w:spacing w:after="160" w:before="0"/>
      </w:pPr>
    </w:p>
    <w:p>
      <w:pPr>
        <w:pStyle w:val="Heading2"/>
      </w:pPr>
      <w:r>
        <w:t xml:space="preserve">Ciclo</w:t>
      </w:r>
    </w:p>
    <w:p>
      <w:pPr>
        <w:spacing w:after="100"/>
      </w:pPr>
      <w:r>
        <w:t xml:space="preserve">Juegos y publicidad en China crecen a un dígito alto (videojuegos +7,7 % en 2025 [13]). El ciclo lo marca más la regulación que la economía: en 2022 los ingresos de Tencent bajaron un 1,0 % por la congelación de licencias y los confinamientos, y el mercado de juegos un ≈10 %; en 2020 los juegos subieron con el confinamiento [1, 14]. En 2026 la variable es el ciclo de inversión en IA: la amortización crece más que las ventas y frena el beneficio.</w:t>
      </w:r>
    </w:p>
    <w:p>
      <w:pPr>
        <w:pStyle w:val="Heading2"/>
      </w:pPr>
      <w:r>
        <w:t xml:space="preserve">Regulación</w:t>
      </w:r>
    </w:p>
    <w:p>
      <w:pPr>
        <w:spacing w:after="100"/>
      </w:pPr>
      <w:r>
        <w:t xml:space="preserve">Licencias de juegos de la NPPA y límites de tiempo de juego a menores; supervisión de pagos y crédito por el banco central; seguridad de datos y normas sobre contenido generado por IA. Fuera de China: Tencent está en la lista 1260H del Pentágono desde enero de 2025 y el comité CFIUS de EE. UU. estudia desde marzo de 2026 si obligarle a vender sus participaciones en Epic, Riot y Supercell, sin decisión ni fecha publicadas [16]. Los controles de exportación de chips de EE. UU. condicionan la IA.</w:t>
      </w:r>
    </w:p>
    <w:p>
      <w:pPr>
        <w:pStyle w:val="Heading2"/>
      </w:pPr>
      <w:r>
        <w:t xml:space="preserve">Tendencias y disrupción</w:t>
      </w:r>
    </w:p>
    <w:p>
      <w:pPr>
        <w:spacing w:after="100"/>
      </w:pPr>
      <w:r>
        <w:t xml:space="preserve">La IA decide: mejora la publicidad, sube la demanda de nube y abre los agentes (WorkBuddy, CodeBuddy, Xiaowei), pero exige una inversión que se triplica y aún resta resultado [6, 7]. El vídeo corto sigue ganando tiempo de uso; Tencent responde con Video Accounts y, en octubre, con una plataforma de microdramas frente a Hongguo de ByteDance (prensa china). En juegos ganan peso PC, consolas y el mercado internacional.</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juegos en China (ingresos de juegos nacionales de 164.200 M en 2025, ≈47 % de las ventas del mercado según CADPA; las bases no son idénticas), 1.º en mensajería (Weixin), 1.º en pagos móviles por usuarios y 2.º en PaaS en la nube [1, 7,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(Douyin, Doubao)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principal en publicidad, tiempo de uso, microdramas e IA de consumo; no cotiza ni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9999.HK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juegos de China; ventas de los últimos 12 meses y margen operativo del último trimestre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9988.HK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e IA (Qwen) y publicidad de comercio electrónico; margen hundido por el comercio rápido y la IA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Kuaishou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1024.HK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Vídeo corto, publicidad y Kling (vídeo con IA)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9888.HK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Búsqueda, nube de IA (Ernie) y conducción autónoma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 Group (Alipay)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en pagos móviles y gestión patrimonial; no cotiza.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Weixin reúne comunicación, pagos, miniaplicaciones y ahora agentes para 1.439 M de usuarios [5]; margen bruto del 43,9 % al 56,2 % en 2021-2025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Contactos, grupos, pagos, cuentas de juego y documentos viven en Weixin, QQ y Tencent Docs.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Juegos «perennes» de más de 4.000 M RMB al año; Delta Force y VALORANT en máximos de usuarios diarios en el 2T26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propia de juegos y publicidad sin coste de adquisición de usuarios; margen operativo del 32,9 % frente al 7-10 % de Alibaba, Kuaishou y Baidu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Tencent, Alibaba, ByteDance y Huawei financian la IA a esta escala en China [5].</w:t>
            </w:r>
          </w:p>
        </w:tc>
      </w:tr>
    </w:tbl>
    <w:p>
      <w:pPr>
        <w:spacing w:after="160" w:before="0"/>
      </w:pPr>
    </w:p>
    <w:p>
      <w:pPr>
        <w:pStyle w:val="Heading2"/>
      </w:pPr>
      <w:r>
        <w:t xml:space="preserve">Amenazas</w:t>
      </w:r>
    </w:p>
    <w:p>
      <w:pPr>
        <w:spacing w:after="100"/>
      </w:pPr>
      <w:r>
        <w:t xml:space="preserve">Tres amenazas: (1) que los agentes de IA cambien la puerta de entrada a internet y Weixin pierda tiempo de uso frente a Doubao de ByteDance (probabilidad media a cinco años) [18]; (2) un nuevo endurecimiento regulatorio sobre juegos o fintech como el de 2021-22 (media); (3) que la inversión en IA no se recupere y el foso se mantenga con un ROIC menor (media-alta en 2026-28) [6]. Fuera de China, una venta forzosa de Riot, Supercell o Epic recortaría los juegos internacionales (77.400 M de ingresos en 2025) [1, 16].</w:t>
      </w:r>
    </w:p>
    <w:p>
      <w:r>
        <w:br w:type="page"/>
      </w:r>
    </w:p>
    <w:p>
      <w:pPr>
        <w:pStyle w:val="Parte"/>
      </w:pPr>
      <w:r>
        <w:t xml:space="preserve">Parte II — Finanzas</w:t>
      </w:r>
    </w:p>
    <w:p>
      <w:pPr>
        <w:pStyle w:val="Heading1"/>
      </w:pPr>
      <w:r>
        <w:t xml:space="preserve">5. Cuenta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751.766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310.767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7,6 %</w:t>
      </w:r>
      <w:r>
        <w:t xml:space="preserve">, EBITDA </w:t>
      </w:r>
      <w:r>
        <w:rPr>
          <w:b/>
          <w:bCs/>
        </w:rPr>
        <w:t xml:space="preserve">15,7 %</w:t>
      </w:r>
      <w:r>
        <w:t xml:space="preserve">, BPA </w:t>
      </w:r>
      <w:r>
        <w:rPr>
          <w:b/>
          <w:bCs/>
        </w:rPr>
        <w:t xml:space="preserve">1,1 %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Tencent pasó de 560.118 M de ingresos en 2021 a 751.766 M en 2025 (TCAC del 7,6 %), con un 2022 a la baja (−1,0 %) por la congelación de licencias y los confinamientos y un 2025 fuerte (+13,9 %) por juegos (nacionales +18 %, internacionales +33 %) y publicidad (+19,4 %) [1]. Todo orgánico salvo compras pequeñas (11.541 M en 2025). El margen bruto subió del 43,9 % al 56,2 % y el EBITDA del 30,9 % al 41,3 %: más publicidad y juegos propios, menos vídeo caro y cierre de negocios con pérdidas desde 2022. En 2026 las ventas crecen un 10,1 % en el primer semestre (401.243 M) y el EBITDA mejora al 42,4 % [5], pero el beneficio se frena por la amortización de la IA: la del inmovilizado pasa de 11.371 M a 17.887 M en un semestre y los nuevos productos de IA restan ≈10.500 M de resultado operativo en el 2T26 [5, 6, 7]. El resultado operativo no NIIF crece un 9 % y sin los nuevos productos de IA un 19 % [6].</w:t>
      </w:r>
    </w:p>
    <w:p>
      <w:pPr>
        <w:pStyle w:val="Heading2"/>
      </w:pPr>
      <w:r>
        <w:t xml:space="preserve">Ajustes y partidas no recurrentes</w:t>
      </w:r>
    </w:p>
    <w:p>
      <w:pPr>
        <w:spacing w:after="100"/>
      </w:pPr>
      <w:r>
        <w:t xml:space="preserve">El beneficio NIIF no sirve para comparar años: incluye revalorizaciones, ventas y deterioros de participadas y su parte del resultado de asociadas (en el 2T26, −9.993 M por las asociadas y +11.184 M por ganancias de inversiones) [6]. Por eso el BAI de 2021 (248.062 M) dobla el EBIT (115.503 M) y el de 2023 casi lo iguala [1, 3, 4]. Tencent publica un beneficio no NIIF (259.626 M en 2025, 222.703 M en 2024) que excluye esas partidas, los pagos en acciones (31.859 M en 2025), la amortización de intangibles comprados (6.345 M) y donaciones; lo usamos como base del BPA de la regla a 12 meses por coherencia con el consenso, sabiendo que deja fuera un coste real del 4-5 % de las ventas [1]. Las otras ganancias y pérdidas (−3.177 M en 2025) quedan fuera del EBIT y dentro del resultado financiero, como en el EBITDA de la propia empresa.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204.785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(12-ago) Tencent facturó 204.785 M (+11 %), con publicidad +22 % y juegos nacionales +17 %, pero el beneficio atribuido NIIF (56.022 M, +0,7 %) y el no NIIF (68.415 M, +9 %) quedaron por debajo de lo esperado por la prensa y los analistas [6, 33]. La inversión se disparó a 52.784 M (+176 %) y la caja libre fue de −13.800 M (37.600 M sin los anticipos por compra de capacidad) [6]. La dirección presentó por primera vez un resultado operativo «sin los nuevos productos de IA» (86.100 M, +19 %) para separar el negocio de siempre de la apuesta de IA, y defendió que el riesgo de la inversión está acotado porque la capacidad de cálculo puede alquilarse en Tencent Cloud si no la usa [7]. Frente al 1T26 (ingresos +9 %, por debajo del consenso, y caída del 15 % de la acción en el mes siguiente [33]) el discurso pasó de «ritmo prudente» a «aceleración»: Hy3 en producción, WorkBuddy líder en agentes de oficina y Hy4 antes de fin de año [7]. Los analistas preguntaron por el retorno de la IA y por cuánto subirá la amortización; la dirección no dio cifra de inversión anual ni plazo de retorno, y dijo que la economía de WorkBuddy mejorará con el tiempo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1.612.364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806.299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1.578.131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1.577.246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1.780.995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2.038.986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205.999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494.878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387.733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1.154.152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Tencent pasó de una deuda neta de 20.243 M en 2021 a una caja neta de 107.145 M en 2025, y en junio de 2026 la caja neta bajó a 58.191 M porque la inversión en IA (95.615 M de compras de inmovilizado en el semestre) y el dividendo (41.595 M) superaron al flujo operativo [1, 5, 6]. La deuda bruta sube: 452.963 M en junio y, tras los bonos de octubre (1.800 M USD y 26.000 M RMB), ≈491.000 M (estimación propia) [10]. El circulante es negativo (−9,4 % de las ventas en 2025): los usuarios pagan por adelantado y los proveedores cobran a 134 días. Con una cobertura de intereses de 18,2 veces y deuda neta negativa, el balance aguanta el ciclo de inversión; lo que cambia es el perfil: de empresa con caja a empresa que financia con deuda una parte de la IA.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224.822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651.329</w:t>
      </w:r>
      <w:r>
        <w:t xml:space="preserve">, conversión </w:t>
      </w:r>
      <w:r>
        <w:rPr>
          <w:b/>
          <w:bCs/>
        </w:rPr>
        <w:t xml:space="preserve">69 %</w:t>
      </w:r>
      <w:r>
        <w:t xml:space="preserve"> del beneficio neto; adquisiciones 61.232, dividendos 112.832, recompras 250.887.</w:t>
      </w:r>
    </w:p>
    <w:p>
      <w:pPr>
        <w:spacing w:after="100"/>
      </w:pPr>
      <w:r>
        <w:t xml:space="preserve">La conversión del beneficio en caja libre fue del 45 % en 2021, del 136 % en 2023 y del 76 % en 2025, siempre con el capex completo (incluidos contenidos): la caja libre acumulada de 2021-2025 suma 651.329 M, que se fue a recompras (250.887 M), dividendos (112.832 M) y compras (61.232 M) [1]. En 2026 la caja libre se hunde: en los 12 meses a junio queda en 123.529 M frente a 170.214 M en 2025, porque el capex de esos 12 meses llega a ≈162.600 M [1, 5]. Capex de mantenimiento: la amortización (66.028 M en 2025, 8,8 % de las ventas) es una buena aproximación, porque incluye el contenido que se renueva cada año; todo lo que supera esa cifra en 2026-27 es inversión de crecimiento en IA (estimación propia).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(Hong Kong)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PwC con opinión favorable [1]. Los tres indicadores del motor son tranquilizadores: Altman Z de 4,01 (zona segura), Piotroski F de 7 sobre 9 (falla solo el endeudamiento, que sube) y Beneish M de −2,64, lejos del umbral de manipulación. El riesgo de calidad no es contable sino de lectura: el beneficio NIIF depende de la cartera (asociadas y revalorizaciones), el no NIIF excluye 31.859 M de pagos en acciones, y desde 2026 parte de la inversión en IA aparece como anticipo en el flujo operativo (anticipos no corrientes de 91.203 M a junio) [1, 6]. No hay capitalización de I+D relevante: el gasto de I+D va a gastos generales. Las amortizaciones de contenidos (33.229 M en 2025) son la principal estimación contable: un cambio de vida útil movería el EBIT.</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NIIF dominado por la cartera de inversiones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ganancias de inversiones y las participadas llevan el BAI de 115.503 M de EBIT a 248.062 M en 2021 y de 155.373 M a 161.324 M en 2023 [1, 3, 4]: el beneficio atribuido NIIF salta de 224.822 M (2021) a 115.216 M (2023) sin que el negocio lo haga. Medida útil: el no NIIF (123.788 M en 2021, 259.626 M en 2025)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no NIIF excluye los pagos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de 31.859 M en 2025 (25.660 M liquidados en acciones), un 4,2 % de las ventas, más 6.345 M de amortización de intangibles comprados [1]: coste real que el beneficio no NIIF no resta. Nuestro BPA de la regla a 12 meses es no NIIF por coherencia con la historia y el consenso, y se dice.</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Anticipos por capacidad de cálculo en el flujo operativo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anticipos a largo plazo pasan de 24.540 M (dic-25) a 91.203 M (jun-26) y la compra de inmovilizado del semestre es de 95.615 M [5, 6]; parte de la inversión en IA sale por el flujo operativo (la empresa da la caja libre del 2T26 sin ellos: 37.600 M frente a −13.800 M) [6]. Comparar el FCF con el capex del estado de flujos y no solo con el del comunicado.</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918.883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870.677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1.074.591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153.789 M en 2025 (el 14 % del capital invertido medio); ha subido más de un 5 % en 3 de 4 años: comprador en serie. ROIC publicado 18,9 %; sin fondo de comercio, 21,9 %.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62,2 % · </w:t>
      </w:r>
      <w:r>
        <w:rPr>
          <w:b/>
          <w:bCs/>
        </w:rPr>
        <w:t xml:space="preserve">WACC</w:t>
      </w:r>
      <w:r>
        <w:t xml:space="preserve">: 8,9 %.</w:t>
      </w:r>
    </w:p>
    <w:p>
      <w:pPr>
        <w:spacing w:after="100"/>
      </w:pPr>
      <w:r>
        <w:t xml:space="preserve">Tencent crea valor: el ROIC del motor sube del 11,5 % en 2021 al 18,9 % en 2025, frente a un WACC del 8,95 %: 9,95 puntos de diferencial. Ese ROIC está deprimido por el método, porque el capital invertido incluye la cartera de participaciones, cuyo rendimiento no está en el EBIT; sin ella, el ROIC del negocio operativo superaría el 40 % (estimación propia). Lo mueve el margen (EBITDA del 30,9 % al 41,3 %), no la rotación (0,35-0,39 veces). La inversión en IA va a bajar el ROIC en 2026-27 (más capital y más amortización antes de los ingresos); para que la calidad aguante, el capital nuevo tiene que rendir al menos el ≈20 % que suponemos en la prueba de sostenibilidad.</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total de 511.154 M y caja neta de 58.191 M a 30-jun-2026 (107.145 M a dic-25): préstamos de 298.942 M y bonos de 154.021 M [6]. Después del cierre del semestre emitió bonos por 1.800 M USD y 26.000 M RMB (oct-26, al 2,40-6,75 %) [10], tras 2.450 M USD y 15.000 M RMB en junio [11]: más deuda bruta y más caja, sin cambio de la caja neta.</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relevantes ni covenants financieros publicados. Pasivos que no son deuda pero pesan: ingresos diferidos de 133.676 M a jun-26 (objetos virtuales y suscripciones ya cobrados) y proveedores de 175.579 M (subieron 54.452 M en el semestre por la compra de servidores) [6]. Los anticipos a largo plazo por capacidad de cálculo pasaron de 24.540 M a 91.203 M en seis meses: compromisos de inversión ya pagados [6]. Opciones de venta de minoritarios y otros pasivos financieros, 9.050 M [6]. La estructura VIE no crea pasivos en balance, pero es una contingencia legal (riesgos).</w:t>
      </w:r>
    </w:p>
    <w:p>
      <w:pPr>
        <w:pStyle w:val="Heading1"/>
      </w:pPr>
      <w:r>
        <w:t xml:space="preserve">12. Asignación de capital</w:t>
      </w:r>
    </w:p>
    <w:p>
      <w:pPr>
        <w:pStyle w:val="Confianza"/>
        <w:spacing w:after="100"/>
      </w:pPr>
      <w:r>
        <w:t xml:space="preserve">Confianza: Alta</w:t>
      </w:r>
    </w:p>
    <w:p>
      <w:pPr>
        <w:spacing w:after="100"/>
      </w:pPr>
      <w:r>
        <w:t xml:space="preserve">Dividendo ordinario anual creciente en HKD: 1,60 por 2021, 2,40 por 2022, 3,40 por 2023, 4,50 por 2024 y 5,30 por 2025 (pagado en 2026: 41.595 M RMB en el primer semestre) [1, 2, 3, 4, 5]. Recompras: 102.331 M RMB en 2024 y 73.312 M en 2025; en el primer semestre de 2026, 50,0 M de acciones por ≈24.400 M HKD (81,9 M en el mismo semestre de 2025) [1, 5]. En 2026 la prioridad de la caja es la capacidad de cálculo para IA (inversión de 52.784 M en el 2T26) y la financia en parte con bonos [6, 10,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de juegos (100 %, nombre no publicado en la nota)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5.200 M sobre 3.600 M de activos netos; sin efecto material en ventas ni resultado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adicionales en asociadas de juegos (pasan a filiales)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 de 2.200 M por revalorización de lo que ya tenía y fondo de comercio de 19.100 M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de juegos (67 %, nombre no publicado en la nota)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5.600 M; sin deterioro publicado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Sumo Group (Reino Unido; exclusión de bolsa, del 9 % al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6.700 M; integrado en juegos internacionales [4].</w:t>
            </w:r>
          </w:p>
        </w:tc>
      </w:tr>
    </w:tbl>
    <w:p>
      <w:pPr>
        <w:spacing w:after="160" w:before="0"/>
      </w:pPr>
    </w:p>
    <w:p>
      <w:pPr>
        <w:spacing w:after="100"/>
      </w:pPr>
      <w:r>
        <w:t xml:space="preserve">La dirección ha asignado bien el capital: ROIC del 11,5 % en 2021 al 18,9 % en 2025 con el capital invertido inflado por la cartera, recompras de 250.887 M en 2021-2025 que bajaron las acciones diluidas de 9.696 M a 9.244 M (−4,7 %), dividendos multiplicados por 3,3 en HKD y repartos en especie de JD.com y Meituan, que devolvieron al accionista participaciones que el mercado no valoraba [1]. El ROIC incremental de 2021-2025 es muy alto porque el EBIT creció con poco capital. El reto de 2026-28 es distinto: por primera vez la caja no cubre la inversión, el dividendo y las recompras, y la empresa emite bonos (≈5.500 M USD en octubre) mientras recorta recompras [5, 10]. Si la IA rinde como el resto del negocio, es buena asignación; si no, será la primera destrucción de valor relevante desde la venta de las participaciones de juegos de 2022.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 (Pony 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Tencent en 1998 y la dirige desde entonces; único consejero ejecutivo. Con él los ingresos pasaron de 560.118 M en 2021 a 751.766 M en 2025 y el beneficio no NIIF de 123.788 M a 259.626 M tras la campaña regulatoria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Lau Chi Ping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banquero de inversión; lleva la estrategia, las inversiones y la relación con los inversores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Lo Shek Hon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2016: dividendos crecientes, recompras y financiación de la IA con bonos en 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James Gordon Mitchell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 e inversiones internacionales, sobre todo en juegos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2025 por encima de 2024 (marzo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79.198 M frente a 76.760 M (definición de la empresa), por debajo de lo que había dado a entender por falta de chips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inversión en IA, menos recompras y dividendo al alza (marzo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 5,30 HKD (+18 %); recompras del semestre de 50,0 M de acciones (81,9 M un año antes); inversión del 2T26 de 52.784 M (+176 %)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muy estable: Ma Huateng (desde 1998), Martin Lau (desde 2006) y John Lo (desde 2016) pasaron juntos la campaña regulatoria de 2021-22 [1]. Tencent no da guía numérica de ingresos ni de beneficio, así que el historial se mide por la inversión y la política de capital, y se ha cumplido en lo esencial [1, 5, 6]. La sucesión es el riesgo: Ma Huateng (54 años) acumula presidencia y dirección y no hay número dos designado públicamente; el consejo tiene ocho miembros, cinco independientes [19].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Jacobus Petrus (Koos) Bekker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(Naspers/Prosus)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St Leger Searle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(Naspers/Prosus)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Dong Sheng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Charles Stone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Yang Siu Shun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 Yang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Zhang Xiulan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Prosus / Naspers (MIH Internet Holdings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(primer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24,01 % (dic-24) → 22,80 % (dic-25) → 22,60 % (jun-26): vende de forma continua para financiar sus recompras [1, 2,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 Huateng (Advance Data Services, incl. Ma Huateng Global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(804,9 M de acciones)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del plan de incentivos (fideicomiso)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84,3 M de acciones a 30-jun-2026 (81,1 M en dic-25)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48,53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Hong Kong no hay voto consultivo del informe de remuneración: la junta vota cada año la autorización al consejo para fijar la remuneración de los consejeros, aprobada con un 96,6-96,7 % a favor en 2024 y 2025 [20, 21]. Ma Huateng cobró 48,53 M RMB en 2025 (45,07 M en 2024): 9,16 M fijos y 39,38 M de bonus, sin acciones (ya tiene el 8,85 %) [1, 5]; unas 42 veces el coste medio por empleado (130.699 M de gastos de personal entre ≈113.000 empleados medios; estimación propia) [1]. El informe no publica métricas ni pesos del bonus ni cláusulas de recuperación: el variable no está ligado de forma visible a ROIC, TSR o caja. El grueso de la retribución de los directivos es en acciones (31.859 M de pagos en acciones en 2025) [1].</w:t>
      </w:r>
    </w:p>
    <w:p>
      <w:pPr>
        <w:pStyle w:val="Heading2"/>
      </w:pPr>
      <w:r>
        <w:t xml:space="preserve">Operaciones vinculadas, estructura de control y defensas</w:t>
      </w:r>
    </w:p>
    <w:p>
      <w:pPr>
        <w:spacing w:after="100"/>
      </w:pPr>
      <w:r>
        <w:t xml:space="preserve">Sociedad de las Islas Caimán con una sola clase de acciones; opera en China a través de entidades de interés variable (VIE): Tencent Computer es propiedad legal de los fundadores chinos (Ma Huateng tiene el 54,29 % de su capital registrado) y Tencent la controla por contratos [1, 5]. Prosus (22,60 %) es el primer accionista con dos consejeros dominicales, pero no controla la junta ni nombra al primer ejecutivo; el fundador (8,85 %) preside y dirige [5, 19]. El mandato de emisión del 10 % recibe un 31-35 % de votos en contra cada año (2024: 34,5 %; 2025: 30,9 %) por la dilución posible [20, 21].</w:t>
      </w:r>
    </w:p>
    <w:p>
      <w:pPr>
        <w:pStyle w:val="Heading2"/>
      </w:pPr>
      <w:r>
        <w:t xml:space="preserve">Señales de alerta</w:t>
      </w:r>
    </w:p>
    <w:p>
      <w:pPr>
        <w:pStyle w:val="ListParagraph"/>
        <w:numPr>
          <w:ilvl w:val="0"/>
          <w:numId w:val="2"/>
        </w:numPr>
        <w:spacing w:after="60"/>
      </w:pPr>
      <w:r>
        <w:t xml:space="preserve">Presidente y consejero delegado en la misma persona, sin consejero coordinador independiente [19].</w:t>
      </w:r>
    </w:p>
    <w:p>
      <w:pPr>
        <w:pStyle w:val="ListParagraph"/>
        <w:numPr>
          <w:ilvl w:val="0"/>
          <w:numId w:val="2"/>
        </w:numPr>
        <w:spacing w:after="60"/>
      </w:pPr>
      <w:r>
        <w:t xml:space="preserve">Estructura VIE: los derechos del accionista extranjero dependen de contratos con entidades chinas [1].</w:t>
      </w:r>
    </w:p>
    <w:p>
      <w:pPr>
        <w:pStyle w:val="ListParagraph"/>
        <w:numPr>
          <w:ilvl w:val="0"/>
          <w:numId w:val="2"/>
        </w:numPr>
        <w:spacing w:after="60"/>
      </w:pPr>
      <w:r>
        <w:t xml:space="preserve">Lista 1260H del Pentágono (desde enero de 2025) y revisión de CFIUS sobre Epic, Riot y Supercell abierta en 2026.</w:t>
      </w:r>
    </w:p>
    <w:p>
      <w:pPr>
        <w:pStyle w:val="ListParagraph"/>
        <w:numPr>
          <w:ilvl w:val="0"/>
          <w:numId w:val="2"/>
        </w:numPr>
        <w:spacing w:after="60"/>
      </w:pPr>
      <w:r>
        <w:t xml:space="preserve">Venta continua de Prosus (24,01 % → 22,60 % en 18 meses) [2, 5].</w:t>
      </w:r>
    </w:p>
    <w:p>
      <w:pPr>
        <w:pStyle w:val="ListParagraph"/>
        <w:numPr>
          <w:ilvl w:val="0"/>
          <w:numId w:val="2"/>
        </w:numPr>
        <w:spacing w:after="60"/>
      </w:pPr>
      <w:r>
        <w:t xml:space="preserve">Dos independientes en el consejo desde 2004 (más de 20 años), lo que reduce su independencia de hecho [19].</w:t>
      </w:r>
    </w:p>
    <w:p>
      <w:r>
        <w:br w:type="page"/>
      </w:r>
    </w:p>
    <w:p>
      <w:pPr>
        <w:pStyle w:val="Parte"/>
      </w:pPr>
      <w:r>
        <w:t xml:space="preserve">Parte IV — Mercado y valoración</w:t>
      </w:r>
    </w:p>
    <w:p>
      <w:pPr>
        <w:pStyle w:val="Heading1"/>
      </w:pPr>
      <w:r>
        <w:t xml:space="preserve">15. Previsiones de la compañía y consenso</w:t>
      </w:r>
    </w:p>
    <w:p>
      <w:pPr>
        <w:spacing w:after="100"/>
      </w:pPr>
      <w:r>
        <w:t xml:space="preserve">Tencent no da guía numérica de ingresos ni de beneficio. En la presentación del 2T26 (12-ago-2026) reiteró que el negocio de siempre crece con fuerza y financia la IA, y que aumentó de forma sustancial la compra de capacidad de cálculo, que convertirá el uso de sus aplicaciones y modelos en ingresos [6]. Hy4 se lanzará antes de fin de año. No hay plan a medio plazo con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824.828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EBITDA ajustado, EBIT, DPA; 43 analistas) y Yahoo (BPA no NIIF, 32 analistas) [26,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902.991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y Yahoo (BPA no NIIF, 33 analistas) [26,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990.906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441.783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299.138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(BPA NIIF 28,96; sin no NIIF)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823.184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824.828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897.270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902.991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973.538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990.906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404.018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560,64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366,08 – 757,08</w:t>
            </w:r>
          </w:p>
        </w:tc>
      </w:tr>
    </w:tbl>
    <w:p>
      <w:pPr>
        <w:spacing w:after="160" w:before="0"/>
      </w:pPr>
    </w:p>
    <w:p>
      <w:pPr>
        <w:pStyle w:val="Heading2"/>
      </w:pPr>
      <w:r>
        <w:t xml:space="preserve">Revisiones de estimaciones</w:t>
      </w:r>
    </w:p>
    <w:p>
      <w:pPr>
        <w:spacing w:after="100"/>
      </w:pPr>
      <w:r>
        <w:t xml:space="preserve">El BPA no NIIF del consenso baja: 2026e de 29,73 RMB hace 90 días a 28,89 hoy (−2,8 %) y 2027e de 32,65 a 30,50 (−6,6 %) [27], por la amortización y el gasto de los nuevos productos de IA tras el 2T26. Los objetivos también bajan: Nomura de 727 a 695 HKD (14-ago) y Jefferies de 750 a 711 HKD (9-oct), con más recortes que subidas desde marzo [26]. Yahoo da 41 analistas con recomendación media «strong buy» y objetivo de 655,19 HKD (429,71-888,67) [27]; MarketScreener, 43 con «Comprar» y 560,64 CNY (≈658 HKD) [26]. El EBITDA de MarketScreener es el ajustado de Tencent (suma los pagos liquidados en acciones: 336.427 M en 2025).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-59,2 %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Tencent ha perdido un 30,5 % en un año con dividendos frente a un −1,3 % del Hang Seng y un −28,5 % del índice tecnológico (ETF 3033.HK) [23]: la caída es del sector tecnológico chino y, dentro de él, de las que más invierten en IA sin ingresos visibles. Tres golpes: los resultados de 2025 con el anuncio de menos recompras y más IA (marzo), el 1T26 por debajo de lo esperado (mayo) y el 2T26 con el beneficio frenado por la amortización (agosto) [33]. A 3 años sigue ganando un 13,9 % anual (índice 15,5 %) y a 10 años un 8,4 % (índice 3,7 %). Beta de 1,30 frente al Hang Seng (1,20 ajustada), volatilidad del 32,9 % y caída máxima de 5 años del −59,2 % (oct-21 a oct-22) [23].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 -12,6 % / -19,2 % / -38,1 %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-38,1 % / +1,6 %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19-mar tras los resultados de 2025: más inversión en IA y menos recompras; Alibaba y Tencent perdieron 66.000 M USD de capitalización en dos días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caída de un mes (hasta el 21-may): el 1T26 (13-may) quedó por debajo del consenso en ingresos y beneficio por la inversión en IA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22-jul, la mayor caída diaria en más de un año: rumores de menores ingresos de juegos móviles y rotación hacia valores de IA; arrastró a NetEase y XD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(hasta el 3-ago): Hy3 en producción (6-jul) y las expectativas por WorkBuddy antes del 2T26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1.800 M USD (6,10-6,75 %) y 26.000 M RMB (2,40-3,00 %), sobre todo para inversión en IA, tras 2.450 M USD y 15.000 M RMB en junio: deuda, no acciones; sin dilución [10,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Jefferies baja el objetivo de 750 a 711 HKD y Nomura de 727 a 695 HKD (14-ago), ambos con «comprar»; el BPA no NIIF de consenso de 2027e baja un 6,6 % en 90 días [26,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Investigadores atribuyen a agentes de IA alojados en Tencent Cloud 2.600 intentos de extraer datos de Amap (Alibaba); Tencent niega que fueran sus modelos Hy; no consta actuación de un regulador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CFIUS estudia obligar a Tencent a vender Epic (28 %), Riot y Supercell por los datos de usuarios de EE. UU.; sin decisión ni fecha publicadas [16]. Una venta a precio de mercado no destruiría valor; el riesgo es un descuento por venta forzosa.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Prosus sigue vendiendo de forma ordenada para financiar sus recompras: 24,01 % (dic-24) → 22,80 % (dic-25) → 22,60 % (jun-26); es un vendedor conocido desde 2022, sin colocación acelerada anunciada [2,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acciones de Kuaishou por ≈1.500 M USD y conversaciones para comprar SuperPlay (hasta 1.500 M USD) y ser el mayor accionista de Manus: movimientos de cartera pequeños frente a una capitalización de ≈3,25 billones de RMB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 de 100.000 chips de IA vía Oracle por ≈7.000 M USD (Financial Times, no confirmado por Tencent): más gasto de IA fuera del capex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el 18-nov-2026 (consejo convocado el 24-sep) [19]. Unos resultados cercanos no aplazan una compra (regla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38,1 % en 12 meses y está a un 1,6 % de su mínimo de 52 semanas (aviso P4), con tendencia bajista. La causa está en la tesis del informe: el mercado castiga la inversión en IA (capex del 2T26 +176 %, caja libre negativa en el trimestre) y los recortes del BPA de consenso, no un deterioro del negocio, que crece un 10-11 % con márgenes al alza. No hay hecho pendiente con fecha que pueda mover el precio más de un 5 % en contra: ni colocación acelerada de Prosus anunciada, ni ampliación (los bonos no diluyen), ni decisión de CFIUS con fecha. Los resultados del 18-nov no aplazan. Veredicto global: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Tencent cotiza a 7,9 veces el EBITDA de los últimos 12 meses y 14,0 veces el beneficio, frente a medias de 16,0 y 19,3 veces al cierre de 2021-2025: un descuento del 51 % y del 27 %, en el mínimo de los cinco años. En PER adelantado no NIIF (precio ÷ BPA del año siguiente), 11,9 veces frente a una mediana de 17,2 (2021-2025) y un mínimo de 11,4 (cierre de 2023, tras la campaña regulatoria). Lo que ha cambiado no es el crecimiento (10-11 % en 2026) sino la percepción del riesgo: el mercado ya no paga por un beneficio que la amortización de la IA va a frenar en 2026-27, y aplica un descuento país y geopolítico (1260H, CFIUS). El EV/EBITDA exagera el descuento porque el puente suma 700.080 M de participadas.</w:t>
      </w:r>
    </w:p>
    <w:p>
      <w:pPr>
        <w:pStyle w:val="Heading1"/>
      </w:pPr>
      <w:r>
        <w:t xml:space="preserve">18. Comparables cotizados</w:t>
      </w:r>
    </w:p>
    <w:p>
      <w:pPr>
        <w:pStyle w:val="Confianza"/>
        <w:spacing w:after="100"/>
      </w:pPr>
      <w:r>
        <w:t xml:space="preserve">Confianza: Media</w:t>
      </w:r>
    </w:p>
    <w:p>
      <w:pPr>
        <w:spacing w:after="100"/>
      </w:pPr>
      <w:r>
        <w:t xml:space="preserve">Plataformas de internet con publicidad, juegos o nube. Chinas (Alibaba, NetEase, Baidu, Kuaishou, PDD), con el mismo riesgo país y BPA ajustado como el no NIIF de Tencent, y estadounidenses (Meta, Alphabet, Netflix), con el mismo modelo de publicidad, contenidos e IA. Todas con datos de Yahoo del mismo día (16-19 oct) [28]; PER de los próximos 12 meses = precio ÷ (0,2 × BPA 2026e + 0,8 × BPA 2027e) (Alibaba, ejercicio a marzo: 0,45/0,55); capitalización en millones de RMB al tipo del BCE del 16-oct [12]. ByteDance no cotiza. El EV/EBITDA de las chinas mezcla definiciones: la comparación útil es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Alibaba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NetEase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Baidu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Kuaishou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PDD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773.741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 Platforms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11.964.926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Alphabet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28.142.581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Netflix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1.936.894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13,8x / 20,0x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13,0x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788.483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3,0x / 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Tencent cotiza a 11,8 veces el BPA no NIIF de los próximos 12 meses, por debajo de la mediana de los comparables (13,0 veces: chinas a 6,8-13,9 y estadounidenses a 18,5-22,8) con más margen EBITDA (41,5 %) que todas salvo Meta, crecimiento del 9,5 % y caja neta. Frente a las chinas (Alibaba 13,9x, NetEase 12,1x, Baidu 11,0x, Kuaishou 10,6x, PDD 6,8x) no tiene descuento: el mercado aplica a todas el mismo riesgo país. Frente a Meta (21,2x), con el mismo modelo de publicidad y una inversión en IA parecida, el descuento es del 44 %: es el descuento país, no de calidad. Por eso no usamos el PER de las estadounidenses como objetivo; la mediana de 13,0 veces solo entra en el escenario alcista de la regla a 12 meses, y los comparables no pesan en el valor real (0 %).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se fija en el 9,5 % (primer semestre +10,1 %; consenso de ventas 824.828 M, +9,7 %) [5, 26]. Después, 9,0 % en 2027e y 8,5 % en 2028e (consenso +9,5 % y +9,7 %), bajando al 3,0 % en 2033e. La historia respalda la senda: TCAC del 7,6 % en 2021-2025 con un año a la baja por la regulación. Las palancas son la publicidad (+22 % en el 2T26), los juegos perennes y la nube, que sube precios por escasez de capacidad [6]. No suponemos ingresos relevantes de los agentes de IA (WorkBuddy) más allá de lo que ya está en la nube: si llegan, son el alcista.</w:t>
      </w:r>
    </w:p>
    <w:p>
      <w:pPr>
        <w:keepNext/>
        <w:spacing w:after="100"/>
      </w:pPr>
      <w:r>
        <w:rPr>
          <w:b/>
          <w:bCs/>
        </w:rPr>
        <w:t xml:space="preserve">Márgenes.</w:t>
      </w:r>
    </w:p>
    <w:p>
      <w:pPr>
        <w:spacing w:after="100"/>
      </w:pPr>
      <w:r>
        <w:t xml:space="preserve">El margen EBITDA fue del 41,3 % en 2025 y del 42,4 % en el primer semestre de 2026 [1, 5]. Lo bajamos al 40,5 % en 2026e-27e por el gasto de los nuevos productos de IA (≈10.500 M por trimestre en el 2T26 y al alza) y lo llevamos al 42,5 % en 2030e, cuando la publicidad y la nube recojan la IA. Es el margen del EBITDA de la empresa, después de los pagos en acciones; el consenso de MarketScreener (ajustado, antes de ellos) da 43,2 % en 2026e y 44,6 % en 2028e, ≈3,4 puntos más por definición, es decir, en la misma zona que el nuestro [26].</w:t>
      </w:r>
    </w:p>
    <w:p>
      <w:pPr>
        <w:keepNext/>
        <w:spacing w:after="100"/>
      </w:pPr>
      <w:r>
        <w:rPr>
          <w:b/>
          <w:bCs/>
        </w:rPr>
        <w:t xml:space="preserve">Inversión y circulante.</w:t>
      </w:r>
    </w:p>
    <w:p>
      <w:pPr>
        <w:spacing w:after="100"/>
      </w:pPr>
      <w:r>
        <w:t xml:space="preserve">El capex (inmovilizado, contenidos y suelo) fue del 15,0 % de las ventas en 2025 y del 26,7 % en el primer semestre de 2026 [1, 5]. Suponemos el 24 % en 2026e, el 20 % en 2027e y el 16 % en 2028e, bajando al 11,5 %; la amortización sube del 9,6 % al 13,5 % en 2028-29 (servidores a 4-5 años) y converge al 11,5 %, igual que el capex del último año. Circulante del −8 % de las ventas (−9,4 % en 2025): los usuarios pagan por adelantado. Tipo impositivo del 18 % (17,1 % efectivo en 2025, con participadas exentas).</w:t>
      </w:r>
    </w:p>
    <w:p>
      <w:pPr>
        <w:keepNext/>
        <w:spacing w:after="100"/>
      </w:pPr>
      <w:r>
        <w:rPr>
          <w:b/>
          <w:bCs/>
        </w:rPr>
        <w:t xml:space="preserve">Coste del capital.</w:t>
      </w:r>
    </w:p>
    <w:p>
      <w:pPr>
        <w:spacing w:after="100"/>
      </w:pPr>
      <w:r>
        <w:t xml:space="preserve">Todo en RMB: bono chino a 10 años al 1,66 % (19-oct) [24]; beta de 1,20 (ajustada, mensual de 5 años frente al Hang Seng; 1,30 sin ajustar) [23]; prima de mercado del 5,5 % y prima adicional de 1,5 puntos por la estructura VIE, la lista 1260H y la revisión de CFIUS. Coste de los recursos propios del 9,76 %. Deuda al 3,7 % antes de impuestos (gastos por intereses de 2025 sobre la deuda media; los bonos en RMB de octubre, al 2,40-3,00 %) [1, 10], con un peso del 12 % a valor de mercado. WACC del 8,95 %. Con la prima implícita del mercado (4,20 %), el WACC baja al 7,58 %.</w:t>
      </w:r>
    </w:p>
    <w:p>
      <w:pPr>
        <w:keepNext/>
        <w:spacing w:after="100"/>
      </w:pPr>
      <w:r>
        <w:rPr>
          <w:b/>
          <w:bCs/>
        </w:rPr>
        <w:t xml:space="preserve">Valor terminal.</w:t>
      </w:r>
    </w:p>
    <w:p>
      <w:pPr>
        <w:spacing w:after="100"/>
      </w:pPr>
      <w:r>
        <w:t xml:space="preserve">Gordon con un crecimiento del 1,1 %: entre la inflación esperada en China (≈1 %) y la tasa libre menos medio punto (1,16 %), coherente con flujos en RMB. El valor terminal pesa el 63 % del valor. El múltiplo implícito, ≈10 veces el EBITDA del último año, está en línea con los comparables chinos y por debajo de la media histórica de Tencent (16,0 veces).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1.046.554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200.398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181.779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4.160.013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5.353.318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1.308.217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2.243.652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3.551.869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613.420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4.204.615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0,6 %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1,1 %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1,6 %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2,1 %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537,13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166.990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(reinvierte el 58 %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(histórico: 62,2 %)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frente al 6,7 %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166.990 M, el 8 % del NOPAT, con un capex bruto medio del 15,1 % de las ventas). En un negocio de activos ligeros, el crecimiento medio del 6,7 %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usuarios y tiempo de uso (Video Accounts +20 %), juegos nacionales +17 % en el 2T26; precio: publicidad con mejor segmentación y nube con precios al alza; otros: comercio de Mini Shops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anuncios y juegos perennes; precio por impresión con IA; la nube crece con la capacidad nueva.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mismo, con menos aportación de juegos nuevos; sin ingresos propios de agentes de IA en el base.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 hacia el crecimiento nominal de la economía digital china.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maduro: precio y volumen bajan a 2,5 y 3 puntos.</w:t>
            </w:r>
          </w:p>
        </w:tc>
      </w:tr>
    </w:tbl>
    <w:p>
      <w:pPr>
        <w:spacing w:after="160" w:before="0"/>
      </w:pPr>
    </w:p>
    <w:p>
      <w:pPr>
        <w:spacing w:after="100"/>
      </w:pPr>
      <w:r>
        <w:t xml:space="preserve">Sí. El crecimiento medio proyectado (6,7 %) queda por debajo del histórico (7,6 % de TCAC en 2021-2025) y sale de franquicias que ya existen: publicidad que sube precio con la IA, juegos perennes y nube. El motor ve una reinversión neta de solo el 8 % del NOPAT; con la reinversión bruta, el crecimiento que financia al ROIC actual (18,9 %) es del 11,0 %, por encima del proyectado, y el rendimiento que la proyección supone para la reinversión (9,7 %) es muy inferior al ROIC incremental histórico. Prueba a mano de los años de IA: la inversión neta de 2026e-28e (capex menos amortización) suma ≈214.000 M y el EBIT de 2029e supera al de 2025 en ≈53.500 M (≈43.900 M de NOPAT): el capital nuevo rinde ≈20 %, como el ROIC actual. Cuota: los juegos nacionales (≈47 % del mercado) crecen al ritmo del mercado en el base. Lo que no está probado es que la IA rinda más que eso; no lo suponemos.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(base: 6,3 %)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34,4 % (base: 42,5 %)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(WACC: 8,9 %)</w:t>
            </w:r>
          </w:p>
        </w:tc>
      </w:tr>
    </w:tbl>
    <w:p>
      <w:pPr>
        <w:spacing w:after="160" w:before="0"/>
      </w:pPr>
    </w:p>
    <w:p>
      <w:pPr>
        <w:spacing w:after="100"/>
      </w:pPr>
      <w:r>
        <w:t xml:space="preserve">El DCF da 460,38 RMB por acción (540,4 HKD), un 29,3 % sobre el precio, con un WACC del 8,95 % y un valor terminal del 63 %. La sensibilidad (WACC entre el 8,0 % y el 10,0 %, crecimiento terminal entre el 0,1 % y el 2,1 %) va de 391,38 a 575,55 RMB: el precio (355,94 RMB) queda por debajo de toda la tabla. El DCF inverso dice que a ese precio el mercado descuenta un crecimiento del 1,0 % anual en 2027e-2033e (frente al 6,3 % de nuestro base) o un margen EBITDA del 34,4 % (frente al 42,5 %), y la rentabilidad implícita es del 11,6 %, por encima del WACC. Es una expectativa muy conservadora para una empresa que ha crecido al 7,6 % con márgenes al alza, pero coherente con un mercado que cree que la IA solo defenderá el negocio y que la amortización se comerá el crecimiento. Con la prima implícita del mercado, el DCF sube a 547,97 RMB.</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no se monetiza fuera de la publicidad, ByteDance gana tiempo de uso con Doubao y los microdramas, y un endurecimiento regulatorio de juegos como el de 2021-22 frena las ventas: 3 puntos menos de crecimiento y de margen desde 2027e. Ya pasó en 2022 (ingresos −1,0 %, EBITDA del 29,6 %).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y juegos crecen a un dígito alto, la amortización de la IA frena el beneficio en 2026-27 y el margen vuelve al 42,5 % en 2030e cuando la nube y la publicidad recogen la inversión.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WorkBuddy, Xiaowei y la nube se convierten en un negocio de pago relevante y la publicidad con IA mantiene crecimientos del 20 %: 2 puntos más de crecimiento y 1,5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355,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445,26 CNY (+25,1 %).</w:t>
      </w:r>
    </w:p>
    <w:p>
      <w:pPr>
        <w:spacing w:after="100"/>
      </w:pPr>
      <w:r>
        <w:t xml:space="preserve">El DCF da 330,30 RMB en el bajista (−7,2 %), 460,38 en el base (+29,3 %) y 529,96 en el alcista (+48,9 %): asimetría favorable del valor intrínseco (6,79 veces). A 12 meses, que es lo que decide, la regla común da −16,7 % en el bajista, +18,4 % en el base y +71,6 % en el alcista. El bajista es verosímil (2022) pero no pierde mucho porque la caja neta y las participadas (≈77 RMB por acción después del descuento) sostienen el valor. Damos un 25 % a cada extremo.</w:t>
      </w:r>
    </w:p>
    <w:p>
      <w:pPr>
        <w:pStyle w:val="Heading1"/>
      </w:pPr>
      <w:r>
        <w:t xml:space="preserve">22. Suma de partes</w:t>
      </w:r>
    </w:p>
    <w:p>
      <w:pPr>
        <w:pStyle w:val="Confianza"/>
        <w:spacing w:after="100"/>
      </w:pPr>
      <w:r>
        <w:t xml:space="preserve">Confianza: Media</w:t>
      </w:r>
    </w:p>
    <w:p>
      <w:pPr>
        <w:spacing w:after="100"/>
      </w:pPr>
      <w:r>
        <w:t xml:space="preserve">No se aplica como método: Tencent no publica el resultado de cada segmento. La cartera de participaciones (875.100 M a 30-jun: cotizadas 487.200 M y no cotizadas 387.900 M, ≈96 RMB por acción) se suma en el puente con un 20 % de descuento por impuestos sobre plusvalías y descuento de holding: 700.080 M, ≈77 RMB por acción [6]. Desde junio, la caída de las tecnológicas chinas habrá restado valor a las cotizadas; el dato nuevo llegará con el 3T26.</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355,9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454,33 CNY (+27,6 % sobre 355,94).</w:t>
      </w:r>
    </w:p>
    <w:p>
      <w:pPr>
        <w:spacing w:after="100"/>
      </w:pPr>
      <w:r>
        <w:t xml:space="preserve">El valor real combina el DCF (60 %) y los escenarios (40 %), los dos métodos que recogen la variable central, la inversión en IA. Los comparables no pesan: el descuento país hace que el PER de las estadounidenses no sea una referencia y las chinas cotizan con el mismo descuento que Tencent. No hay transacciones comparables con múltiplo. El valor objetivo es de 454,33 RMB (533,3 HKD), un 27,6 % sobre el precio. La decisión, sin embargo, la toma el objetivo a 12 meses: 432,84 RMB ponderado con la regla v3, que no supone que el PER vuelva a la mediana de 17,2 veces sino que suba solo hasta 13,1 veces (tope ×1,1).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(11.9x) × 1.1 (tope: la mediana de 5 años, 17.2x,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r>
    </w:tbl>
    <w:p>
      <w:pPr>
        <w:spacing w:after="160" w:before="0"/>
      </w:pPr>
    </w:p>
    <w:p>
      <w:pPr>
        <w:spacing w:after="100"/>
      </w:pPr>
      <w:r>
        <w:rPr>
          <w:b/>
          <w:bCs/>
        </w:rPr>
        <w:t xml:space="preserve">Objetivo a 12 meses (ponderado):</w:t>
      </w:r>
      <w:r>
        <w:t xml:space="preserve"> 432,84 CNY (508,06 HKD) · rentabilidad +22,9 % (base +18,4 %) · señal Comprar.</w:t>
      </w:r>
    </w:p>
    <w:p>
      <w:pPr>
        <w:spacing w:after="100"/>
      </w:pPr>
      <w:r>
        <w:t xml:space="preserve">Para comparar, con la regla v2 (historia al cierre, mismo precio): 10,1x / 11,9x / 15,5x, 11,5 % Mantener; con el tope anterior del base (×1,3, 14-oct mediodía): 33,9 %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no NIIF coincide con el del consenso: 29,99 RMB en 2027e frente a 30,50 (−1,7 %) y 31,82 en 2028e [27]. La diferencia está en el múltiplo: nuestro objetivo base (416,84 RMB, 489,3 HKD) usa 13,1 veces (el PER actual con el tope ×1,1 de la regla), mientras el objetivo medio de 41 analistas (655,19 HKD, 558,18 RMB) implica ≈17-18 veces, la mediana histórica. Quedamos un 25,3 % por debajo del objetivo medio y algo por encima del mínimo (429,71 HKD). La tendencia de 3 meses es de recortes (Nomura y Jefferies; BPA 2027e −6,6 %) [26, 27].</w:t>
      </w:r>
    </w:p>
    <w:p>
      <w:pPr>
        <w:keepNext/>
        <w:spacing w:after="100"/>
      </w:pPr>
      <w:r>
        <w:rPr>
          <w:b/>
          <w:bCs/>
        </w:rPr>
        <w:t xml:space="preserve">Del valor intrínseco al objetivo a 12 meses.</w:t>
      </w:r>
    </w:p>
    <w:p>
      <w:pPr>
        <w:spacing w:after="100"/>
      </w:pPr>
      <w:r>
        <w:t xml:space="preserve">El valor intrínseco (454,33 RMB) supera en un 5 % al objetivo ponderado a 12 meses (432,84 RMB): casi no hay distancia, porque la regla ya recoge una recuperación parcial del múltiplo. Para que el precio llegue al objetivo en un año hace falta que el mercado vuelva a pagar 13 veces el BPA de 2028e, lo que pide ver que la amortización de la IA toca techo y que la caja libre vuelve a ser positiva (3T26 el 18-nov, 4T26 en marzo). Una recompra mayor también ayudaría; el dividendo aporta un 1,3 %.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amortización y pérdidas de los nuevos productos de IA; valor de la cartera a septiembre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Hy4 y despliegue de Xiaowei en Weixin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de consumo llega a más de mil millones de usuarios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(5,30 HKD por 2025) y plan de recompras y de inversión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CFIUS sobre Epic, Riot y Supercell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forzosa de activos internacionales de juegos (77.400 M de ingresos en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Mandato de recompra del 10 %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año de caída del capex en % de las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de la caja libre y del crecimiento del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inversión en IA no rinde y la amortización se come el crecimiento del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(escenario bajista del DCF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puede alquilarse en Tencent Cloud; el negocio de siempre crece un 19 % sin la IA nueva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no NIIF que crece menos del 5 %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Endurecimiento regulatorio en juegos o fintech (como en 2021-22)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normalizadas desde 2023; protección de menores ya aplicada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normas de la NPPA o pausa de licencias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ByteDance (Doubao, Douyin, microdramas) desplaza tiempo de uso y publicidad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Video Accounts +20 % de tiempo de uso; Xiaowei dentro de Weixin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Publicidad creciendo por debajo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forzosa de Riot, Supercell o Epic por CFIUS, o sanciones de EE. UU. (1260H)</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valor de mercado; juegos internacionales = 10 %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CFIUS o decreto presidencial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Estructura VIE: los derechos del accionista dependen de contratos con entidades chinas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Hasta −50 % en un caso extremo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 usada por todo el sector desde hace 20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normativa de inversión extranjera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valor de la cartera de participaciones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30 % de caída de la cartera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Descuento del 20 % ya aplicado en el puente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cotizadas en el 3T26 (487.200 M en junio)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Acceso a chips de IA por los controles de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Chips chinos (ASIC), arrendamiento fuera de China, memoria de CXMT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restricciones de EE. UU. o subida del coste de arrendamiento</w:t>
            </w:r>
          </w:p>
        </w:tc>
      </w:tr>
    </w:tbl>
    <w:p>
      <w:pPr>
        <w:spacing w:after="160" w:before="0"/>
      </w:pPr>
    </w:p>
    <w:p>
      <w:pPr>
        <w:pStyle w:val="Heading2"/>
      </w:pPr>
      <w:r>
        <w:t xml:space="preserve">Pre-mortem</w:t>
      </w:r>
    </w:p>
    <w:p>
      <w:pPr>
        <w:spacing w:after="100"/>
      </w:pPr>
      <w:r>
        <w:t xml:space="preserve">Octubre de 2029: Tencent ha perdido un 40 %. La historia más probable empieza en 2027: el capex no baja del 20 % de las ventas porque cada nuevo modelo (Hy5, Hy6) pide más capacidad para no quedarse atrás de ByteDance y Alibaba, y la amortización sube al 15 % de las ventas. Los agentes (WorkBuddy, Xiaowei) tienen usuarios pero no ingresos: en China el usuario no paga y los tokens se venden a pérdida. La publicidad crece al 8 % y no al 20 %, porque Doubao y los microdramas de ByteDance roban tiempo de uso a los jóvenes. El BPA no NIIF de 2028 queda en 26 RMB, por debajo del de 2025, y el mercado, que ya pagaba 12 veces, paga 9. A la vez, CFIUS obliga a vender Riot y Supercell con descuento. Indicadores que lo habrían anticipado: capex en % de las ventas que no baja en 2027, margen EBITDA por debajo del 38 %, publicidad creciendo menos del 10 % dos trimestres seguidos y caja neta negativa.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 +15 % (bajista y alcista del DCF frente al base)</w:t>
      </w:r>
    </w:p>
    <w:p>
      <w:pPr>
        <w:spacing w:after="100"/>
      </w:pPr>
      <w:r>
        <w:t xml:space="preserve">La IA toca todo el negocio. Como oportunidad: la publicidad (19 % de las ventas) sube precio por mejor segmentación (+22 % en el 2T26), la nube (parte del 31 % de fintech y servicios empresariales) sube precios por escasez de capacidad, y los agentes (WorkBuddy, CodeBuddy, Xiaowei en Weixin) pueden abrir un negocio de pago [6, 7]. Como amenaza: un asistente de IA de otro grupo (Doubao de ByteDance) puede convertirse en la puerta de entrada a internet y quitar tiempo de uso a Weixin, y la carrera de modelos exige una inversión que en 2026 triplica la de 2025 y resta ≈10.500 M de resultado por trimestre [6]. Lo que ya hace: modelos propios Hy, agentes líderes en China y la posibilidad de alquilar la capacidad si no la usa. Señales: ingresos de los nuevos productos de IA (aún no publicados), tiempo de uso de Weixin y capex en % de las ventas en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materiales: (1) la protección de menores en los juegos (límites de tiempo y gasto; una norma nueva puede recortar ingresos, como en 2021); (2) la privacidad de 1.439 M de usuarios de Weixin, que además pesa en la revisión de CFIUS sobre sus juegos en EE. UU. [6, 16]; y (3) el consumo eléctrico de los centros de datos de IA, que crece con la inversión (×2,8 en el 2T26) [6].</w:t>
      </w:r>
    </w:p>
    <w:p>
      <w:pPr>
        <w:pStyle w:val="Heading2"/>
      </w:pPr>
      <w:r>
        <w:t xml:space="preserve">Controversias</w:t>
      </w:r>
    </w:p>
    <w:p>
      <w:pPr>
        <w:spacing w:after="100"/>
      </w:pPr>
      <w:r>
        <w:t xml:space="preserve">Lista 1260H del Pentágono desde enero de 2025, recurrida por Tencent; revisión de CFIUS abierta en 2026 [16]. Pleito de Sony por el juego «Light of Motiram» (parecido a Horizon), cerrado con un acuerdo y la retirada del juego en diciembre de 2025 (prensa de videojuegos). En octubre de 2026, unos investigadores atribuyeron a agentes de IA alojados en Tencent Cloud 2.600 intentos de extraer datos de Amap (Alibaba); Tencent dijo que no venían de sus modelos Hy y que refuerza los controles; no consta actuación de un regulador.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capex previsto para 2026 y 2027 y cuándo tocará techo en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el 24 % en 2026e y el 20 % en 2027e; cada 2 puntos más resta valor y retrasa la caja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ingresan hoy WorkBuddy, CodeBuddy y la nube de IA, y cuál es su margen bruto?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solo da el resultado sin los nuevos productos (86.100 M); sin ingresos no se puede medir el retorno.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compromisos de compra de capacidad hay fuera del balance (arrendamiento vía Oracle) y cuánto queda por pagar de los anticipos de 91.203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inversión sale por el flujo operativo y el arrendamiento no pasa por el capex.</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volumen de recompras prevé con la acción en mínimos de 52 semanas y deuda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11,9 veces el BPA, recomprar rinde más que muchos usos de la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CFIUS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punto está la revisión sobre Epic, Riot y Supercell y qué medidas de mitigación ha ofrecido?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forzosa con descuento afectaría al 10 % de los ingresos.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Weixin y agentes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evoluciona el tiempo de uso de Weixin frente a Doubao y qué dicen las pruebas de Xiaowei?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puerta de entrada a internet es la base del foso.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Guba (Eastmoney), foro de 00700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Pesimismo de particulares chinos: «el modelo no tiene ventaja, la capacidad de cálculo es alquilada», la caída con un yuan que se aprecia y la competencia de ByteDance en microdramas (Hongguo); minoría que ve el Hang Seng Tech «a precio de saldo»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($TCEHY)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sueltos: compradores que la ven barata y que dicen que «China ganó la carrera de la IA», frente a quien teme dilución, flujo de caja negativo por la inversión y riesgo de tener acciones chinas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(TCEHY)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Autores mayoritariamente alcistas («AI spending is surging, but the stock appears too cheap», «Still a buy beyond the macro shadows»); noticias de bonos para IA y del arrendamiento de chips vía Oracle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Defiende que la caída es de múltiplo y no de fundamentales, y que el éxito de los agentes de Meta refuerza la tesis alcista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Retorno de la inversión en IA y caja libre negativa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caja: FCF del 2T26 de −13.800 M y BPA de consenso recortado un 2,8-6,6 % en 90 días; pero el negocio de siempre crece (resultado operativo no NIIF sin IA +19 %).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Tencent está 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las cifras: 11,9 veces nuestro BPA de 2027e frente a una mediana adelantada de 17,2 veces; pero el BPA −10 % y la regla v2 no pasan la compra.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ByteDance (Doubao, microdramas)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recogido en competencia y en el bajista; Video Accounts sigue ganando tiempo de uso (+20 %).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geopolítico (1260H, CFIUS, acciones chinas)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Recogido en la prima adicional del WACC y en riesgos; sin fecha de decisión de CFIUS.</w:t>
            </w:r>
          </w:p>
        </w:tc>
      </w:tr>
    </w:tbl>
    <w:p>
      <w:pPr>
        <w:spacing w:after="160" w:before="0"/>
      </w:pPr>
    </w:p>
    <w:p>
      <w:pPr>
        <w:spacing w:after="100"/>
      </w:pPr>
      <w:r>
        <w:t xml:space="preserve">El sentimiento está dividido y ha empeorado con la caída del 38 % desde el máximo: los particulares chinos son pesimistas (IA alquilada, competencia de ByteDance) y los autores occidentales ven una oportunidad de valoración. No hay euforia; si acaso, cansancio. Coincide con la revisión a la baja del BPA del consenso y no contradice a los analistas, que siguen en «comprar» con objetivos recortados. No aporta un riesgo que el informe no tenga: el debate es el retorno de la IA, que es la variable central de la tesis.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36 (14 primarias); citas distintas en el texto: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-9,4 % real: genera una variación de circulante de 4.812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11,5 %: para comprar o ampliar hace falta motivo de negocio propio; para mantener basta la vigente. Explicación: La v2 (historia al cierre) da Mantener con un 11,5 %: el PER al cierre de Tencent se mueve con BPA que crecen un 18-44 % al año (2023-2025), así que la historia al cierre sale más alta y la regla v2 toma el PER actual como base. No hay motivo de negocio propio que justifique comprar sin pasar v2: la acción robusta es Mantener.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segmentos del informe anual 2025: solo por línea de negocio; 2) informe intermedio 2026: igual; 3) comunicados: solo juegos internacionales (77.400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del informe anual: solo beneficio bruto por segmento; 2) informe intermedio: igual; 3) presentación del 2T26: margen bruto por segmento, sin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3T24, 4T24, 3T25 y 4T25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2024 y 2025: solo el BPA del 4T; 2) informe intermedio: 1T y 2T; 3) consenso previo trimestral: sin fuente gratuita archivada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36 y 37 del informe anual 2025: plazos y tipos, sin rating; 2) anuncios de los bonos de junio y octubre de 2026: sin rating en el texto; 3) búsqueda de Moody's/S&amp;P sin documento primario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previsto y CR5 del mercado de juegos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CADPA (vía China Daily y SCMP): solo años cerrados; 2) Niko Partners: previsión en USD sin desglose público; 3) cuotas de los cinco primeros: sin fuente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ESG (búsqueda de la ficha): requiere registro; 2) Sustainalytics: requiere registro; 3) informe ESG de Tencent: no publica la nota de las agencias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intermedio 2026: solo saldos de participación a 30-jun; 2) avisos de HKEX de la empresa: sin operaciones de consejeros, solo recompras; 3) registro de divulgación de intereses (SDI) de HKEX: no consultable sin navegador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 mayo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(anuncios de mayo de 2026): no listados en la página actual; 2) HKEXnews: búsqueda sin acceso directo; 3) prensa: solo el orden del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juntas de 2024 y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comparables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combinaciones de negocios de los informes anuales 2023-2025: compras pequeñas sin múltiplo; 2) operaciones del sector (Microsoft-Activision, compra de EA, Take-Two-Zynga): perímetros de juegos occidentales sin EBITDA comparable publicado en el documento oficial leído; 3) prensa: múltiplos con sinergias o sin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en gráfico; 2) Yahoo: solo la media («strong buy»); 3) ValueInvesting.io: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 publica ventas en corto diarias, no posición; 2) SFC (short position reporting): requiere descarga de archivo semanal no localizada; 3) Yahoo: sin dato para 0700.HK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Holdings Limited, Annual Report 2025 (cuentas consolidadas auditadas 2025 y 2024, notas, resumen financiero de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https://static.www.tencent.com/uploads/2026/04/09/62d786fcf3d3c8cb7e54791ee95439ac.pdf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 Holdings Limited, Annual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https://static.www.tencent.com/uploads/2025/04/08/1132b72b565389d1b913aea60a648d73.pdf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Limited, Annual Report 2023 (2022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https://static.www.tencent.com/uploads/2024/04/08/e95c902973fc282be3b3e285c6245281.pdf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Limited, Annual Report 2022 (cuentas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https://static.www.tencent.com/uploads/2023/04/06/214dce4c5312264800b20cfab64861ba.pdf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Limited, Interim Report 2026 (seis meses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https://www.tencent.com/wp-content/uploads/2026/08/E700_IR.pdf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Announces 2026 Second Quarter Results (comunicado con cuentas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https://www.tencent.com/wp-content/uploads/2026/08/Tencent-Announces-2026-Second-Quarter-Results.pdf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Second Quarter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https://static.www.tencent.com/website-2026-upload/2Q26-earnings-PPT_20260812_1800-88b183.pdf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Day Disclosure Return, 15-oct-2026 (acciones emitidas y recompras pendientes de amortizar)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https://www.tencent.com/wp-content/uploads/2026/10/e_Next-Day-Disclosure-Return_20261015.pdf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Monthly Return of Equity Issuer,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https://www.tencent.com/wp-content/uploads/2026/10/e_THL_monthly-return-September-2026.pdf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Pricing of US$1.8 Billion and CNY26 Billion Notes under the Global Medium Term Note Programme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https://www.tencent.com/wp-content/uploads/2026/10/E700_Pricing-Announcement.pdf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Prices its US$2.45 Billion and CNY15 Billion Notes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https://static.www.tencent.com/uploads/2026/06/10/cf0d756a74c7a3de33bf29592da39fc5.pdf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(CNY, HKD, USD), históricos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game market revenue tops 350 billion yuan in 2025 (CADPA)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https://regional.chinadaily.com.cn/Qiushi/2025-12/22/c_1149473.htm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video gaming revenue hits new high in 2024 (CADPA: 325.800 M RMB, +7,53 %)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South China Morning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https://www.scmp.com/tech/big-tech/article/3290626/chinas-video-gaming-revenue-hits-new-high-2024-back-blockbuster-releases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NetEase, Alibaba, Kuaishou y Baidu: ventas de los últimos 12 meses y margen operativo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https://finance.yahoo.com/quote/9999.HK/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Trump administration weighs forcing Tencent to sell stakes in Epic Games, Riot Games and Supercell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Tom's Hardware (sobre Financial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https://www.tomshardware.com/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China's Tencent taps Oracle for 100,000 AI chips in $7B lease deal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Financial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https://seekingalpha.com/symbol/TCEHY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ByteDance folds AI tools into Doubao super-app to fight Tencent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of Board Meeting (3T26: 18-nov-2026) y composición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https://www.tencent.com/wp-content/uploads/2026/09/E700_BM.pdf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annual general meeting held on 14 May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https://static.www.tencent.com/uploads/2025/05/14/0dce12a0fba41a029bde4ba9c6602595.pdf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Poll results of the annual general meeting held on 14 May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https://www1.hkexnews.hk/listedco/listconews/sehk/2024/0514/2024051401111.pdf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unveils 13 May 2026 AGM agenda: mandatos de emisión y recompra del 10 %, reelección de Koos Bekker e Ian Stone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https://www.itiger.com/news/1120737362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(0700.HK), 2800.HK y 3033.HK: históricos diarios hasta el 16-oct-2026 (precio, rango, volumen, rentabilidades, beta, volatilidad,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https://finance.yahoo.com/quote/0700.HK/history/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10Y Bond Yield: 1,66 %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https://tradingeconomics.com/china/government-bond-yield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Holdings: consenso (43 analistas, objetivo medio 560,64 CNY, 366,08-757,08) y estimaciones anuales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https://www.marketscreener.com/quote/stock/TENCENT-HOLDINGS-LIMITED-3045861/consensus/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0700.HK: earningsTrend y financialData (BPA no NIIF 2026e 28,89 y 2027e 30,50 RMB; 41 analistas, objetivo 655,19 HKD, 429,71-888,67)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https://finance.yahoo.com/quote/0700.HK/analysis/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capitalización, valor empresa, EBITDA, márgenes, caja, deuda, FCF y BPA estimados de 9988.HK, 9999.HK, 9888.HK, 1024.HK, PDD, META, GOOGL y NFLX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Guba (Eastmoney), foro de 00700 Tencent: ≈80 hilos del 4 al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https://guba.eastmoney.com/list,hk00700.html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$TCEHY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https://api.stocktwits.com/api/2/streams/symbol/TCEHY.json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TCEHY (ago-oct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https://seekingalpha.com/api/sa/combined/TCEHY.xml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«Tencent: AI Panic Hits Earnings Multiple, Not the Fundamentals» y «Shares Look Cheap…»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Alibaba, Tencent shed $66 billion after AI vision falls flat; Tencent revenue and profit miss on higher AI investment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https://www.reuters.com/technology/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stock falls 7% as gaming fears and an AI rotation hammer China 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Startup Fortune (con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https://startupfortune.com/tencent-stock-falls-7-as-gaming-fears-and-an-ai-rotation-hammer-china-tech/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agents linked to Tencent Cloud probed Alibaba's Amap, researchers say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eSecurity Planet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https://www.esecurityplanet.com/artificial-intelligence/news-tencent-ai-agents-alibaba-amap-security-china-apac/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Tencent sells US$1.5 bil Kuaishou stake as AI pivot quickens; Tencent in talks to acquire SuperPlay; Tencent eyes largest Manus stake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CTech / Financial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84,8 %</w:t>
      </w:r>
      <w:r>
        <w:t xml:space="preserve"> · Secciones con menos del 60 % de campos cubiertos: </w:t>
      </w:r>
      <w:r>
        <w:rPr>
          <w:b/>
          <w:bCs/>
        </w:rPr>
        <w:t xml:space="preserve">transacciones</w:t>
      </w:r>
      <w:r>
        <w:t xml:space="preserve"> · Generado el 19 oct 2026.</w:t>
      </w:r>
    </w:p>
    <w:p>
      <w:pPr>
        <w:pStyle w:val="Nota"/>
        <w:spacing w:after="100"/>
      </w:pPr>
      <w:r>
        <w:t xml:space="preserve">Cuentas en RMB (NIIF), ejercicio natural; la acción cotiza en HKD en Hong Kong (0700; hay una línea en RMB, 80700, y un ADR TCEHY en el mercado extrabursátil de EE. UU., no usados). Precio: cierre del viernes 16-oct-2026 (417,80 HKD): el lunes 19-oct, fecha de corte, la bolsa de Hong Kong estuvo cerrada por la fiesta de Chung Yeung, así que el precio es de la última sesión, una antes del corte [23]. Tipo de cambio 0,85194 RMB por HKD (BCE, 16-oct) [12]; los cierres anuales y el dividendo, al tipo del BCE de cada cierre. Los cierres anuales de Yahoo están ajustados por los repartos en especie de JD.com (2021) y Meituan (2022-23): de 2022 hacia atrás quedan un 5-8 % por debajo del cierre publicado, que es la base comparable para el PER de una Tencent sin esas participaciones. El EBITDA es el que publica Tencent (resultado operativo sin otras ganancias, más todas las amortizaciones, también la de contenidos y licencias de juegos), y el capex incluye por eso las compras de intangibles (contenidos) y de derechos de uso del suelo. La caja del balance es la «caja total» de la empresa (caja neta + deuda). Acciones: 9.133 M diluidas (emitidas a 15-oct menos recompras sin amortizar y acciones del plan de incentivos, más 128 M de efecto dilutivo del 2T26; estimación propia sobre datos oficiales) [5, 8]. Las participaciones (cotizadas a mercado y no cotizadas a valor contable, 875.100 M a 30-jun) entran en el puente con un 20 % de descuento [6]. BPA de la regla a 12 meses en base no NIIF diluida (la del consenso y la historia); 2018-2021 estimados (beneficio no NIIF ÷ acciones diluidas).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Tencent Holdings Limited (0700.HK)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355,94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(350,15 – 565,69)</c:v>
                </c:pt>
                <c:pt idx="1">
                  <c:v>Precio objetivo de los analistas (366,08 – 757,08)</c:v>
                </c:pt>
                <c:pt idx="2">
                  <c:v>Comparables: PER NTM (328,94 – 578,67)</c:v>
                </c:pt>
                <c:pt idx="3">
                  <c:v>DCF (WACC y g ± 0,5) (422,06 – 509,67)</c:v>
                </c:pt>
                <c:pt idx="4">
                  <c:v>Escenarios (bajista – alcista) (330,30 – 529,96)</c:v>
                </c:pt>
                <c:pt idx="5">
                  <c:v>DCF con la prima implícita del mercado (4,2 %)</c:v>
                </c:pt>
                <c:pt idx="6">
                  <c:v>Precio actual (355,94)</c:v>
                </c:pt>
              </c:strCache>
            </c:strRef>
          </c:cat>
          <c:val>
            <c:numRef>
              <c:f>Hoja1!$B$2:$B$8</c:f>
              <c:numCache>
                <c:formatCode>#,##0</c:formatCode>
                <c:ptCount val="7"/>
                <c:pt idx="0">
                  <c:v>350.15</c:v>
                </c:pt>
                <c:pt idx="1">
                  <c:v>366.08</c:v>
                </c:pt>
                <c:pt idx="2">
                  <c:v>328.94</c:v>
                </c:pt>
                <c:pt idx="3">
                  <c:v>422.06</c:v>
                </c:pt>
                <c:pt idx="4">
                  <c:v>330.3</c:v>
                </c:pt>
                <c:pt idx="5">
                  <c:v>512.02</c:v>
                </c:pt>
                <c:pt idx="6">
                  <c:v>354.16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(350,15 – 565,69)</c:v>
                </c:pt>
                <c:pt idx="1">
                  <c:v>Precio objetivo de los analistas (366,08 – 757,08)</c:v>
                </c:pt>
                <c:pt idx="2">
                  <c:v>Comparables: PER NTM (328,94 – 578,67)</c:v>
                </c:pt>
                <c:pt idx="3">
                  <c:v>DCF (WACC y g ± 0,5) (422,06 – 509,67)</c:v>
                </c:pt>
                <c:pt idx="4">
                  <c:v>Escenarios (bajista – alcista) (330,30 – 529,96)</c:v>
                </c:pt>
                <c:pt idx="5">
                  <c:v>DCF con la prima implícita del mercado (4,2 %)</c:v>
                </c:pt>
                <c:pt idx="6">
                  <c:v>Precio actual (355,94)</c:v>
                </c:pt>
              </c:strCache>
            </c:strRef>
          </c:cat>
          <c:val>
            <c:numRef>
              <c:f>Hoja1!$C$2:$C$8</c:f>
              <c:numCache>
                <c:formatCode>#,##0</c:formatCode>
                <c:ptCount val="7"/>
                <c:pt idx="0">
                  <c:v>215.54000000000008</c:v>
                </c:pt>
                <c:pt idx="1">
                  <c:v>391.00000000000006</c:v>
                </c:pt>
                <c:pt idx="2">
                  <c:v>249.72999999999996</c:v>
                </c:pt>
                <c:pt idx="3">
                  <c:v>87.61000000000001</c:v>
                </c:pt>
                <c:pt idx="4">
                  <c:v>199.66000000000003</c:v>
                </c:pt>
                <c:pt idx="5">
                  <c:v>78</c:v>
                </c:pt>
                <c:pt idx="6">
                  <c:v>3.5600000000000023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Servicios de valor añadido (juegos y redes sociales)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291572</c:v>
                </c:pt>
                <c:pt idx="1">
                  <c:v>287565</c:v>
                </c:pt>
                <c:pt idx="2">
                  <c:v>298375</c:v>
                </c:pt>
                <c:pt idx="3">
                  <c:v>319168</c:v>
                </c:pt>
                <c:pt idx="4">
                  <c:v>369281</c:v>
                </c:pt>
              </c:numCache>
            </c:numRef>
          </c:val>
        </c:ser>
        <c:ser>
          <c:idx val="1"/>
          <c:order val="1"/>
          <c:tx>
            <c:strRef>
              <c:f>Hoja1!$C$1</c:f>
              <c:strCache>
                <c:ptCount val="1"/>
                <c:pt idx="0">
                  <c:v>Servicios de marketing (publicidad)</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88666</c:v>
                </c:pt>
                <c:pt idx="1">
                  <c:v>82729</c:v>
                </c:pt>
                <c:pt idx="2">
                  <c:v>101482</c:v>
                </c:pt>
                <c:pt idx="3">
                  <c:v>121374</c:v>
                </c:pt>
                <c:pt idx="4">
                  <c:v>144973</c:v>
                </c:pt>
              </c:numCache>
            </c:numRef>
          </c:val>
        </c:ser>
        <c:ser>
          <c:idx val="2"/>
          <c:order val="2"/>
          <c:tx>
            <c:strRef>
              <c:f>Hoja1!$D$1</c:f>
              <c:strCache>
                <c:ptCount val="1"/>
                <c:pt idx="0">
                  <c:v>Fintech y servicios empresariales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172195</c:v>
                </c:pt>
                <c:pt idx="1">
                  <c:v>177064</c:v>
                </c:pt>
                <c:pt idx="2">
                  <c:v>203763</c:v>
                </c:pt>
                <c:pt idx="3">
                  <c:v>211956</c:v>
                </c:pt>
                <c:pt idx="4">
                  <c:v>229435</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7685</c:v>
                </c:pt>
                <c:pt idx="1">
                  <c:v>7194</c:v>
                </c:pt>
                <c:pt idx="2">
                  <c:v>5395</c:v>
                </c:pt>
                <c:pt idx="3">
                  <c:v>7759</c:v>
                </c:pt>
                <c:pt idx="4">
                  <c:v>8077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Servicios de valor añadido (juegos y redes sociales)</c:v>
                </c:pt>
                <c:pt idx="1">
                  <c:v>Servicios de marketing (publicidad)</c:v>
                </c:pt>
                <c:pt idx="2">
                  <c:v>Fintech y servicios empresariales</c:v>
                </c:pt>
                <c:pt idx="3">
                  <c:v>Otros</c:v>
                </c:pt>
              </c:strCache>
            </c:strRef>
          </c:cat>
          <c:val>
            <c:numRef>
              <c:f>Hoja1!$B$2:$B$5</c:f>
              <c:numCache>
                <c:formatCode>General</c:formatCode>
                <c:ptCount val="4"/>
                <c:pt idx="0">
                  <c:v>49.1</c:v>
                </c:pt>
                <c:pt idx="1">
                  <c:v>19.3</c:v>
                </c:pt>
                <c:pt idx="2">
                  <c:v>30.5</c:v>
                </c:pt>
                <c:pt idx="3">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Ingresos por ubicación del cliente en 2025: China continental 662.119 M y resto 89.647 M (nota 6 de las cuentas) [1].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China continental</c:v>
                </c:pt>
                <c:pt idx="1">
                  <c:v>Resto del mundo</c:v>
                </c:pt>
              </c:strCache>
            </c:strRef>
          </c:cat>
          <c:val>
            <c:numRef>
              <c:f>Hoja1!$B$2:$B$3</c:f>
              <c:numCache>
                <c:formatCode>0"%"</c:formatCode>
                <c:ptCount val="2"/>
                <c:pt idx="0">
                  <c:v>88.1</c:v>
                </c:pt>
                <c:pt idx="1">
                  <c:v>11.9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RMB)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c:formatCode>
                <c:ptCount val="4"/>
                <c:pt idx="0">
                  <c:v>265900</c:v>
                </c:pt>
                <c:pt idx="1">
                  <c:v>303000</c:v>
                </c:pt>
                <c:pt idx="2">
                  <c:v>325800</c:v>
                </c:pt>
                <c:pt idx="3">
                  <c:v>350790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Tencent</c:v>
                </c:pt>
                <c:pt idx="1">
                  <c:v>ByteDance (Douyin, Doubao)</c:v>
                </c:pt>
                <c:pt idx="2">
                  <c:v>NetEase</c:v>
                </c:pt>
                <c:pt idx="3">
                  <c:v>Alibaba</c:v>
                </c:pt>
                <c:pt idx="4">
                  <c:v>Kuaishou</c:v>
                </c:pt>
                <c:pt idx="5">
                  <c:v>Baidu</c:v>
                </c:pt>
                <c:pt idx="6">
                  <c:v>Ant Group (Alipay)</c:v>
                </c:pt>
              </c:strCache>
            </c:strRef>
          </c:cat>
          <c:val>
            <c:numRef>
              <c:f>Hoja1!$B$2:$B$8</c:f>
              <c:numCache>
                <c:formatCode>0.0"%"</c:formatCode>
                <c:ptCount val="7"/>
                <c:pt idx="0">
                  <c:v>32.6</c:v>
                </c:pt>
                <c:pt idx="2">
                  <c:v>40.2</c:v>
                </c:pt>
                <c:pt idx="3">
                  <c:v>7.3</c:v>
                </c:pt>
                <c:pt idx="4">
                  <c:v>10.5</c:v>
                </c:pt>
                <c:pt idx="5">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560118</c:v>
                </c:pt>
                <c:pt idx="1">
                  <c:v>554552</c:v>
                </c:pt>
                <c:pt idx="2">
                  <c:v>609015</c:v>
                </c:pt>
                <c:pt idx="3">
                  <c:v>660257</c:v>
                </c:pt>
                <c:pt idx="4">
                  <c:v>751766</c:v>
                </c:pt>
                <c:pt idx="5">
                  <c:v>823184</c:v>
                </c:pt>
                <c:pt idx="6">
                  <c:v>897270</c:v>
                </c:pt>
                <c:pt idx="7">
                  <c:v>973538</c:v>
                </c:pt>
                <c:pt idx="8">
                  <c:v>1046554</c:v>
                </c:pt>
                <c:pt idx="9">
                  <c:v>1114580</c:v>
                </c:pt>
                <c:pt idx="10">
                  <c:v>1175882</c:v>
                </c:pt>
                <c:pt idx="11">
                  <c:v>1222917</c:v>
                </c:pt>
                <c:pt idx="12">
                  <c:v>1259604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173173</c:v>
                </c:pt>
                <c:pt idx="1">
                  <c:v>164037</c:v>
                </c:pt>
                <c:pt idx="2">
                  <c:v>214381</c:v>
                </c:pt>
                <c:pt idx="3">
                  <c:v>256310</c:v>
                </c:pt>
                <c:pt idx="4">
                  <c:v>310767</c:v>
                </c:pt>
                <c:pt idx="5">
                  <c:v>333389</c:v>
                </c:pt>
                <c:pt idx="6">
                  <c:v>363394</c:v>
                </c:pt>
                <c:pt idx="7">
                  <c:v>404018</c:v>
                </c:pt>
                <c:pt idx="8">
                  <c:v>439553</c:v>
                </c:pt>
                <c:pt idx="9">
                  <c:v>473696</c:v>
                </c:pt>
                <c:pt idx="10">
                  <c:v>499750</c:v>
                </c:pt>
                <c:pt idx="11">
                  <c:v>519740</c:v>
                </c:pt>
                <c:pt idx="12">
                  <c:v>535332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43.9</c:v>
                </c:pt>
                <c:pt idx="1">
                  <c:v>43.1</c:v>
                </c:pt>
                <c:pt idx="2">
                  <c:v>48.1</c:v>
                </c:pt>
                <c:pt idx="3">
                  <c:v>52.9</c:v>
                </c:pt>
                <c:pt idx="4">
                  <c:v>56.2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30.9</c:v>
                </c:pt>
                <c:pt idx="1">
                  <c:v>29.6</c:v>
                </c:pt>
                <c:pt idx="2">
                  <c:v>35.2</c:v>
                </c:pt>
                <c:pt idx="3">
                  <c:v>38.8</c:v>
                </c:pt>
                <c:pt idx="4">
                  <c:v>41.3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20.6</c:v>
                </c:pt>
                <c:pt idx="1">
                  <c:v>18.5</c:v>
                </c:pt>
                <c:pt idx="2">
                  <c:v>25.5</c:v>
                </c:pt>
                <c:pt idx="3">
                  <c:v>30.3</c:v>
                </c:pt>
                <c:pt idx="4">
                  <c:v>32.6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40.1</c:v>
                </c:pt>
                <c:pt idx="1">
                  <c:v>33.9</c:v>
                </c:pt>
                <c:pt idx="2">
                  <c:v>18.9</c:v>
                </c:pt>
                <c:pt idx="3">
                  <c:v>29.4</c:v>
                </c:pt>
                <c:pt idx="4">
                  <c:v>29.9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8</c:v>
                </c:pt>
                <c:pt idx="1">
                  <c:v>11</c:v>
                </c:pt>
                <c:pt idx="2">
                  <c:v>13</c:v>
                </c:pt>
                <c:pt idx="3">
                  <c:v>15</c:v>
                </c:pt>
                <c:pt idx="4">
                  <c:v>15.4</c:v>
                </c:pt>
                <c:pt idx="5">
                  <c:v>12.7</c:v>
                </c:pt>
                <c:pt idx="6">
                  <c:v>9.1</c:v>
                </c:pt>
                <c:pt idx="7">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c:v>
                </c:pt>
                <c:pt idx="1">
                  <c:v>30</c:v>
                </c:pt>
                <c:pt idx="2">
                  <c:v>28</c:v>
                </c:pt>
                <c:pt idx="3">
                  <c:v>27</c:v>
                </c:pt>
                <c:pt idx="4">
                  <c:v>24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c:v>
                </c:pt>
                <c:pt idx="1">
                  <c:v>3</c:v>
                </c:pt>
                <c:pt idx="2">
                  <c:v>1</c:v>
                </c:pt>
                <c:pt idx="3">
                  <c:v>1</c:v>
                </c:pt>
                <c:pt idx="4">
                  <c:v>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107</c:v>
                </c:pt>
                <c:pt idx="2">
                  <c:v>117</c:v>
                </c:pt>
                <c:pt idx="3">
                  <c:v>139</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101073</c:v>
                </c:pt>
                <c:pt idx="1">
                  <c:v>79930</c:v>
                </c:pt>
                <c:pt idx="2">
                  <c:v>156425</c:v>
                </c:pt>
                <c:pt idx="3">
                  <c:v>143687</c:v>
                </c:pt>
                <c:pt idx="4">
                  <c:v>170214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224822</c:v>
                </c:pt>
                <c:pt idx="1">
                  <c:v>188243</c:v>
                </c:pt>
                <c:pt idx="2">
                  <c:v>115216</c:v>
                </c:pt>
                <c:pt idx="3">
                  <c:v>194073</c:v>
                </c:pt>
                <c:pt idx="4">
                  <c:v>224842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11.5</c:v>
                </c:pt>
                <c:pt idx="1">
                  <c:v>10.6</c:v>
                </c:pt>
                <c:pt idx="2">
                  <c:v>13.7</c:v>
                </c:pt>
                <c:pt idx="3">
                  <c:v>17.7</c:v>
                </c:pt>
                <c:pt idx="4">
                  <c:v>18.9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c:v>
                </c:pt>
                <c:pt idx="1">
                  <c:v>9</c:v>
                </c:pt>
                <c:pt idx="2">
                  <c:v>9</c:v>
                </c:pt>
                <c:pt idx="3">
                  <c:v>9</c:v>
                </c:pt>
                <c:pt idx="4">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27.9</c:v>
                </c:pt>
                <c:pt idx="1">
                  <c:v>24.6</c:v>
                </c:pt>
                <c:pt idx="2">
                  <c:v>15.1</c:v>
                </c:pt>
                <c:pt idx="3">
                  <c:v>21.8</c:v>
                </c:pt>
                <c:pt idx="4">
                  <c:v>21.1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0.24</c:v>
                </c:pt>
                <c:pt idx="1">
                  <c:v>0.24</c:v>
                </c:pt>
                <c:pt idx="2">
                  <c:v>-0.15</c:v>
                </c:pt>
                <c:pt idx="3">
                  <c:v>-0.22</c:v>
                </c:pt>
                <c:pt idx="4">
                  <c:v>-0.28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53160</c:v>
                </c:pt>
                <c:pt idx="1">
                  <c:v>19671</c:v>
                </c:pt>
                <c:pt idx="2">
                  <c:v>243651</c:v>
                </c:pt>
                <c:pt idx="3">
                  <c:v>71251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21944</c:v>
                </c:pt>
                <c:pt idx="1">
                  <c:v>12267</c:v>
                </c:pt>
                <c:pt idx="2">
                  <c:v>7633</c:v>
                </c:pt>
                <c:pt idx="3">
                  <c:v>7847</c:v>
                </c:pt>
                <c:pt idx="4">
                  <c:v>11541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12503</c:v>
                </c:pt>
                <c:pt idx="1">
                  <c:v>12952</c:v>
                </c:pt>
                <c:pt idx="2">
                  <c:v>20983</c:v>
                </c:pt>
                <c:pt idx="3">
                  <c:v>28859</c:v>
                </c:pt>
                <c:pt idx="4">
                  <c:v>37535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2170</c:v>
                </c:pt>
                <c:pt idx="1">
                  <c:v>29307</c:v>
                </c:pt>
                <c:pt idx="2">
                  <c:v>43767</c:v>
                </c:pt>
                <c:pt idx="3">
                  <c:v>102331</c:v>
                </c:pt>
                <c:pt idx="4">
                  <c:v>73312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1</c:v>
                </c:pt>
                <c:pt idx="1">
                  <c:v>2</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Prosus / Naspers (MIH Internet Holdings B.V.)</c:v>
                </c:pt>
                <c:pt idx="1">
                  <c:v>Ma Huateng (Advance Data Services, incl. Ma Huateng Global Foundation)</c:v>
                </c:pt>
                <c:pt idx="2">
                  <c:v>Acciones del plan de incentivos (fideicomiso)</c:v>
                </c:pt>
              </c:strCache>
            </c:strRef>
          </c:cat>
          <c:val>
            <c:numRef>
              <c:f>Hoja1!$B$2:$B$4</c:f>
              <c:numCache>
                <c:formatCode>0.0"%"</c:formatCode>
                <c:ptCount val="3"/>
                <c:pt idx="0">
                  <c:v>22.6</c:v>
                </c:pt>
                <c:pt idx="1">
                  <c:v>8.85</c:v>
                </c:pt>
                <c:pt idx="2">
                  <c:v>0.93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24.8</c:v>
                </c:pt>
                <c:pt idx="1">
                  <c:v>114.6</c:v>
                </c:pt>
                <c:pt idx="2">
                  <c:v>-22.5</c:v>
                </c:pt>
                <c:pt idx="3">
                  <c:v>20</c:v>
                </c:pt>
                <c:pt idx="4">
                  <c:v>51.1</c:v>
                </c:pt>
                <c:pt idx="5">
                  <c:v>-19.1</c:v>
                </c:pt>
                <c:pt idx="6">
                  <c:v>-24.3</c:v>
                </c:pt>
                <c:pt idx="7">
                  <c:v>-6.8</c:v>
                </c:pt>
                <c:pt idx="8">
                  <c:v>44.2</c:v>
                </c:pt>
                <c:pt idx="9">
                  <c:v>43.9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3.4</c:v>
                </c:pt>
                <c:pt idx="1">
                  <c:v>40.5</c:v>
                </c:pt>
                <c:pt idx="2">
                  <c:v>-10.1</c:v>
                </c:pt>
                <c:pt idx="3">
                  <c:v>13.4</c:v>
                </c:pt>
                <c:pt idx="4">
                  <c:v>-1</c:v>
                </c:pt>
                <c:pt idx="5">
                  <c:v>-12.1</c:v>
                </c:pt>
                <c:pt idx="6">
                  <c:v>-11.9</c:v>
                </c:pt>
                <c:pt idx="7">
                  <c:v>-10.6</c:v>
                </c:pt>
                <c:pt idx="8">
                  <c:v>22.3</c:v>
                </c:pt>
                <c:pt idx="9">
                  <c:v>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19.9</c:v>
                </c:pt>
                <c:pt idx="1">
                  <c:v>17.2</c:v>
                </c:pt>
                <c:pt idx="2">
                  <c:v>12.1</c:v>
                </c:pt>
                <c:pt idx="3">
                  <c:v>14.6</c:v>
                </c:pt>
                <c:pt idx="4">
                  <c:v>16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c:v>
                </c:pt>
                <c:pt idx="1">
                  <c:v>16</c:v>
                </c:pt>
                <c:pt idx="2">
                  <c:v>16</c:v>
                </c:pt>
                <c:pt idx="3">
                  <c:v>16</c:v>
                </c:pt>
                <c:pt idx="4">
                  <c:v>16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Tencent</c:v>
                </c:pt>
                <c:pt idx="1">
                  <c:v>Alibaba</c:v>
                </c:pt>
                <c:pt idx="2">
                  <c:v>NetEase</c:v>
                </c:pt>
                <c:pt idx="3">
                  <c:v>Baidu</c:v>
                </c:pt>
                <c:pt idx="4">
                  <c:v>Kuaishou</c:v>
                </c:pt>
                <c:pt idx="5">
                  <c:v>PDD Holdings</c:v>
                </c:pt>
                <c:pt idx="6">
                  <c:v>Meta Platforms</c:v>
                </c:pt>
                <c:pt idx="7">
                  <c:v>Alphabet</c:v>
                </c:pt>
                <c:pt idx="8">
                  <c:v>Netflix</c:v>
                </c:pt>
              </c:strCache>
            </c:strRef>
          </c:cat>
          <c:val>
            <c:numRef>
              <c:f>Hoja1!$B$2:$B$10</c:f>
              <c:numCache>
                <c:formatCode>0.0"x"</c:formatCode>
                <c:ptCount val="9"/>
                <c:pt idx="0">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85228</c:v>
                </c:pt>
                <c:pt idx="1">
                  <c:v>143837</c:v>
                </c:pt>
                <c:pt idx="2">
                  <c:v>205287</c:v>
                </c:pt>
                <c:pt idx="3">
                  <c:v>250421</c:v>
                </c:pt>
                <c:pt idx="4">
                  <c:v>280632</c:v>
                </c:pt>
                <c:pt idx="5">
                  <c:v>300050</c:v>
                </c:pt>
                <c:pt idx="6">
                  <c:v>315729</c:v>
                </c:pt>
                <c:pt idx="7">
                  <c:v>323126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1308217</c:v>
                </c:pt>
                <c:pt idx="1">
                  <c:v>2243652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355,94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330.3</c:v>
                </c:pt>
                <c:pt idx="1">
                  <c:v>460.38</c:v>
                </c:pt>
                <c:pt idx="2">
                  <c:v>529.96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355,94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(350,15 – 565,69)</c:v>
                </c:pt>
                <c:pt idx="1">
                  <c:v>Precio objetivo de los analistas (366,08 – 757,08)</c:v>
                </c:pt>
                <c:pt idx="2">
                  <c:v>Comparables: PER NTM (328,94 – 578,67)</c:v>
                </c:pt>
                <c:pt idx="3">
                  <c:v>DCF (WACC y g ± 0,5) (422,06 – 509,67)</c:v>
                </c:pt>
                <c:pt idx="4">
                  <c:v>Escenarios (bajista – alcista) (330,30 – 529,96)</c:v>
                </c:pt>
                <c:pt idx="5">
                  <c:v>DCF con la prima implícita del mercado (4,2 %)</c:v>
                </c:pt>
                <c:pt idx="6">
                  <c:v>Precio actual (355,94)</c:v>
                </c:pt>
              </c:strCache>
            </c:strRef>
          </c:cat>
          <c:val>
            <c:numRef>
              <c:f>Hoja1!$B$2:$B$8</c:f>
              <c:numCache>
                <c:formatCode>#,##0</c:formatCode>
                <c:ptCount val="7"/>
                <c:pt idx="0">
                  <c:v>350.15</c:v>
                </c:pt>
                <c:pt idx="1">
                  <c:v>366.08</c:v>
                </c:pt>
                <c:pt idx="2">
                  <c:v>328.94</c:v>
                </c:pt>
                <c:pt idx="3">
                  <c:v>422.06</c:v>
                </c:pt>
                <c:pt idx="4">
                  <c:v>330.3</c:v>
                </c:pt>
                <c:pt idx="5">
                  <c:v>512.02</c:v>
                </c:pt>
                <c:pt idx="6">
                  <c:v>354.16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(350,15 – 565,69)</c:v>
                </c:pt>
                <c:pt idx="1">
                  <c:v>Precio objetivo de los analistas (366,08 – 757,08)</c:v>
                </c:pt>
                <c:pt idx="2">
                  <c:v>Comparables: PER NTM (328,94 – 578,67)</c:v>
                </c:pt>
                <c:pt idx="3">
                  <c:v>DCF (WACC y g ± 0,5) (422,06 – 509,67)</c:v>
                </c:pt>
                <c:pt idx="4">
                  <c:v>Escenarios (bajista – alcista) (330,30 – 529,96)</c:v>
                </c:pt>
                <c:pt idx="5">
                  <c:v>DCF con la prima implícita del mercado (4,2 %)</c:v>
                </c:pt>
                <c:pt idx="6">
                  <c:v>Precio actual (355,94)</c:v>
                </c:pt>
              </c:strCache>
            </c:strRef>
          </c:cat>
          <c:val>
            <c:numRef>
              <c:f>Hoja1!$C$2:$C$8</c:f>
              <c:numCache>
                <c:formatCode>#,##0</c:formatCode>
                <c:ptCount val="7"/>
                <c:pt idx="0">
                  <c:v>215.54000000000008</c:v>
                </c:pt>
                <c:pt idx="1">
                  <c:v>391.00000000000006</c:v>
                </c:pt>
                <c:pt idx="2">
                  <c:v>249.72999999999996</c:v>
                </c:pt>
                <c:pt idx="3">
                  <c:v>87.61000000000001</c:v>
                </c:pt>
                <c:pt idx="4">
                  <c:v>199.66000000000003</c:v>
                </c:pt>
                <c:pt idx="5">
                  <c:v>78</c:v>
                </c:pt>
                <c:pt idx="6">
                  <c:v>3.5600000000000023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