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MSA Safety Incorporated</w:t>
      </w:r>
    </w:p>
    <w:p>
      <w:pPr>
        <w:spacing w:after="60"/>
        <w:rPr>
          <w:color w:val="52514E"/>
          <w:sz w:val="22"/>
          <w:szCs w:val="22"/>
        </w:rPr>
      </w:pPr>
      <w:r>
        <w:rPr>
          <w:color w:val="52514E"/>
          <w:sz w:val="22"/>
          <w:szCs w:val="22"/>
        </w:rPr>
        <w:t xml:space="preserve">MSA · NYSE · ISIN US5534981064 · Industrials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181,57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219,63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+22,1 % (base +21,9 %)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141,21 USD · mercado 158,78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7.023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MSA Safety Incorporated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MSA / US5534981064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MidCap 400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Industrials / Commercial Services &amp; Supplies (Office Services &amp; Supplies, GICS)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Cranberry Township (Pensilvania) · 1914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www.msasafety.com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181,57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151,11 – 208,92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7.978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47,9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219,63 USD</w:t>
      </w:r>
      <w:r>
        <w:t xml:space="preserve"> frente a 181,57 · Rentabilidad a 12 meses </w:t>
      </w:r>
      <w:r>
        <w:rPr>
          <w:b/>
          <w:bCs/>
        </w:rPr>
        <w:t xml:space="preserve">+22,1 % (base +21,9 %)</w:t>
      </w:r>
      <w:r>
        <w:t xml:space="preserve"> · Valor intrínseco 141,21 USD · con la prima implícita del mercado: 158,78 (-12,6 %) · Alcista / bajista -25,9 % / -52,2 %</w:t>
      </w:r>
    </w:p>
    <w:p>
      <w:pPr>
        <w:spacing w:after="100"/>
      </w:pPr>
      <w:r>
        <w:rPr>
          <w:b/>
        </w:rPr>
        <w:t xml:space="preserve">La recomendación y por qué.</w:t>
      </w:r>
      <w:r>
        <w:t xml:space="preserve"> Mantener con convicción media, pero fuera de cartera: no se compra. La regla a 12 meses (v3, sin marcas del selector) da un objetivo de 219,63 USD, con una rentabilidad ponderada del 22,2 % y del 21,9 % en el base (dividendo incluido), y una asimetría de 3,4; el objetivo medio de los analistas (209,14) queda dentro de nuestro rango. Pero el valor intrínseco (141,21 USD) queda un 22,2 % por debajo del precio de 181,57, y la regla exige ambas cosas. La convicción es media porque las dos reglas de valor (con nuestro WACC y con la prima del mercado) coinciden y el resultado está lejos de los umbrales; bajaría si el 3T26 (27-oct) confirma que bomberos sigue en negativo tras AFG y subiría si la acción cae por debajo de 141 USD sin que cambie el negocio. Robustez sólida: no mantener por encima de 166,13 USD.</w:t>
      </w:r>
    </w:p>
    <w:p>
      <w:pPr>
        <w:spacing w:after="100"/>
      </w:pPr>
      <w:r>
        <w:rPr>
          <w:b/>
        </w:rPr>
        <w:t xml:space="preserve">El negocio.</w:t>
      </w:r>
      <w:r>
        <w:t xml:space="preserve"> MSA es el líder de EE. UU. en equipos de respiración autónoma y cascos de bomberos y uno de los tres grandes del mundo en detección de gas, con un margen EBITDA ajustado del 26,1 % en el 1S26 [3]. Crea valor: ROIC del 17,3 % frente a un WACC del 9,49 % (7,8 puntos; 29,5 % sin fondo de comercio). Su foso son los costes de cambio de las flotas de bomberos, las certificaciones y la marca. </w:t>
      </w:r>
      <w:r>
        <w:rPr>
          <w:b/>
        </w:rPr>
        <w:t xml:space="preserve">Veredicto de calidad: sí.</w:t>
      </w:r>
      <w:r>
        <w:t xml:space="preserve"> </w:t>
      </w:r>
      <w:r>
        <w:rPr>
          <w:b/>
        </w:rPr>
        <w:t xml:space="preserve">Sostenibilidad del crecimiento: sí</w:t>
      </w:r>
      <w:r>
        <w:t xml:space="preserve">: el 6,0 % medio proyectado incluye Autronica, ya pagada; el orgánico (≈4,5 %) es el histórico y no pide más rendimiento al capital que el que ha logrado (23 %).</w:t>
      </w:r>
    </w:p>
    <w:p>
      <w:pPr>
        <w:spacing w:after="100"/>
      </w:pPr>
      <w:r>
        <w:rPr>
          <w:b/>
        </w:rPr>
        <w:t xml:space="preserve">Finanzas.</w:t>
      </w:r>
      <w:r>
        <w:t xml:space="preserve"> Ventas de 1.946 M y BPA publicado de 8,04 USD en los últimos 12 meses, con 254,6 M de flujo libre [3]. La deuda neta sube a ≈955 M con Autronica (≈1,8 veces el EBITDA) [3]. El pasivo de la minería salió del balance en 2023 con MSA LLC y 341 M de caja; queda el riesgo de que vuelva si el comprador falla, y 21.372 reclamaciones por PFAS contra Globe sin provisión [1, 2].</w:t>
      </w:r>
    </w:p>
    <w:p>
      <w:pPr>
        <w:spacing w:after="100"/>
      </w:pPr>
      <w:r>
        <w:rPr>
          <w:b/>
        </w:rPr>
        <w:t xml:space="preserve">Equipo y gobierno.</w:t>
      </w:r>
      <w:r>
        <w:t xml:space="preserve"> Correcto: presidente independiente desde mayo de 2026 y sin accionista de control [20, 23]. Restan el consejo escalonado, un variable a largo plazo sin ROIC con una dirección compradora (744 M en 14 meses) y las ventas del ex consejero delegado (3,9 M en agosto) [20, 21].</w:t>
      </w:r>
    </w:p>
    <w:p>
      <w:pPr>
        <w:spacing w:after="100"/>
      </w:pPr>
      <w:r>
        <w:rPr>
          <w:b/>
        </w:rPr>
        <w:t xml:space="preserve">Valoración.</w:t>
      </w:r>
      <w:r>
        <w:t xml:space="preserve"> El DCF da 119,95 USD y, con la prima implícita del mercado, 145,58. El precio descuenta que las ventas crezcan un 16,6 % al año en 2027-2032, frente al 5,2 % que proyectamos, o un margen EBITDA del 35 %: una rentabilidad implícita del 7,4 % anual, por debajo del WACC. Los comparables dan 195,46 USD (PER de 20 veces). Nuestro BPA coincide con el consenso en base comparable; la diferencia con el mercado es de múltiplo: paga 19,6 veces nuestro beneficio de 2027 a una empresa que crece un 5 % con el bono al 5,2 %.</w:t>
      </w:r>
    </w:p>
    <w:p>
      <w:pPr>
        <w:spacing w:after="100"/>
      </w:pPr>
      <w:r>
        <w:rPr>
          <w:b/>
        </w:rPr>
        <w:t xml:space="preserve">Riesgos y catalizadores.</w:t>
      </w:r>
      <w:r>
        <w:t xml:space="preserve"> Los mayores: compresión del PER hacia 17 veces (−17 % en el bajista a 12 meses), un acuerdo por PFAS (−3 % a −10 %) y el retraso de AFG (−5 % a −8 %). El riesgo de IA es bajo y, si acaso, una oportunidad en software y servicio (+2-3 %). Catalizadores: 3T26 el 27-oct, guía de 2027 en febrero y la renovación de SCBA por la nueva norma NFPA desde 2027.</w:t>
      </w:r>
    </w:p>
    <w:p>
      <w:pPr>
        <w:spacing w:after="100"/>
      </w:pPr>
      <w:r>
        <w:rPr>
          <w:b/>
        </w:rPr>
        <w:t xml:space="preserve">Qué cambiaría la decisión.</w:t>
      </w:r>
      <w:r>
        <w:t xml:space="preserve"> Comprar por debajo de 141,21 USD (161,80 EUR por acción hoy, con el euro a 1,1222). Vender por encima de 246,41. Pasaríamos a valorar una compra si el orgánico de 2027 se guía por encima del 6 % o si el bono baja con fuerza: con un WACC del 8,5 % el DCF sube a 144,09 USD, todavía por debajo del precio.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219,63 USD</w:t>
      </w:r>
      <w:r>
        <w:t xml:space="preserve"> (rentabilidad +22,1 % (base +21,9 %)) · Valor intrínseco: 141,21 USD (-22,2 % sobre 181,57) · con la prima implícita del mercado: 158,78 (-12,6 %)</w:t>
      </w:r>
    </w:p>
    <w:p>
      <w:pPr>
        <w:spacing w:after="100"/>
      </w:pPr>
      <w:r>
        <w:t xml:space="preserve">MSA Safety fabrica equipos de seguridad que la ley obliga a usar: respiración autónoma y cascos para bomberos, detectores de gas fijos y portátiles y cascos industriales. Es el líder de EE. UU. en bomberos, gana un margen EBITDA ajustado del 26 % y un ROIC del 17,3 %, y ha subido el dividendo 56 años seguidos [3]. En 2023 se quitó el pasivo de la minería y en 2025-2026 compró M&amp;C y Autronica para crecer en detección [1, 11].</w:t>
      </w:r>
    </w:p>
    <w:p>
      <w:pPr>
        <w:spacing w:after="100"/>
      </w:pPr>
      <w:r>
        <w:t xml:space="preserve">El precio de 181,57 USD descuenta mucho: 19,6 veces nuestro beneficio de 2027 y 16,5 veces el EBITDA de los últimos 12 meses; el DCF inverso pide un crecimiento del 16,6 % anual o un margen del 35 %, y con nuestras cifras ofrece un 7,4 % anual, menos que su coste del capital (9,49 %).</w:t>
      </w:r>
    </w:p>
    <w:p>
      <w:pPr>
        <w:spacing w:after="100"/>
      </w:pPr>
      <w:r>
        <w:t xml:space="preserve">El mercado acierta en la calidad y probablemente exagera en el precio. Para comprar hoy hay que creer que el PER volverá hacia 23 veces (su mediana de cinco años) y que los tipos bajarán; la regla a 12 meses da un 22 %, pero sin margen de seguridad en el valor. Es una empresa para tener en la lista y comprar por debajo de 141 USD.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 × 8,72 = 149,11 · 21,4x × 10,24 = 219,14 · 26,3x × 11,07 = 291,14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 / 21,9 %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209,14 (nuestro base +4,8 %)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141,21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 / -52,2 %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 frente a 9,5 %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158,78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 frente a 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141,21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141,21 y 246,41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246,41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Por debajo de 141,21 USD la regla da Comprar (rentabilidad a 12 meses y valor intrínseco por encima del precio).</w:t>
      </w:r>
    </w:p>
    <w:p>
      <w:pPr>
        <w:pStyle w:val="ListParagraph"/>
        <w:numPr>
          <w:ilvl w:val="0"/>
          <w:numId w:val="2"/>
        </w:numPr>
        <w:spacing w:after="60"/>
      </w:pPr>
      <w:r>
        <w:t xml:space="preserve">Por encima de 246,41 USD la regla da Vender.</w:t>
      </w:r>
    </w:p>
    <w:p>
      <w:pPr>
        <w:pStyle w:val="ListParagraph"/>
        <w:numPr>
          <w:ilvl w:val="0"/>
          <w:numId w:val="2"/>
        </w:numPr>
        <w:spacing w:after="60"/>
      </w:pPr>
      <w:r>
        <w:t xml:space="preserve">Si el bono a 10 años baja del 4,25 % (WACC ≈8,5 %), el DCF subiría a 144,09 USD y el límite de compra a ≈157 USD (estimación propia).</w:t>
      </w:r>
    </w:p>
    <w:p>
      <w:pPr>
        <w:pStyle w:val="ListParagraph"/>
        <w:numPr>
          <w:ilvl w:val="0"/>
          <w:numId w:val="2"/>
        </w:numPr>
        <w:spacing w:after="60"/>
      </w:pPr>
      <w:r>
        <w:t xml:space="preserve">Si Globe dota una provisión por PFAS de más de 200 M o MSA LLC entra en insolvencia, rebajaríamos el valor y el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MSA es un compuesto de calidad escaso, defensivo y con dividendo creciente que merece 18-20 veces el beneficio ajustado aunque crezca a un dígito medio, y que las compras de detección acelerarán el crecimiento.</w:t>
      </w:r>
    </w:p>
    <w:p>
      <w:pPr>
        <w:keepNext/>
        <w:spacing w:after="100"/>
      </w:pPr>
      <w:r>
        <w:rPr>
          <w:b/>
          <w:bCs/>
        </w:rPr>
        <w:t xml:space="preserve">Lo que creemos nosotros.</w:t>
      </w:r>
    </w:p>
    <w:p>
      <w:pPr>
        <w:spacing w:after="100"/>
      </w:pPr>
      <w:r>
        <w:t xml:space="preserve">Compartimos las cifras (nuestro BPA coincide con el consenso en base comparable), pero no el precio: con un bono al 5,2 %, un negocio que crece al 5 % y convierte el 95 % del beneficio en caja vale unas 15-16 veces el beneficio, no 20. La regla a 12 meses da subida porque mira la historia del PER, no porque haya valor.</w:t>
      </w:r>
    </w:p>
    <w:p>
      <w:pPr>
        <w:keepNext/>
        <w:spacing w:after="100"/>
      </w:pPr>
      <w:r>
        <w:rPr>
          <w:b/>
          <w:bCs/>
        </w:rPr>
        <w:t xml:space="preserve">Por qué podemos tener razón.</w:t>
      </w:r>
    </w:p>
    <w:p>
      <w:pPr>
        <w:spacing w:after="100"/>
      </w:pPr>
      <w:r>
        <w:t xml:space="preserve">Porque la historia del PER (23-36 veces) se formó con tipos del 1,5-3 % y con el pasivo de la minería deprimiendo el beneficio, y la caja de hoy no la justifica. Si los tipos no bajan, el ajuste llegará por el múltiplo, como en 2024-2025, cuando la acción rindió un −0,7 % y un −2,1 % frente al +24,9 % y el +17,7 % del S&amp;P 500.</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81,5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Calidad</w:t>
      </w:r>
      <w:r>
        <w:t xml:space="preserve">: ROIC del 17,3 % (29,5 % sin fondo de comercio) frente a un WACC del 9,49 %.</w:t>
      </w:r>
    </w:p>
    <w:p>
      <w:pPr>
        <w:pStyle w:val="ListParagraph"/>
        <w:numPr>
          <w:ilvl w:val="0"/>
          <w:numId w:val="2"/>
        </w:numPr>
        <w:spacing w:after="60"/>
      </w:pPr>
      <w:r>
        <w:rPr>
          <w:b/>
        </w:rPr>
        <w:t xml:space="preserve">Margen al alza</w:t>
      </w:r>
      <w:r>
        <w:t xml:space="preserve">: EBITDA ajustado del 26,1 % en el 1S26 frente al 25,2 % de 2025, con precio y productividad [3].</w:t>
      </w:r>
    </w:p>
    <w:p>
      <w:pPr>
        <w:pStyle w:val="ListParagraph"/>
        <w:numPr>
          <w:ilvl w:val="0"/>
          <w:numId w:val="2"/>
        </w:numPr>
        <w:spacing w:after="60"/>
      </w:pPr>
      <w:r>
        <w:rPr>
          <w:b/>
        </w:rPr>
        <w:t xml:space="preserve">Renovación de bomberos</w:t>
      </w:r>
      <w:r>
        <w:t xml:space="preserve">: la nueva norma NFPA abre un ciclo de SCBA que la dirección sitúa en 2027 [13].</w:t>
      </w:r>
    </w:p>
    <w:p>
      <w:pPr>
        <w:pStyle w:val="ListParagraph"/>
        <w:numPr>
          <w:ilvl w:val="0"/>
          <w:numId w:val="2"/>
        </w:numPr>
        <w:spacing w:after="60"/>
      </w:pPr>
      <w:r>
        <w:rPr>
          <w:b/>
        </w:rPr>
        <w:t xml:space="preserve">Pasivo heredado fuera</w:t>
      </w:r>
      <w:r>
        <w:t xml:space="preserve">: 395 M de provisión de neumoconiosis transferidos en 2023 [1].</w:t>
      </w:r>
    </w:p>
    <w:p>
      <w:pPr>
        <w:pStyle w:val="ListParagraph"/>
        <w:numPr>
          <w:ilvl w:val="0"/>
          <w:numId w:val="2"/>
        </w:numPr>
        <w:spacing w:after="60"/>
      </w:pPr>
      <w:r>
        <w:rPr>
          <w:b/>
        </w:rPr>
        <w:t xml:space="preserve">Dividendo</w:t>
      </w:r>
      <w:r>
        <w:t xml:space="preserve">: 56 años de subidas y conversión en caja del 90-100 % [3, 12].</w:t>
      </w:r>
    </w:p>
    <w:p>
      <w:pPr>
        <w:pStyle w:val="Heading2"/>
      </w:pPr>
      <w:r>
        <w:t xml:space="preserve">En contra</w:t>
      </w:r>
    </w:p>
    <w:p>
      <w:pPr>
        <w:pStyle w:val="ListParagraph"/>
        <w:numPr>
          <w:ilvl w:val="0"/>
          <w:numId w:val="2"/>
        </w:numPr>
        <w:spacing w:after="60"/>
      </w:pPr>
      <w:r>
        <w:rPr>
          <w:b/>
        </w:rPr>
        <w:t xml:space="preserve">Cara frente a su caja</w:t>
      </w:r>
      <w:r>
        <w:t xml:space="preserve">: el DCF da 119,95 USD (−33,9 %) y la rentabilidad implícita es del 7,4 %.</w:t>
      </w:r>
    </w:p>
    <w:p>
      <w:pPr>
        <w:pStyle w:val="ListParagraph"/>
        <w:numPr>
          <w:ilvl w:val="0"/>
          <w:numId w:val="2"/>
        </w:numPr>
        <w:spacing w:after="60"/>
      </w:pPr>
      <w:r>
        <w:rPr>
          <w:b/>
        </w:rPr>
        <w:t xml:space="preserve">Orgánico flojo</w:t>
      </w:r>
      <w:r>
        <w:t xml:space="preserve">: +0,7 % en 2025 y +3 % en el 1S26, con bomberos en negativo [1, 3].</w:t>
      </w:r>
    </w:p>
    <w:p>
      <w:pPr>
        <w:pStyle w:val="ListParagraph"/>
        <w:numPr>
          <w:ilvl w:val="0"/>
          <w:numId w:val="2"/>
        </w:numPr>
        <w:spacing w:after="60"/>
      </w:pPr>
      <w:r>
        <w:rPr>
          <w:b/>
        </w:rPr>
        <w:t xml:space="preserve">Compras caras</w:t>
      </w:r>
      <w:r>
        <w:t xml:space="preserve">: Autronica a 17,3 veces el EBITDA, deuda neta a ≈1,8 veces [3, 10].</w:t>
      </w:r>
    </w:p>
    <w:p>
      <w:pPr>
        <w:pStyle w:val="ListParagraph"/>
        <w:numPr>
          <w:ilvl w:val="0"/>
          <w:numId w:val="2"/>
        </w:numPr>
        <w:spacing w:after="60"/>
      </w:pPr>
      <w:r>
        <w:rPr>
          <w:b/>
        </w:rPr>
        <w:t xml:space="preserve">Litigios</w:t>
      </w:r>
      <w:r>
        <w:t xml:space="preserve">: 21.372 reclamaciones por PFAS sin provisión y riesgo residual de MSA LLC [2].</w:t>
      </w:r>
    </w:p>
    <w:p>
      <w:pPr>
        <w:pStyle w:val="ListParagraph"/>
        <w:numPr>
          <w:ilvl w:val="0"/>
          <w:numId w:val="2"/>
        </w:numPr>
        <w:spacing w:after="60"/>
      </w:pPr>
      <w:r>
        <w:rPr>
          <w:b/>
        </w:rPr>
        <w:t xml:space="preserve">Gobierno mejorable</w:t>
      </w:r>
      <w:r>
        <w:t xml:space="preserve">: consejo escalonado y variable sin ROIC [20].</w:t>
      </w:r>
    </w:p>
    <w:p>
      <w:pPr>
        <w:pStyle w:val="Heading2"/>
      </w:pPr>
      <w:r>
        <w:t xml:space="preserve">Qué tiene que pasar para que la tesis funcione</w:t>
      </w:r>
    </w:p>
    <w:p>
      <w:pPr>
        <w:spacing w:after="100"/>
      </w:pPr>
      <w:r>
        <w:t xml:space="preserve">La tesis de no comprar depende de que el múltiplo no tenga que volver a su historia. La señal de que nos equivocamos sería un orgánico de 2027 guiado por encima del 6 % con la renovación de SCBA, junto con una bajada fuerte del bono: entonces el valor intrínseco se acercaría al precio. En el lado malo, vigilar bomberos tras la adjudicación de AFG y cualquier provisión por PFAS.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bomberos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el 3T26 y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AFG y la renovación NFPA llegan.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Autronica diluye; decide el BPA de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 pro forma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compras caras subirían el riesgo.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Reclamaciones por PFAS contra Globe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21.372 (jul-2026)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Provisión o acuerdo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pasivo sin provisión.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del Tesoro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diferencia con el mercado es de tasa de descuento.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22,6x / 18,6x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MSA nació en 1914 en Pittsburgh como Mine Safety Appliances, para proteger a los mineros del carbón. Durante un siglo fue el proveedor de referencia de la minería y del ejército de EE. UU. (máscaras de gas) y se diversificó hacia bomberos, detección de gases y cascos industriales. En 2014 cambió de nombre a MSA Safety y en 2017-2021 compró Globe (trajes de bomberos) y Bacharach (detección de refrigerantes). La herencia minera dejó un pasivo por neumoconiosis y silicosis que costó más de 400 M entre 2017 y 2022 y del que se deshizo en 2023 vendiendo la filial MSA LLC con 341 M de caja. Desde 2024 la dirige Steve Blanco, que ha acelerado las compras en detección (M&amp;C en 2025, Autronica en 2026) [1,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Pittsburgh como Mine Safety Appliances, proveedor de seguridad para la minería del carbón.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MSA Safety y reorganización como holding (la filial operativa histórica pasa a MSA LLC).</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Globe (trajes de bomberos) por 215 M y cargo de 219 M por responsabilidad de productos heredada.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Bacharach (detección de refrigerantes) por 337 M y cargo de 185 M por trauma acumulativo.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MSA LLC y de su pasivo por neumoconiosis a una empresa conjunta de R&amp;Q y Obra, con una aportación de 341 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Steve Blanco sucede a Nish Vartanian como consejero delegado (mayo).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M&amp;C TechGroup (análisis de gases, Alemania) por 189 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Autronica (detección de incendio y gas, Noruega) por 555 M y programa de recompra de 500 M.</w:t>
            </w:r>
          </w:p>
        </w:tc>
      </w:tr>
    </w:tbl>
    <w:p>
      <w:pPr>
        <w:spacing w:after="160" w:before="0"/>
      </w:pPr>
    </w:p>
    <w:p>
      <w:pPr>
        <w:pStyle w:val="Heading1"/>
      </w:pPr>
      <w:r>
        <w:t xml:space="preserve">2. Modelo de negocio</w:t>
      </w:r>
    </w:p>
    <w:p>
      <w:pPr>
        <w:spacing w:after="100"/>
      </w:pPr>
      <w:r>
        <w:t xml:space="preserve">MSA diseña, fabrica y vende equipos de seguridad sofisticados en tres familias: detección (41 % de las ventas de 2025: detectores fijos de gas y llama para plantas de energía, química, agua y climatización, y detectores portátiles ALTAIR para trabajadores), bomberos (34 %: equipos de respiración autónoma o SCBA G1 en EE. UU. y M1 fuera, cascos Cairns y Gallet, y trajes Globe y Bristol) y EPI industrial (25 %: cascos V-Gard, anticaídas y cascos balísticos) [1]. Vende en América (67 %) sobre todo a través de distribuidores (Grainger, Fastenal y especialistas de bomberos), y fuera de forma directa e indirecta [1]. Fabrica en EE. UU., México, Brasil, Alemania, Francia, Reino Unido, Irlanda, Marruecos y China, con unos 5.300 empleados [1, 10]. Con MSA+ conecta equipos y software para cobrar servicio recurrente [1].</w:t>
      </w:r>
    </w:p>
    <w:p>
      <w:pPr>
        <w:pStyle w:val="Heading2"/>
      </w:pPr>
      <w:r>
        <w:t xml:space="preserve">Cómo gana dinero</w:t>
      </w:r>
    </w:p>
    <w:p>
      <w:pPr>
        <w:spacing w:after="100"/>
      </w:pPr>
      <w:r>
        <w:t xml:space="preserve">Gana en la combinación de una norma obligatoria y un producto certificado: los SCBA deben cumplir la NFPA 1981/1970 en EE. UU. y se renuevan por ciclos de 10-15 años o con cada cambio de norma, y los detectores fijos llevan recambios de sensores, calibración y servicio durante décadas [1]. Una parte relevante de detección fija es recurrente (recambios y servicio) [1]. El margen depende del precio (subidas de 2025 y 2026), la mezcla (detección y SCBA ganan más que cascos y trajes) y el coste de la electrónica, que es dos tercios del coste de ventas en materiales [1]. Margen bruto del 46,5 % en 2025 y 48,5 % en el 1S26 [1, 13]. Bomberos depende del presupuesto municipal y de las subvenciones federales AFG, que se adjudican con retraso y crean años irregulares [1, 17].</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partidas no asignadas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partidas no asignadas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las ventas [1]. En América la mayoría pasa por distribuidores; los clientes finales son cuerpos de bomberos, energía, servicios públicos, construcción y fabricación industrial. Los contratos de bomberos se ganan en concursos con homologación previa y suelen ir ligados a la flota de SCBA durante una década; un cuerpo que cambia de fabricante tiene que formar a toda la plantilla y cambiar botellas y máscaras, lo que crea costes de cambio altos [1]. Poder de precios demostrado: el margen bruto subió del 44,0 % de 2022 al 46,5 % de 2025 y al 48,5 % del 1S26 con «acciones de precio estratégicas» en 2025 y 2026, por encima de la inflación de materiales y de los aranceles [1, 13].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detección (fija y portátil)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642,8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763,4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 (M&amp;C incluida)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41 % de las ventas; crecimiento orgánico de dos cifras en Americas en 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bomberos (SCBA, cascos, trajes)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712,7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647,5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de los pedidos financiados con las subvenciones AFG de 2025 y cierre del Gobierno federal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EPI industrial y otros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452,7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463,9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Cascos V-Gard, anticaídas y cascos balísticos; +16 % orgánico en el 2T26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un dígito medio orgánico más una aportación de compras de un dígito medio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≈4 M de devolución de aranceles en el 2T26 (80-100 pb de margen bruto) [3,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beneficio en flujo libre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la dirección: 90-100 % [3,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 (jun-26); ≈1,8x pro forma con Autronica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 tras la compra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 1,5-2,5x; por encima solo para «la operación adecuada» [3, 13].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equipos de seguridad sofisticados sujetos a certificación: detección de gas y llama (fija y portátil), equipos de respiración autónoma (SCBA) y, desde 2026, sistemas de detección de incendio y gas; dejamos fuera el EPI básico (guantes, ropa, gafas), que es un mercado de bajo valor. Ámbito mundial. Usamos para detección la estimación de Global Market Insights (4.100 M USD en 2025) y la contrastamos con la de Market Data Forecast (3.110 M); para SCBA, la de Verified Market Research (1.650 M), y para sistemas de incendio y gas, la cifra de la propia MSA (más de 3.000 M) [10, 14, 15, 16]. El total es de unos 8.800 M USD. Estimación propia con fuentes de pago de las que solo se ven los resúmenes.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8.750 M USD en 2025 (detección de gas 4.100 M [14], SCBA 1.650 M [16] y sistemas de incendio y gas ≈3.000 M [10]; estimación propia)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detección de gas + SCBA + sistemas de incendio y ga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Normas de seguridad más exigentes y más vigiladas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uso de los equipos lo exigen normas de la administración y de la industria, aplicadas cada vez más en todo el mundo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renovación de SCBA por la norma NFPA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espera el punto de inflexión de la renovación en 2027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Subvenciones federales a bomberos (AFG)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Convocatoria de 291,6 M en mayo-junio de 2026 tras meses de cierre del DHS; los pedidos de 2025 se retrasaron [17,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Refrigerantes A2L y detección de fugas en climatización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Detección creció a dos cifras en Americas en 2025 con los monitores Bacharach y Chillgard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energía, química e infraestructura crítica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guerra en Oriente Medio restó más de 1,5 puntos al crecimiento del 1S26 en detección fija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en defensa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Cascos balísticos impulsaron un +27 % orgánico de EPI industrial en International en el 2T26 [13].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rivales con gama completa (Dräger, Honeywell, 3M/Scott, Teledyne, Halma/Crowcon); compiten por homologación y servicio más que por precio. Margen EBITDA de MSA del 25 % frente al 9 % de Dräger [1,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fragmentados (ninguno &gt; 10 %); los cuerpos de bomberos compran por concurso pero quedan atados a la plataforma de SCBA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Electrónica, botellas de aire y tejidos técnicos de pocos fabricantes; los materiales son dos tercios del coste de ventas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Certificaciones NFPA, ATEX y SIL, responsabilidad por producto y canal de distribución especializado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para un SCBA o un detector certificado; la tecnología cambia el producto (conexión, sensores) pero no la necesidad [1].</w:t>
            </w:r>
          </w:p>
        </w:tc>
      </w:tr>
    </w:tbl>
    <w:p>
      <w:pPr>
        <w:spacing w:after="160" w:before="0"/>
      </w:pPr>
    </w:p>
    <w:p>
      <w:pPr>
        <w:pStyle w:val="Heading2"/>
      </w:pPr>
      <w:r>
        <w:t xml:space="preserve">Ciclo</w:t>
      </w:r>
    </w:p>
    <w:p>
      <w:pPr>
        <w:spacing w:after="100"/>
      </w:pPr>
      <w:r>
        <w:t xml:space="preserve">Lo sabemos por el crecimiento orgánico (+0,7 % en 2025, +3 % en el 1S26), la relación pedidos/facturación cercana a uno y los retrasos de AFG [1, 13]. Las ventas de MSA bajaron un 3,8 % en 2020 (1.348 M frente a 1.402 M) y volvieron a crecer en 2021; en 2009 cayeron por la industria y la minería, y en 2022 subieron un 9 % pese a la escasez de componentes [1]. Es un sector defensivo: bomberos y normas mantienen la demanda aunque la industria caiga.</w:t>
      </w:r>
    </w:p>
    <w:p>
      <w:pPr>
        <w:pStyle w:val="Heading2"/>
      </w:pPr>
      <w:r>
        <w:t xml:space="preserve">Regulación</w:t>
      </w:r>
    </w:p>
    <w:p>
      <w:pPr>
        <w:spacing w:after="100"/>
      </w:pPr>
      <w:r>
        <w:t xml:space="preserve">En EE. UU., la NFPA ha refundido sus normas de equipos de bomberos (la 1981 de SCBA en la NFPA 1970), lo que abre un ciclo de renovación que la dirección sitúa en 2027 [13]. Las subvenciones AFG dependen del presupuesto anual del DHS: en 2026 el cierre retrasó la plataforma FEMA GO y la convocatoria [17, 18]. Los PFAS en los tejidos de los trajes de bomberos están bajo presión legal y regulatoria en varios estados [1]. En Europa, ATEX y la normativa de gases fluorados exigen detección de fugas de refrigerantes. Los aranceles de EE. UU. de 2025 encarecieron componentes; en 2026 se han devuelto parte de los aranceles IEEPA [13].</w:t>
      </w:r>
    </w:p>
    <w:p>
      <w:pPr>
        <w:pStyle w:val="Heading2"/>
      </w:pPr>
      <w:r>
        <w:t xml:space="preserve">Tendencias y disrupción</w:t>
      </w:r>
    </w:p>
    <w:p>
      <w:pPr>
        <w:spacing w:after="100"/>
      </w:pPr>
      <w:r>
        <w:t xml:space="preserve">La conexión de los equipos (detectores portátiles con conexión permanente, SCBA con telemetría, software MSA+ y FireGrid) convierte una venta única en servicio recurrente: MSA gana porque tiene la base instalada [1]. Los refrigerantes inflamables (A2L) multiplican la detección en climatización. La consolidación es activa (M&amp;C y Autronica por MSA; Teledyne y Halma compran detección): MSA quiere entrar antes en el diseño de los proyectos con sistemas completos de incendio y gas [10]. Entran fabricantes asiáticos en detección portátil barata, de momento sin certificaciones de alto nivel.</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en EE. UU. en SCBA y cascos de bomberos, y entre los tres primeros del mundo en detección de gas (≈19 % del mercado de detección de gas según la cifra de 4.100 M; estimación propia: 763 M de ventas de detección en 2025 entre 4.100 M) [1,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Drägerwerk (seguridad)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DRW3.DE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4.012</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global en SCBA y detección; la mitad de su negocio es médico. Ingresos del grupo convertidos a USD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Honeywell (Industrial Automation, seguridad)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Detección de gas (BW, RAE) y EPI dentro de un conglomerado; vendió parte del EPI en 2025.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3M (Scott Safety)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MMM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en SCBA en EE. UU. (Scott) y en detección portátil.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Teledyne (Gas &amp; Flame Detection)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TDY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6.374</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Detección fija de gas y llama (Detcon, Oldham, Simtronics) dentro de instrumentación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Halma (Crowcon y protección contra incendios)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HLMA.L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Detección portátil (Crowcon) y sistemas de incendio; comprador en serie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Avon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AVON.L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Respiración para bomberos y ejército, cascos balísticos (Team Wendy)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MSA+ y FireGrid conectan equipos, pero el valor no crece con el número de usuarios de forma relevante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cuerpo de bomberos con SCBA G1 cambia de fabricante solo al renovar la flota (10-15 años), con nueva formación y repuestos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V-Gard, ALTAIR, Cairns y G1, certificaciones NFPA, ATEX y SIL; 112 años de historia en seguridad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integrada de SCBA, máscaras, cascos y placas, pero sin escala superior a Honeywell o 3M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pequeños (SCBA ≈1.650 M) donde no caben muchos fabricantes certificados [4].</w:t>
            </w:r>
          </w:p>
        </w:tc>
      </w:tr>
    </w:tbl>
    <w:p>
      <w:pPr>
        <w:spacing w:after="160" w:before="0"/>
      </w:pPr>
    </w:p>
    <w:p>
      <w:pPr>
        <w:pStyle w:val="Heading2"/>
      </w:pPr>
      <w:r>
        <w:t xml:space="preserve">Amenazas</w:t>
      </w:r>
    </w:p>
    <w:p>
      <w:pPr>
        <w:spacing w:after="100"/>
      </w:pPr>
      <w:r>
        <w:t xml:space="preserve">Que 3M/Scott o Dräger ganen grandes concursos de SCBA en la renovación de 2027-2029 con precio (probabilidad media; cada punto de cuota en SCBA de EE. UU. son ≈10 M de ventas). Que la detección portátil se banalice con fabricantes asiáticos y sensores baratos (media-baja). Que las demandas por PFAS en trajes dañen la marca en bomberos (baja-media). Que una compra grande (Autronica) se integre mal y diluya el margen (media) [1, 13].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2016-2025: ingresos </w:t>
      </w:r>
      <w:r>
        <w:rPr>
          <w:b/>
          <w:bCs/>
        </w:rPr>
        <w:t xml:space="preserve">5,6 %</w:t>
      </w:r>
      <w:r>
        <w:t xml:space="preserve">, EBITDA </w:t>
      </w:r>
      <w:r>
        <w:rPr>
          <w:b/>
          <w:bCs/>
        </w:rPr>
        <w:t xml:space="preserve">9,5 %</w:t>
      </w:r>
      <w:r>
        <w:t xml:space="preserve">, BPA </w:t>
      </w:r>
      <w:r>
        <w:rPr>
          <w:b/>
          <w:bCs/>
        </w:rPr>
        <w:t xml:space="preserve">12,7 %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1.150 M en 2016 a 1.875 M en 2025 (5,6 % anual), con compras relevantes en 2017 (Globe, trajes de bomberos, 216 M), 2021 (Bacharach, 392 M en total) y 2025 (M&amp;C, 189 M) [1, 9]. El orgánico fue débil en 2024-2025 (+0,7 % en 2025) por el retraso de las subvenciones AFG a los bomberos de EE. UU. y la comparación con grandes pedidos de detección en Latinoamérica [1]. El margen EBIT publicado está distorsionado hasta 2023 por la responsabilidad por productos de trauma acumulativo (219 M en 2017, 185 M en 2021) y por la pérdida de 129 M de la desinversión de MSA LLC en 2023; sin ellos, el margen EBIT pasó del 16,6 % en 2019 al 19,8 % en 2025 por precio, mezcla (detección) y el sistema de gestión MBS, a pesar de los aranceles y de la amortización de M&amp;C [1]. En el 1S26 el margen bruto subió al 48,5 % (46,2 %) con precio, productividad y unos 4 M de devolución de aranceles en el 2T26 [2, 13].</w:t>
      </w:r>
    </w:p>
    <w:p>
      <w:pPr>
        <w:pStyle w:val="Heading2"/>
      </w:pPr>
      <w:r>
        <w:t xml:space="preserve">Ajustes y partidas no recurrentes</w:t>
      </w:r>
    </w:p>
    <w:p>
      <w:pPr>
        <w:spacing w:after="100"/>
      </w:pPr>
      <w:r>
        <w:t xml:space="preserve">Usamos cifras publicadas (US GAAP). La empresa da un BPA ajustado que suma la amortización de intangibles comprados (12,6 M en 2025), las diferencias de cambio (15,8 M), la reestructuración (3,9 M) y los costes de transacción (10,5 M): 7,93 USD en 2025 frente a 7,09 publicados [5]. Solo tratamos como no recurrentes, dentro del EBIT, la responsabilidad por productos heredada (hasta 2022), la pérdida por la desinversión de MSA LLC (129,2 M en 2023, más 70,4 M de impuestos por la baja de activos fiscales) y el litigio de 2024 (5,0 M) [1, 9]. La reestructuración, las diferencias de cambio y los costes de compras se repiten casi todos los años y se quedan en el BPA. En el LTM restamos la devolución de aranceles del 2T26 (≈4 M) [13].</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EBITDA ajustado de la empresa; BPA publicado (diluido). Frente al consenso previo de BPA ajustado de Estimize/Seeking Alpha: 1,94 frente a 1,87 en el 3T25, 2,38 frente a 2,27 en el 4T25, 1,99 frente a 1,83 en el 1T26 y 2,40 frente a 2,14 en el 2T26. En el 2T26 (31-jul) la dirección mantuvo el orgánico de un dígito medio para 2026 y elevó el total a «dos cifras bajas» con Autronica, con un margen bruto ajustado del 47,5-48,5 % y gastos financieros de 40-43 M (más que antes) [3, 13]. Bomberos cayó un 2 % orgánico porque los pedidos de las subvenciones AFG de 2025 llegaron más tarde de lo previsto y el Departamento de Seguridad Nacional estuvo cerrado hasta finales de mayo; los pedidos se aceleraron en junio y julio y el consejero delegado espera la renovación por la nueva norma NFPA en 2027 [13]. Detección fija cayó por la guerra en Oriente Medio (más de 1,5 puntos de crecimiento en el semestre). Frente al 1T26, el discurso pasó de «arranque sólido» a «disciplina» y compras. Los analistas preguntaron por el calendario de AFG, el peso de los cascos balísticos, el coste de la electrónica y Oriente Medio; la dirección no cuantificó ni el efecto del coste de la electrónica ni el peso de defensa, ni dio cifras de Autronica para 2026 [13].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Bacharach (detección de refrigerantes), comprada en enero de 2021 por 337 M [1].; 2025: M&amp;C TechGroup (análisis de gases, Alemania), consolidada desde el 6-may-2025 por 189 M: 40,9 M de ventas en 2025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pasó de 391 M en 2016 a 581 M en 2025 y 600 M en junio de 2026, siempre con apalancamiento bajo (0,8-1,2 veces el EBITDA ajustado) [2, 3]. El salto de 2021 fue la compra de Bacharach; el de 2023, el préstamo de 250 M para aportar caja a MSA LLC al venderla [1]. Tras Autronica (pagada con caja y la línea de crédito), la deuda neta sube a ≈955 M y el apalancamiento a ≈1,8x. El circulante comercial es alto (28,7 % de las ventas en 2025: 343 M de existencias y 307 M de clientes frente a 111 M de proveedores) porque fabrica equipos certificados con muchos componentes y vende a distribuidores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1.690</w:t>
      </w:r>
      <w:r>
        <w:t xml:space="preserve">, conversión </w:t>
      </w:r>
      <w:r>
        <w:rPr>
          <w:b/>
          <w:bCs/>
        </w:rPr>
        <w:t xml:space="preserve">127 %</w:t>
      </w:r>
      <w:r>
        <w:t xml:space="preserve"> del beneficio neto; adquisiciones 849, dividendos 664, recompras 238.</w:t>
      </w:r>
    </w:p>
    <w:p>
      <w:pPr>
        <w:spacing w:after="100"/>
      </w:pPr>
      <w:r>
        <w:t xml:space="preserve">El flujo de explotación fue de 364 M en 2025 y 296 M en 2024, con un capex de 68 y 54 M (3,6 % y 3,0 % de las ventas, incluido software capitalizado de 15 M) [1]. 2022-2023 fueron anómalos: en 2022 se pagaron reclamaciones de trauma acumulativo y se acumularon existencias por la escasez de componentes, y en 2023 el flujo de explotación (93 M) recoge pagos de responsabilidad y la reorganización previa a la venta de MSA LLC; además, la aportación de 341,2 M a MSA LLC (enero de 2023) fue una salida de caja que liquidó el pasivo heredado [1, 9]. La conversión de beneficio en flujo libre fue del 106 % en 2025 y del 94 % en el 1S26, dentro del objetivo del 90-100 % [3, 12]. Estimación propia: el capex de mantenimiento ronda la amortización del inmovilizado material y del software (≈45-50 M); el resto es capacidad y automatización.</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Auditor desde 2014 [1]. Capitaliza software (14,9 M en 2025, 13,0 M en 2024) y lo amortiza en el coste de ventas (12,0 M), una cifra pequeña frente al EBIT [1]. La remuneración en acciones es moderada. La partida que más distorsionó las cuentas fue la responsabilidad por productos heredada: 219 M en 2017 y 185 M en 2021, y una pérdida de 199,6 M después de impuestos al vender MSA LLC en 2023; desde entonces el BPA publicado es limpio salvo diferencias de cambio y costes de compras [1, 9]. El plan de pensiones de EE. UU. con superávit da ingresos financieros (14,0 M de ingresos netos en 2025) que están fuera del EBIT pero dentro del BPA [1]. Los indicadores del motor (Altman, Piotroski, Beneish) se leen con el perímetro de 2021 y 2025 marcado y con 2023 distorsionado por la baja de activos y pasivos de MSA LLC.</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 heredado transferido a un tercero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MSA LLC y sus 395 M de provisión de trauma acumulativo pasaron a una empresa conjunta de R&amp;Q y Obra en 2023; si el comprador no pudiera pagar, los demandantes podrían intentar reclamar a MSA (transmisión fraudulenta). Hay opinión de solvencia independiente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Demandas por PFAS en trajes de bomberos (Globe)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1.222 demandas y 21.372 reclamaciones sin provisión; en fase inicial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Devolución de aranceles en el margen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 en el 2T26 dentro del coste de ventas; la empresa no la quita de su BPA ajustado [13].</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732 M en 2025 (el 41 % del capital invertido medio); ha subido más de un 5 % en 4 de 9 años: comprador en serie. ROIC publicado 17,3 %; sin fondo de comercio, 29,5 %.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23,0 % · </w:t>
      </w:r>
      <w:r>
        <w:rPr>
          <w:b/>
          <w:bCs/>
        </w:rPr>
        <w:t xml:space="preserve">WACC</w:t>
      </w:r>
      <w:r>
        <w:t xml:space="preserve">: 9,5 %.</w:t>
      </w:r>
    </w:p>
    <w:p>
      <w:pPr>
        <w:spacing w:after="100"/>
      </w:pPr>
      <w:r>
        <w:t xml:space="preserve">MSA crea valor: el ROIC fue del 17,3 % en 2025 (20,6 % en 2024) frente a un WACC del 9,49 %, 7,8 puntos por encima, y del 29,5 % sin el fondo de comercio de Globe, Bacharach y M&amp;C (el 41 % del capital invertido). El ROE de 2025, del 22,2 %, se apoya poco en la deuda (apalancamiento de 1,9 veces). Lo que mueve el ROIC es el margen: el NOPAT sobre ventas pasó del 12 % de 2023 (sin la pérdida de MSA LLC) al 15,1 % de 2025, con una rotación estable de 0,8 veces el capital. El ROIC incremental histórico es del 23 %, pero tendrá que absorber los 555 M de Autronica (17,3 veces el EBITDA; estimación propia: un ROIC de partida de ≈4-5 % después de impuestos) y los 189 M de M&amp;C: estimamos que el ROIC publicado baje hacia el 15 % en 2027 antes de recuperarse con las sinergias. Frente a los comparables, su margen EBITDA (25 %) está en el cuartil superior (mediana 20,8 %) [1, 25].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200,1 M y 986 M no dispuestos de la línea de crédito de 1.300 M (vence en 2030) a 30-jun-2026; tras pagar Autronica (555 M, 9-jul), liquidez de ≈600 M [2,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(deuda bancaria y colocaciones privadas con PGIM y NYL).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Covenants: deuda neta/EBITDA ≤ 3,5x (4,0x en el año de una compra) y cobertura de cargas fijas ≥ 1,5x; con ≈1,8x pro forma hay holgura [2, 3]. Pensiones: activo neto de 291,2 M (plan de EE. UU. con superávit) frente a 140,5 M de obligaciones de pensiones y otros beneficios: superávit neto de ≈150 M que no sumamos al puente [3]. La responsabilidad por productos de trauma acumulativo (neumoconiosis del carbón, silicosis, amianto) salió del balance el 5-ene-2023 con MSA LLC, que se vendió a una empresa conjunta de R&amp;Q y Obra Capital aportando 341,2 M de caja; el comprador y MSA LLC indemnizan a MSA sin límite [1]. Globe (trajes de bomberos) tiene 1.222 demandas con 21.372 reclamaciones por PFAS a 27-jul-2026, sin provisión: los costes de defensa van a resultados [2]. Arrendamientos operativos de ≈59 M (US GAAP: fuera de la deuda).</w:t>
      </w:r>
    </w:p>
    <w:p>
      <w:pPr>
        <w:pStyle w:val="Heading1"/>
      </w:pPr>
      <w:r>
        <w:t xml:space="preserve">12. Asignación de capital</w:t>
      </w:r>
    </w:p>
    <w:p>
      <w:pPr>
        <w:pStyle w:val="Confianza"/>
        <w:spacing w:after="100"/>
      </w:pPr>
      <w:r>
        <w:t xml:space="preserve">Confianza: Media</w:t>
      </w:r>
    </w:p>
    <w:p>
      <w:pPr>
        <w:spacing w:after="100"/>
      </w:pPr>
      <w:r>
        <w:t xml:space="preserve">Prioridades: crecimiento orgánico, compras y devolución al accionista [5]. Dividendo subido 56 años seguidos (0,54 USD al trimestre desde mayo de 2026, +1,9 %) [3]. Programa de recompra de 500 M aprobado el 20-feb-2026 sin fecha de fin, que sustituye al de 200 M de 2024; en el 1S26 recompró 76 M [2, 12]. Objetivo de apalancamiento de 1,5-2,5 veces el EBITDA ajustado, con margen para pasar de 2,5x en una gran compra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Globe Manufacturing (trajes de bomberos,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Cumplió en ventas, pero trajo las demandas por PFAS (21.372 reclamaciones en 2026)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Bacharach (detección de refrigerantes,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Línea de crédito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crecimiento de detección fija en climatización y refrigeración; sin deterioros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M&amp;C TechGroup (análisis de gases, Alemania)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Línea de crédito (137 M)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40,9 M de ventas en 2025; integrado en orgánico desde mayo de 2026 [1, 13].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Autronica Fire and Security (detección de incendio y gas, Noruega)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línea de crédito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9-jul-2026; 160 M de ventas en 2025 con margen EBITDA ajustado del ≈20 %; acrecitiva al BPA ajustado el primer año completo según la empresa [10, 11].</w:t>
            </w:r>
          </w:p>
        </w:tc>
      </w:tr>
    </w:tbl>
    <w:p>
      <w:pPr>
        <w:spacing w:after="160" w:before="0"/>
      </w:pPr>
    </w:p>
    <w:p>
      <w:pPr>
        <w:spacing w:after="100"/>
      </w:pPr>
      <w:r>
        <w:t xml:space="preserve">Buena asignadora de capital hasta 2024 y más arriesgada desde 2025. En diez años ha subido el dividendo cada año (payout del 30 % del BPA publicado de 2025), ha recomprado poco (238 M en total, 90 M en 2025) y ha comprado con cuidado (Globe, Bacharach) [1, 9]. Su mejor decisión fue cortar el pasivo de la minería en 2023 aunque costara 341 M de caja y 199,6 M de pérdida: eliminó una salida de 30-60 M al año y la incertidumbre que deprimía el múltiplo [1]. La nueva dirección ha gastado 744 M en dos compras en 14 meses (M&amp;C y Autronica), a múltiplos altos, y ha aprobado una recompra de 500 M (7 % de la capitalización). Las acciones apenas bajan (de 39,3 M en 2025 a 38,6 M) y el ROIC incremental de las compras está por demostrar [2, 12].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C. Blanco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(President)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mayo de 2024 (antes dirigió el negocio de la empresa). Con él, el margen EBITDA ajustado subió del 25,2 % de 2025 al 26,1 % del 1S26 y lanzó la estrategia «Accelerate» con M&amp;C y Autronica [3,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Julie A. Beck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desde el 18-ago-2025. Compró 448 acciones a 158,69 USD en junio de 2026 [20,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A. Bruggeworth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2007 y consejero independiente coordinador hasta mayo de 2026, cuando sustituyó a Nish Vartanian como presidente; ex consejero delegado de Qorvo [20, 22,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Nishan J. Vartanian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2018 a 2024: vendió MSA LLC y su pasivo en 2023 y compró Bacharach. Vendió 20.000 acciones (3,9 M) en agosto de 2026 [20,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Jonathan D. Buck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contabilidad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contable; vendió acciones por 0,37 M en 12 meses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un dígito bajo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+0,7 % orgánico (en el rango, en su parte baja)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dígito medio orgánico; total de dos cifras bajas con compras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 orgánico en el 1S26 (en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de la casa: el consejero delegado llegó en 2019 y la directora financiera en 2025, en una sucesión ordenada (Vartanian pasó a presidente y en mayo de 2026 cedió la presidencia a un independiente) [20, 23]. La guía es prudente y de un solo dato (crecimiento orgánico); en 2025 la cumplió en la parte baja, con los retrasos de AFG, y para 2026 la mantiene pese a un 1S26 del +3 % [1, 3]. No encontramos las guías de 2021-2024 con fuente primaria. La nueva dirección es más compradora (744 M en dos compras en 14 meses), lo que exige vigilar el rendimiento del capital; el ROIC incremental de las compras aún no se puede medir.</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A. Bruggeworth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Presidencia del consejo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C. Blanco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Nishan J. Vartanian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M. Lambert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consejero delegado hasta 2018)</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Diane M. Pearse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Sandra L. Phillips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Luca Savi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Gregory B. Jordan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R. Sperry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Octavio Marquez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asignar</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97,2 %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0,07 / ventas 4,24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 T. Ryan III (familia fundadora)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Familia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Estable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Nishan J. Vartanian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Jonathan D. Buck (director de contabilidad)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Julie A. Beck (directora financiera)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Jonathan D. Buck (director de contabilidad)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25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Jonathan D. Buck (director de contabilidad)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depende de objetivos financieros de la empresa; el variable a largo plazo (el 80 % en acciones por objetivos para el consejero delegado) se mide a tres años con el margen EBITDA ajustado (50 %) y el crecimiento de ventas (50 %), corregido por la rentabilidad total para el accionista frente a un grupo de comparables (entre 0,8 y 1,2) [20]. No hay ROIC: premia crecer y el margen, no el rendimiento del capital, algo a vigilar con una dirección compradora. El grant de 2023 pagó el 180 % del objetivo con una rentabilidad relativa en el percentil 36 [20]. Hay recuperación obligatoria (clawback) [20]. Remuneración del consejero delegado de 6,43 M en 2025, 88 veces la del empleado mediano; 97,2 % a favor en la junta de 2025 [20].</w:t>
      </w:r>
    </w:p>
    <w:p>
      <w:pPr>
        <w:pStyle w:val="Heading2"/>
      </w:pPr>
      <w:r>
        <w:t xml:space="preserve">Operaciones vinculadas, estructura de control y defensas</w:t>
      </w:r>
    </w:p>
    <w:p>
      <w:pPr>
        <w:spacing w:after="100"/>
      </w:pPr>
      <w:r>
        <w:t xml:space="preserve">Sin accionista de control: los mayores son Vanguard (9,7 %) y BlackRock (8,1 %); la familia Ryan, fundadora, conserva el 5,2 % [20]. Hay una pequeña clase de acciones preferentes acumulativas al 4,5 % sin peso en el voto. El consejo está escalonado (cada consejero se elige para tres años), una defensa clásica de las empresas de Pensilvania, y la ley de ese estado incluye protecciones contra tomas de control [20]. No hay operaciones vinculadas relevantes. Desde mayo de 2026 la presidencia es de un independiente y desaparece la figura de consejero coordinador [20, 23].</w:t>
      </w:r>
    </w:p>
    <w:p>
      <w:pPr>
        <w:pStyle w:val="Heading2"/>
      </w:pPr>
      <w:r>
        <w:t xml:space="preserve">Señales de alerta</w:t>
      </w:r>
    </w:p>
    <w:p>
      <w:pPr>
        <w:pStyle w:val="ListParagraph"/>
        <w:numPr>
          <w:ilvl w:val="0"/>
          <w:numId w:val="2"/>
        </w:numPr>
        <w:spacing w:after="60"/>
      </w:pPr>
      <w:r>
        <w:t xml:space="preserve">Consejo escalonado (mandatos de tres años) y ley antiopas de Pensilvania.</w:t>
      </w:r>
    </w:p>
    <w:p>
      <w:pPr>
        <w:pStyle w:val="ListParagraph"/>
        <w:numPr>
          <w:ilvl w:val="0"/>
          <w:numId w:val="2"/>
        </w:numPr>
        <w:spacing w:after="60"/>
      </w:pPr>
      <w:r>
        <w:t xml:space="preserve">Variable a largo plazo sin ROIC (margen y crecimiento de ventas) con una dirección que compra empresas.</w:t>
      </w:r>
    </w:p>
    <w:p>
      <w:pPr>
        <w:pStyle w:val="ListParagraph"/>
        <w:numPr>
          <w:ilvl w:val="0"/>
          <w:numId w:val="2"/>
        </w:numPr>
        <w:spacing w:after="60"/>
      </w:pPr>
      <w:r>
        <w:t xml:space="preserve">Ventas del ex consejero delegado (3,9 M en agosto de 2026) y ninguna compra relevante de directivos en 12 meses [21].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(31-jul-2026): crecimiento orgánico de un dígito medio, aportación de compras de un dígito medio y divisa de +1-2 puntos, es decir, ventas totales de dos cifras bajas; margen bruto ajustado del 47,5-48,5 %, gastos financieros de 40-43 M; tipo impositivo e ingresos por pensiones sin cambios [13]. La guía orgánica es la misma desde febrero de 2026; la total subió con Autronica. No hay plan a medio plazo publicado con cifras.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(7 analistas; BPA ajustado de la empresa)</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(7 analistas; BPA ajustado de la empresa)</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190,00 – 223,00</w:t>
            </w:r>
          </w:p>
        </w:tc>
      </w:tr>
    </w:tbl>
    <w:p>
      <w:pPr>
        <w:spacing w:after="160" w:before="0"/>
      </w:pPr>
    </w:p>
    <w:p>
      <w:pPr>
        <w:pStyle w:val="Heading2"/>
      </w:pPr>
      <w:r>
        <w:t xml:space="preserve">Revisiones de estimaciones</w:t>
      </w:r>
    </w:p>
    <w:p>
      <w:pPr>
        <w:spacing w:after="100"/>
      </w:pPr>
      <w:r>
        <w:t xml:space="preserve">El BPA ajustado de 2026 pasó de 8,88 USD hace 90 días a 9,07 (+2,2 %) y el de 2027 de 9,70 a 9,93 (+2,4 %), tras batir el consenso en el 2T26 (2,40 frente a 2,14) y por la incorporación de Autronica; en los últimos 30 días bajaron un 1 % [25]. Solo hay una fuente gratuita con estimaciones completas (Yahoo, 7 analistas); el objetivo y las recomendaciones se contrastan con Sure Dividend, que en agosto daba un valor razonable de 193 USD y Mantener [28]. El BPA del consenso es el ajustado de la empresa (sin amortización de intangibles comprados, diferencias de cambio, reestructuración ni costes de compras), unos 0,8 USD por encima del publicado en 2025 [25].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rentado un 9,8 % en un año frente al 16,9 % del S&amp;P 500 y un 5,1 % anual a cinco años frente al 13,0 %: el beneficio ajustado creció, pero el PER se comprimió desde más de 30 veces en 2019-2021 [24]. En 2026 va un 14,4 % arriba (máximo de 208,92 en febrero tras el 4T25, mínimo de 151,11 en noviembre de 2025) [24]. La mayor caída de un día (−7,2 % el 30-oct-2025) llegó tras los resultados del 3T25. Beta de 0,92 a cinco años, volatilidad del 25,5 % y caída máxima del 34,3 % entre jul-2024 y abr-2025 [24].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nuestro BPA normalizado (sin la responsabilidad por productos heredada), MSA cotizó al cierre de cada año entre 22 y 36 veces el beneficio del año siguiente en 2018-2022 y a ≈23 veces en 2022-2024; al cierre de 2025, a 19,3 veces nuestro BPA de 2026 y hoy a 19,6 veces el de 2027 (18,3 veces el BPA ajustado del consenso) [24, 25]. La compresión se explica por los tipos (bono a 10 años del 1,5 % al 5,2 %) y por un crecimiento orgánico bajo en 2024-2025, no por un deterioro de la calidad: el margen y el ROIC mejoraron. Los cierres de 2017, 2021 y 2023 se excluyen del EV/EBITDA porque el EBITDA de esos años lleva cargos de 129-219 M.</w:t>
      </w:r>
    </w:p>
    <w:p>
      <w:pPr>
        <w:pStyle w:val="Heading1"/>
      </w:pPr>
      <w:r>
        <w:t xml:space="preserve">18. Comparables cotizados</w:t>
      </w:r>
    </w:p>
    <w:p>
      <w:pPr>
        <w:pStyle w:val="Confianza"/>
        <w:spacing w:after="100"/>
      </w:pPr>
      <w:r>
        <w:t xml:space="preserve">Confianza: Media</w:t>
      </w:r>
    </w:p>
    <w:p>
      <w:pPr>
        <w:spacing w:after="100"/>
      </w:pPr>
      <w:r>
        <w:t xml:space="preserve">Seis cotizadas de seguridad y detección certificada: Dräger (SCBA y detección; la mitad es médica), Halma (detección y protección contra incendios), Avon Technologies (respiración y cascos), Ansell (EPI), Teledyne (detección de gas y llama dentro de instrumentación) y Fortive (instrumentación, antes dueña de Industrial Scientific). Fuera Honeywell (escisiones en curso que distorsionan las cifras), 3M (litigios y conglomerado) y Lakeland (pérdidas). Datos de Yahoo a 15-oct-2026, en USD; los PER son del BPA ajustado del consenso de cada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MSA Safety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Drägerwerk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Avon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Ansell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Teledyne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Fortive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17,7x / 20,2x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 / 20,0x / 22,6x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3,5x / 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215,59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MSA cotiza a 18,6 veces el BPA ajustado de los próximos 12 meses, por debajo de la mediana de los comparables (20,0 veces), con un margen EBITDA del 26,6 % frente al 20,8 % y un crecimiento de ventas similar si se descuentan las compras (6,5 % de mediana) [25]. El grupo es heterogéneo: Dräger (11,6 veces) arrastra un negocio médico de poco margen, y Halma y Teledyne (23 veces) son compradores en serie con crecimiento más alto. Quitando a Dräger, la mediana sube a 21,2 veces. El valor por PER de los próximos 12 meses es de 195,46 USD (176,94-219,83). Usamos el PER y no el EV/EBITDA de los próximos 12 meses porque no hay consenso de EBITDA de MSA [25].</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Autronica Fire and Security (Noruega)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MSA Safety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 M de ventas en 2025 con margen EBITDA ajustado del ≈20 % [10].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M&amp;C TechGroup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MSA Safety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múltiplo publicado; aportó 40,9 M de ventas en ocho meses de 2025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Bacharach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Detección de refrigerantes; múltiplo no publicado [1].</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Solo hay una operación con múltiplo publicado: Autronica, a 17,3 veces el EBITDA ajustado y 3,5 veces las ventas, por encima de los 14,4 veces el EBITDA de los últimos 12 meses a los que cotiza MSA [10]. Las compras de detección se pagan caras porque son negocios con recambios y servicio. MSA no es objetivo probable: sin accionista de control, pero con consejo escalonado y ley de Pensilvania, y con un valor de 8.000 M que solo encaja en Honeywell, 3M o un fondo grande. Las transacciones no pesan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(+11,3 %, fijo) sale de la guía de ventas totales de «dos cifras bajas»: un dígito medio orgánico (+3 % en el 1S26, con bomberos cargado al 2S), un dígito medio de compras (M&amp;C hasta mayo y Autronica desde julio, ≈80 M) y 1-2 puntos de divisa [3, 13]; queda en línea con el consenso (2.084 M) [25]. 2027e +8,5 %: 5 % orgánico con la renovación de SCBA por la nueva norma NFPA más la otra mitad del año de Autronica (≈3,5 puntos); el consenso pide 9,1 % [25]. Después, 5,5 % bajando al 3,5 %: el orgánico de 2016-2025 fue de ≈4 % y el TCAC total del 5,6 % con compras [9].</w:t>
      </w:r>
    </w:p>
    <w:p>
      <w:pPr>
        <w:keepNext/>
        <w:spacing w:after="100"/>
      </w:pPr>
      <w:r>
        <w:rPr>
          <w:b/>
          <w:bCs/>
        </w:rPr>
        <w:t xml:space="preserve">Márgenes.</w:t>
      </w:r>
    </w:p>
    <w:p>
      <w:pPr>
        <w:spacing w:after="100"/>
      </w:pPr>
      <w:r>
        <w:t xml:space="preserve">Margen EBITDA publicado del 25,0 % en 2026 (23,7 % en 2025; 25,1 % en los últimos 12 meses, con ≈4 M de devolución de aranceles), 25,6 % en 2027 y 26,0 % después. El EBITDA ajustado de la empresa es ≈1,5 puntos más alto porque excluye diferencias de cambio, reestructuración y costes de compras, que en MSA se repiten. Autronica entra con un margen EBITDA ajustado del ≈20 % y diluye; las sinergias y el precio lo compensan [10]. El bajista lo baja 2 puntos; el alcista lo sube 1.</w:t>
      </w:r>
    </w:p>
    <w:p>
      <w:pPr>
        <w:keepNext/>
        <w:spacing w:after="100"/>
      </w:pPr>
      <w:r>
        <w:rPr>
          <w:b/>
          <w:bCs/>
        </w:rPr>
        <w:t xml:space="preserve">Inversión y circulante.</w:t>
      </w:r>
    </w:p>
    <w:p>
      <w:pPr>
        <w:spacing w:after="100"/>
      </w:pPr>
      <w:r>
        <w:t xml:space="preserve">Amortización del 4,1-4,2 % de las ventas en 2026-2027 (3,8 % en 2025, más los intangibles de Autronica) bajando al 3,8 %; capex del 3,2 % en 2026 (2,4 % en el 1S26) subiendo al 3,8 % para igualar la amortización al final [1, 3]. Circulante comercial del 28 % de las ventas (28,7 % en 2025). Tipo impositivo del 23,5-24 % (23,9 % en 2025). La compra de Autronica (555 M) no está en el capex: va en el puente como otros ajustes, porque se pagó después del balance de junio [11].</w:t>
      </w:r>
    </w:p>
    <w:p>
      <w:pPr>
        <w:keepNext/>
        <w:spacing w:after="100"/>
      </w:pPr>
      <w:r>
        <w:rPr>
          <w:b/>
          <w:bCs/>
        </w:rPr>
        <w:t xml:space="preserve">Coste del capital.</w:t>
      </w:r>
    </w:p>
    <w:p>
      <w:pPr>
        <w:spacing w:after="100"/>
      </w:pPr>
      <w:r>
        <w:t xml:space="preserve">Tasa libre del 5,21 % (bono del Tesoro a 10 años, 13-oct-2026) [26]. Beta de 0,92: mensual a cinco años frente al S&amp;P 500; coincide con un negocio defensivo pero no de servicio público [24]. Prima de mercado del 5,5 %, sin prima adicional. Coste de la deuda antes de impuestos del 5,0 % (revolving al 4,31 % y colocaciones privadas al 2,69-5,25 %) con un peso del 12 % (deuda neta pro forma de ≈955 M frente a 7.023 M de capitalización) [2]. WACC del 9,49 %. Con la prima implícita del mercado (4,2 %), el DCF sube a 145,58 USD.</w:t>
      </w:r>
    </w:p>
    <w:p>
      <w:pPr>
        <w:keepNext/>
        <w:spacing w:after="100"/>
      </w:pPr>
      <w:r>
        <w:rPr>
          <w:b/>
          <w:bCs/>
        </w:rPr>
        <w:t xml:space="preserve">Valor terminal.</w:t>
      </w:r>
    </w:p>
    <w:p>
      <w:pPr>
        <w:spacing w:after="100"/>
      </w:pPr>
      <w:r>
        <w:t xml:space="preserve">Gordon con un crecimiento del 2,5 %, entre la inflación esperada en dólares y la tasa libre menos medio punto, por debajo del 3,5 % del último año explícito. El terminal pesa el 67 % del valor. Implica un múltiplo de salida inferior al de los comparables (16,7 veces el EBITDA de los próximos 12 meses): con tipos del 5 %, un negocio que crece al 2,5 % no vale 16 veces el EBITDA en un DCF.</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144,69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M (7 %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 (reinvierte el 31 %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 (histórico: 23,0 %)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frente al 6,0 %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202 M, el 7 % del NOPAT, con un capex bruto medio del 3,6 % de las ventas). En un negocio de activos ligeros, el crecimiento medio del 6,0 %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(detección portátil, EPI industrial y cascos balísticos, menos bomberos y Oriente Medio) y precio +3 % («acciones de precio estratégicas» de 2025 y 2026); otros +6,3 %: compras (M&amp;C y Autronica) ≈5 puntos y divisa ≈1,3 [3,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con el inicio de la renovación de SCBA por la norma NFPA y la normalización de AFG; precio +2,5 %; otros +3,5 % por la otra mitad del año de Autronica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y precio +3 %, en línea con el orgánico histórico de ≈4-5 % en años normales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y precio +3 %.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+1,5 % y precio +3 %.</w:t>
            </w:r>
          </w:p>
        </w:tc>
      </w:tr>
    </w:tbl>
    <w:p>
      <w:pPr>
        <w:spacing w:after="160" w:before="0"/>
      </w:pPr>
    </w:p>
    <w:p>
      <w:pPr>
        <w:spacing w:after="100"/>
      </w:pPr>
      <w:r>
        <w:t xml:space="preserve">Sí. El crecimiento medio proyectado (6,0 %) supera en 0,7 puntos al que financia la reinversión al ROIC actual (5,3 %), pero la diferencia es Autronica, que ya está pagada y restada en el puente (555 M); el orgánico proyectado (≈4,5 % en 2027-2030) es el histórico y el rendimiento que pide a la reinversión (21,7 %) está por debajo del ROIC incremental histórico (23,0 %). Lo sostienen los costes de cambio de las flotas de SCBA, las normas que obligan a renovar equipos y un poder de precios demostrado (margen bruto del 44 % en 2022 al 48,5 % en el 1S26). La prueba de cuota se hace a mano: el mercado definido (≈8.750 M) no incluye el EPI industrial, así que se deja sin mercado final; con las ventas de detección y bomberos creciendo como el mercado (5 %), la cuota no cambia.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16,6 % (base: 5,2 %)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35,0 % (base: 26,0 %)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 (WACC: 9,5 %)</w:t>
            </w:r>
          </w:p>
        </w:tc>
      </w:tr>
    </w:tbl>
    <w:p>
      <w:pPr>
        <w:spacing w:after="160" w:before="0"/>
      </w:pPr>
    </w:p>
    <w:p>
      <w:pPr>
        <w:spacing w:after="100"/>
      </w:pPr>
      <w:r>
        <w:t xml:space="preserve">El DCF da 119,95 USD por acción, un 33,9 % por debajo del precio, con un WACC del 9,49 % y el terminal pesando el 67 %. El DCF inverso explica por qué: para justificar 181,57 USD con nuestro margen, las ventas tendrían que crecer un 16,6 % al año entre 2027 y 2032 (proyectamos un 5,2 %), o con nuestras ventas el margen EBITDA tendría que llegar al 35 % (proyectamos un 26 %). Dicho de otro modo, a este precio la acción ofrece una rentabilidad implícita del 7,4 % anual, por debajo de su coste del capital (9,49 %) y apenas 2,2 puntos sobre el bono del Tesoro. Con la prima implícita del mercado (4,2 %), el valor sube a 145,58 USD, todavía un 20 % por debajo del precio. El mercado paga a MSA como un activo de calidad escaso, con un múltiplo que se apoya en su historia y no en la caja.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de bomberos siguen retrasados por el presupuesto federal, Oriente Medio frena la detección fija y una recesión industrial en 2027-2028 baja el volumen: el crecimiento queda 3 puntos por debajo del base y el margen 2 puntos, como en 2020, cuando las ventas cayeron un 3,8 %.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un dígito medio con la renovación de SCBA por la nueva norma NFPA desde 2027, Autronica integrada con margen creciente y precio por encima de la inflación: ventas de 2.389 M en 2028 con un margen EBITDA del 26 %.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renovación de SCBA coincide con un buen ciclo de AFG, la detección conectada (MSA+) y los refrigerantes A2L aceleran detección y Autronica gana proyectos fuera de Noruega: 1,5 puntos más de crecimiento y 1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81,5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115,31 USD (-36,5 %).</w:t>
      </w:r>
    </w:p>
    <w:p>
      <w:pPr>
        <w:spacing w:after="100"/>
      </w:pPr>
      <w:r>
        <w:t xml:space="preserve">Los tres escenarios del DCF quedan por debajo del precio (86,86-134,49 USD): incluso el alcista pierde un 25,9 %, porque la diferencia con el mercado es de tasa de descuento y de múltiplo terminal, no de cifras. A 12 meses la asimetría es favorable (bajista 149,11 USD, −16,7 %; alcista 291,14, +61,5 %), pero solo porque la regla de múltiplos parte de la historia de PER de MSA (mediana de 23,4 veces). Las dos lecturas son incompatibles y la recomendación tiene que conciliarlas: el precio puede subir si el mercado sigue pagando la historia, pero no hay margen de seguridad en el valor.</w:t>
      </w:r>
    </w:p>
    <w:p>
      <w:pPr>
        <w:pStyle w:val="Heading1"/>
      </w:pPr>
      <w:r>
        <w:t xml:space="preserve">22. Suma de partes</w:t>
      </w:r>
    </w:p>
    <w:p>
      <w:pPr>
        <w:pStyle w:val="Confianza"/>
        <w:spacing w:after="100"/>
      </w:pPr>
      <w:r>
        <w:t xml:space="preserve">Confianza: Media</w:t>
      </w:r>
    </w:p>
    <w:p>
      <w:pPr>
        <w:spacing w:after="100"/>
      </w:pPr>
      <w:r>
        <w:t xml:space="preserve">No aplica: detección, bomberos y EPI industrial comparten marca, plantas, canal y área de I+D, y la empresa solo publica el resultado por geografía (Americas e International), no por familia de producto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81,5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141,21 USD (-22,2 % sobre 181,57).</w:t>
      </w:r>
    </w:p>
    <w:p>
      <w:pPr>
        <w:spacing w:after="100"/>
      </w:pPr>
      <w:r>
        <w:t xml:space="preserve">Damos el 40 % al DCF porque la caja de MSA es previsible y es la medida más honesta del valor con tipos del 5 %; el 30 % a los comparables (PER de los próximos 12 meses), porque reflejan lo que el mercado paga hoy por negocios parecidos; y el 30 % a los escenarios. Las transacciones no pesan: solo Autronica tiene múltiplo publicado. La dispersión es grande y sistemática: comparables 195,46 USD frente a DCF 119,95 y escenarios 115,31. El valor intrínseco de 141,21 USD queda un 22,2 % por debajo del precio. Esa distancia no es un error de cifras (nuestro BPA coincide con el consenso en base comparable), sino el precio de la calidad: el mercado descuenta un 7,4 % de rentabilidad anual por una empresa sin sorpresas.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(19.6x) a mitad de camino hacia la mediana de 5 años (23.4x)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+61,5 %</w:t>
            </w:r>
          </w:p>
        </w:tc>
      </w:tr>
    </w:tbl>
    <w:p>
      <w:pPr>
        <w:spacing w:after="160" w:before="0"/>
      </w:pPr>
    </w:p>
    <w:p>
      <w:pPr>
        <w:spacing w:after="100"/>
      </w:pPr>
      <w:r>
        <w:rPr>
          <w:b/>
          <w:bCs/>
        </w:rPr>
        <w:t xml:space="preserve">Objetivo a 12 meses (ponderado):</w:t>
      </w:r>
      <w:r>
        <w:t xml:space="preserve"> 219,63 USD · rentabilidad +22,1 % (base +21,9 %) · señal Mantener.</w:t>
      </w:r>
    </w:p>
    <w:p>
      <w:pPr>
        <w:spacing w:after="100"/>
      </w:pPr>
      <w:r>
        <w:t xml:space="preserve">Para comparar, con la regla v2 (historia al cierre, mismo precio): 16,7x / 19,6x / 25,5x, 15,4 %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 (9,25 USD) está un 6,9 % por debajo del consenso (9,93), pero el consenso es el BPA ajustado de la empresa, que suma la amortización de intangibles comprados (≈25 M al año con Autronica), las diferencias de cambio, la reestructuración y los costes de compras: ≈0,7 USD por acción. En base comparable coincidimos; nuestras ventas de 2027 (2.264 M) están un 0,4 % por debajo de las suyas (2.274 M). Nuestro precio base a 12 meses (219,14 USD) queda un 4,8 % por encima del objetivo medio de los analistas (209,14), porque la regla deja subir el PER de 19,6 a 21,4 veces, hacia su mediana de cinco años.</w:t>
      </w:r>
    </w:p>
    <w:p>
      <w:pPr>
        <w:keepNext/>
        <w:spacing w:after="100"/>
      </w:pPr>
      <w:r>
        <w:rPr>
          <w:b/>
          <w:bCs/>
        </w:rPr>
        <w:t xml:space="preserve">Del valor intrínseco al objetivo a 12 meses.</w:t>
      </w:r>
    </w:p>
    <w:p>
      <w:pPr>
        <w:spacing w:after="100"/>
      </w:pPr>
      <w:r>
        <w:t xml:space="preserve">El objetivo a 12 meses (219,63 USD) queda un 55,5 % por encima del valor intrínseco (141,21). Es una distancia anómala y en sentido contrario al habitual: el objetivo supone que el mercado siga pagando a MSA entre 21 y 26 veces el beneficio, como en 2018-2024, mientras que el DCF con un bono al 5,2 % dice que ese múltiplo no se sostiene con la caja. La regla de decisión exige las dos cosas, y no se cumple la segunda. Lo que cerraría la distancia por el lado bueno sería una bajada de tipos (con un WACC del 8,5 % el DCF sube a 144,09 USD, un 20 % más) o una aceleración del orgánico con la renovación de SCBA en 2027; por el lado malo, una compresión del PER hacia 17 veces.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(primer trimestre con Autronica)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bomberos tras AFG, margen sin devolución de aranceles y primera cifra de Autronica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orgánica de 2027 con la renovación de SCBA por la norma NFPA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Adjudicación de las subvenciones AFG de la convocatoria de 2026 (291,6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SCBA en EE. UU. para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del ciclo de renovación de SCBA por la nueva norma NFPA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Bomberos (34 % de las ventas) volvería a crecer a un dígito alto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dividendo número 57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Continuidad; poco efecto en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Primeras resoluciones en las demandas por PFAS contra Globe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acuerdo global podría costar decenas o cientos de millones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el mercado deja de pagar 20-25 veces el beneficio a una empresa que crece al 5 %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−17 % (bajista a 12 meses, PER de 17,1x)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y dividendo creciente sostienen la demanda de la acción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18 veces con el bono por encima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Retraso prolongado de las subvenciones AFG y de los presupuestos municipales de bomberos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aplazados no se pierden; renovación por norma en 2027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de bomberos negativas en el 3T26 y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Demandas por PFAS en los trajes de Globe (21.372 reclamaciones sin provisión)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−10 % según el acuerdo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Seguros e indemnizaciones de los fabricantes de tejidos; fase inicial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Provisión o acuerdo en un 10-Q; certificación de una demanda colectiva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 de neumoconiosis de MSA LLC que vuelve a MSA si el comprador (R&amp;Q y Obra) no puede pagar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−20 % (provisión de 395 M en 2022)</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Indemnización sin límite y opinión de solvencia independiente en la venta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transmisión fraudulenta o insolvencia de MSA LLC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de Autronica y compras caras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complementario en detección fija con flujo libre positivo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International por debajo del 13 %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coste de la electrónica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(1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y fabricación en EE. UU. y México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ajustado por debajo del 47 %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Oriente Medio y ciclo de la energía en detección fija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Oriente Medio es un porcentaje de un dígito medio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Detección de International con caídas de dos cifras dos trimestres más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Fallo grave de un producto en un incendio o una retirada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Reputación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Certificaciones NFPA y control de calidad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Retirada en la NIOSH o la CPSC</w:t>
            </w:r>
          </w:p>
        </w:tc>
      </w:tr>
    </w:tbl>
    <w:p>
      <w:pPr>
        <w:spacing w:after="160" w:before="0"/>
      </w:pPr>
    </w:p>
    <w:p>
      <w:pPr>
        <w:pStyle w:val="Heading2"/>
      </w:pPr>
      <w:r>
        <w:t xml:space="preserve">Pre-mortem</w:t>
      </w:r>
    </w:p>
    <w:p>
      <w:pPr>
        <w:spacing w:after="100"/>
      </w:pPr>
      <w:r>
        <w:t xml:space="preserve">Es octubre de 2029 y la acción vale 110 USD. Lo que pasó: el bono a 10 años siguió por encima del 5 % y el mercado dejó de pagar 20 veces el beneficio por empresas de calidad que crecen poco. MSA cumplió a medias: la renovación de SCBA por la nueva norma NFPA se repartió en cuatro años en vez de dos, porque los cuerpos de bomberos esperaron las subvenciones AFG, que el Congreso recortó en 2027. Autronica creció menos de lo previsto en energía y marina, y su margen no pasó del 20 %. En 2028 un jurado condenó a Globe en el primer juicio por PFAS y la empresa dotó 150 M para un acuerdo global. El BPA de 2028 fue de 9 USD en vez de 10,24 y el PER bajó a 15 veces, cerca del mínimo de Dräger y Ansell. Lo habrían anticipado: dos trimestres con bomberos en negativo después de la adjudicación de AFG, el margen de International por debajo del 13 % con Autronica y la primera provisión por PFAS en un 10-Q.</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Oportunidad · </w:t>
      </w:r>
      <w:r>
        <w:rPr>
          <w:b/>
          <w:bCs/>
        </w:rPr>
        <w:t xml:space="preserve">Efecto en valor (3-5 años):</w:t>
      </w:r>
      <w:r>
        <w:t xml:space="preserve"> +2 % a +3 %</w:t>
      </w:r>
    </w:p>
    <w:p>
      <w:pPr>
        <w:spacing w:after="100"/>
      </w:pPr>
      <w:r>
        <w:t xml:space="preserve">La IA no sustituye un equipo de respiración certificado, un casco o un detector de gas: son productos físicos que exige la norma y cuyo valor está en la certificación y la fiabilidad, no en la información. Toca a la parte de servicio y software (MSA+, FireGrid, detección conectada), una porción pequeña de las ventas, donde la IA permite análisis de exposición, mantenimiento predictivo y alertas, que MSA puede cobrar sobre su base instalada. En costes, puede mejorar el diseño y la fabricación (I+D del 3,5 % de las ventas). La amenaza sería que plataformas de visión artificial o de sensores baratos con IA hicieran menos necesaria la detección portátil en algunos usos; lo vemos lejano por la certificación ATEX. Señal: crecimiento de los ingresos recurrentes de MSA+ y aparición de rivales de software en concursos de detección.</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las cifras es la responsabilidad por producto: el pasivo heredado de la minería costó más de 600 M entre cargos y la aportación a MSA LLC (2017-2023), y ahora las demandas por PFAS en trajes de bomberos de Globe (21.372 reclamaciones) [1]. El segundo asunto es la seguridad de sus propios productos (retiradas, fallos de SCBA en incendios): un fallo grave afectaría a la marca en un mercado de concursos públicos. Los PFAS también son una oportunidad: trajes sin PFAS y nuevas normas obligan a renovar equipos.</w:t>
      </w:r>
    </w:p>
    <w:p>
      <w:pPr>
        <w:pStyle w:val="Heading2"/>
      </w:pPr>
      <w:r>
        <w:t xml:space="preserve">Controversias</w:t>
      </w:r>
    </w:p>
    <w:p>
      <w:pPr>
        <w:spacing w:after="100"/>
      </w:pPr>
      <w:r>
        <w:t xml:space="preserve">Demandas por PFAS contra Globe desde 2024 (1.288 a feb-2026 y 1.222 a jul-2026), sin resolución [1]. Venta de MSA LLC en 2023 criticada por abogados de demandantes como forma de aislar el pasivo de la neumoconiosis; no consta litigio de transmisión fraudulenta en las cuentas [1]. Sin sanciones relevantes en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Autronica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margen y amortización de intangibles aporta Autronica en 2026 y 2027, y qué sinergias cuantifican?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un tercio del crecimiento de 2026-2027 y la dilución del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Bomberos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flota de SCBA de EE. UU. tendrá que renovarse con la nueva norma NFPA y en qué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Bomberos es el 34 % de las ventas y la renovación decide el orgánico de 2027-2029.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coberturas de seguro e indemnizaciones de los fabricantes de tejidos tiene Globe frente a las 21.372 reclamaciones?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mayor pasivo sin provisión.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MSA LLC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capital y reaseguro tiene hoy MSA LLC tras los problemas de R&amp;Q, y qué recurso tendrían los demandantes contra MSA?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pasivo de 395 M salió del balance en 2023; si volviera, cambia el valor un 10-20 %.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variable a largo plazo no mide el ROIC con una estrategia de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Premia crecer y el margen ajustado, no el rendimiento del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recompra de 500 M piensan ejecutar con el apalancamiento a 1,8 veces?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BPA supone recompras de ≈1 % al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suman las devoluciones de aranceles IEEPA en 2026 y si habrá más?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Inflan el margen bruto del 2T26 en 80-100 puntos básicos.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Neutro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($MSA)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debate: resúmenes automáticos de resultados, señales de opciones y listas de «reyes del dividendo»; tras el 2T26 algún comentario sobre una cotización «muy controlada»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artículo de junio la ve como «receta de crecimiento» por detección y compras; otro de septiembre destaca el EPI industrial y ve bomberos y detección «mixtos» [30,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 y comentarios de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titulares subrayan que batió el BPA en 26 céntimos en el 2T26 y la subida de la guía total con Autronica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Blogs de dividendos (Dividend Power)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Aparece en las listas de «reyes del dividendo» por sus 56 años de subidas; se valora la seguridad del dividendo más que el crecimiento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creciente y calidad defensiva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56 años de subidas, pero la rentabilidad es solo del 1,2 % y la última subida fue del 1,9 %.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(Autronica) y crecimiento en detección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Autronica se pagó a 17,3 veces el EBITDA y sube la deuda neta a ≈1,8x; el informe la incluye con su coste.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Retraso de los pedidos de bomberos (AFG)</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2025-2026 (bomberos −9 % en 2025); la dirección espera la renovación por la norma NFPA en 2027.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Bate el consenso pero la acción no sube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anual de 5,1 % a cinco años frente al 13,0 % del S&amp;P 500: el mercado pagaba un PER alto que se ha ido comprimiendo.</w:t>
            </w:r>
          </w:p>
        </w:tc>
      </w:tr>
    </w:tbl>
    <w:p>
      <w:pPr>
        <w:spacing w:after="160" w:before="0"/>
      </w:pPr>
    </w:p>
    <w:p>
      <w:pPr>
        <w:spacing w:after="100"/>
      </w:pPr>
      <w:r>
        <w:t xml:space="preserve">Aporta poco: MSA se comenta como «rey del dividendo» y como defensiva, sin debate sobre la valoración. No hay euforia ni capitulación. Coincide con los analistas (5 de 7 en mantener) y con nuestra lectura: calidad reconocida a un precio que ya la recoge. El único tema que el informe debe vigilar es el retraso de los pedidos de bomberos, que está en los riesgos.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21 controles correctos y 2 explicados. Fuentes: 32 (16 primarias); citas distintas en el texto: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71,6 %: explica la causa (créditos fiscales, regularizaciones, mezcla de países) y no lo proyectes en el DCF. Explicación: El 71,6 % de 2023 se debe a los 70,4 M de impuestos por dar de baja el activo fiscal de la provisión de trauma acumulativo al vender MSA LLC; no se repite y el DCF usa el 24 %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Activo = pasivo + patrimonio (2019)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Activo 1781.8 frente a 1740: revisa si el patrimonio incluye minoritarios. Explicación: Diferencia de 41,8 M en 2019 en el XBRL de la SEC entre el activo total y la suma de pasivo total y patrimonio (incluye partidas fuera del pasivo exigible del concepto Liabilities); no afecta a los años que usa la valoración (2023-2025 cuadran).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28,0 % frente a 28,7 % real: genera una variación de circulante de 46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 fuentes (16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 6, 7, 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de MSA (no localizado en EDGAR); 2) búsqueda de MSCI y Sustainalytics para MSA Safety; 3) proxy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(mercado «muy fragmentado» sin cuotas); 2) resúmenes de Global Market Insights y Verified Market Research; 3) presentación de Autronica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EBIT del consenso; BPA de 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quoteSummary (solo BPA y ventas, dos ejercicios); 2) MarketScreener (no carga sin JavaScript); 3) Stock Analysis (solo ventas y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M&amp;C, Bacharach y operaciones de terceros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y 2021 (sin EBITDA de las compradas); 2) notas de prensa de las compras;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quoteSummary; 2) FINRA (sin acceso directo); 3) Stock Analysis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segmentos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Americas e International de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(solo 2023-2025); 2) XBRL companyfacts (sin segmentos); 3) notas de resultados 2025 (solo trimestres)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anuales auditadas, segmentos, contingencias, desinversión de MSA LLC)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MSA Safety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https://www.sec.gov/Archives/edgar/data/66570/000006657026000005/msa-20251231.htm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2T26 (balance a 30-jun-2026, deuda, PFAS, hecho posterior: Autronica)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MSA Safety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https://www.sec.gov/Archives/edgar/data/66570/000006657026000027/msa-20260630.htm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 Announces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https://www.sec.gov/Archives/edgar/data/66570/000006657026000025/ex991-earningspressrelease.htm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 Announces First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https://www.sec.gov/Archives/edgar/data/66570/000006657026000010/ex991-earningspressrelease.htm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 Announces Fourth Quarter and Full-Year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https://www.sec.gov/Archives/edgar/data/66570/000006657026000002/ex991-q42025earningspr.htm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 Announces Third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https://www.sec.gov/Archives/edgar/data/66570/000006657025000039/ex991-earningspressrelease.htm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 Announces Second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https://www.sec.gov/Archives/edgar/data/66570/000006657025000027/ex991-earningspressrelease.htm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 Announces First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https://www.sec.gov/Archives/edgar/data/66570/000006657025000013/ex991-earningspressrelease.htm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de MSA Safety (CIK 66570): cuenta, balance y flujos 2016-2025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https://data.sec.gov/api/xbrl/companyfacts/CIK0000066570.json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 to Acquire Autronica Fire and Security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https://www.sec.gov/Archives/edgar/data/66570/000114036126019007/ny20072200x1_ex99-1.htm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 Completes Acquisition of Autronica Fire and Security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https://www.sec.gov/Archives/edgar/data/66570/000006657026000019/exhibit991-autronicaacquis.htm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 Announces Share Repurchase Program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https://www.sec.gov/Archives/edgar/data/66570/000006657026000007/exhibit991-sharerepurchase.htm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 (MSA)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(transcripción de terceros)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https://www.webull.com/news/15364816049169408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 Detector Market Size (2025: 4.100 M USD; TCAC 5,2 % 2026-2035)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https://www.gminsights.com/industry-analysis/gas-detector-market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 Detection Equipment Market (2025: 3.110 M USD; TCAC 5,3 % hasta 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Data Forecast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https://www.marketdataforecast.com/market-reports/gas-detection-equipment-market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Supplied Air Respirators (SCBA) Market (2025: 1.650 M USD; TCAC 6,0 % hasta 2033)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Verified Market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https://www.verifiedmarketresearch.com/product/supplied-air-respirators-scba-market/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Washington Update – March 6 (presupuesto de DHS 2026, AFG y FEMA 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Association of Fire Chiefs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https://www.iafc.org/blogs/blog/iafc/2026/03/09/the-washington-update-march-6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FEMA: convocatoria de Assistance to Firefighters Grants por 291,6 M USD (19-may a 22-jun-2026)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FEMA (GovDelivery)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https://content.govdelivery.com/accounts/USDHSFEMA/bulletins/41755bc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datos financieros de Dräger, Halma, Avon, Ansell, Teledyne y Fortive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https://www.sec.gov/Archives/edgar/data/66570/000119312526125902/d39378ddef14a.htm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MSA Safety (oct-2025 a oct-2026), resumen con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https://www.sec.gov/cgi-bin/browse-edgar?action=getcompany&amp;CIK=0000066570&amp;type=4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Octavio Marquez Elected to MSA Safety Board of Directors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https://www.sec.gov/Archives/edgar/data/66570/000006657026000022/ex991-marquezdirectorelect.htm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Robert Bruggeworth elected Chairman of MSA Safety Inc.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Qorvo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https://qorvo.com/newsroom/news/2026/robert-bruggeworth-elected-chairman-of-msa-safety-inc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(MSA, SPY, XLI) con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https://finance.yahoo.com/quote/MSA/history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consenso de MSA (7 analistas de BPA, objetivo 209,14) y datos de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https://finance.yahoo.com/quote/MSA/analysis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 informe de Sure Dividend (5-ago-2026)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Sure Dividend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https://www.suredividend.com/wp-content/uploads/2026/08/MSA-2026-08-05.pdf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$MSA (API pública de mensajes)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https://api.stocktwits.com/api/2/streams/symbol/MSA.json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y artículos de MSA (RSS, jun-oct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https://seekingalpha.com/symbol/MSA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Safety: A Recipe For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https://seekingalpha.com/article/4915113-msa-safety-a-recipe-for-growth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2026 Dividend Kings: A Complete List and Analysis (actualizado 07-oct-2026)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 Power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https://www.dividendpower.org/dividend-kings-list/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88,9 %</w:t>
      </w:r>
      <w:r>
        <w:t xml:space="preserve"> · Secciones con menos del 60 % de campos cubiertos: </w:t>
      </w:r>
      <w:r>
        <w:rPr>
          <w:b/>
          <w:bCs/>
        </w:rPr>
        <w:t xml:space="preserve">ninguna</w:t>
      </w:r>
      <w:r>
        <w:t xml:space="preserve"> · Generado el 15 oct 2026.</w:t>
      </w:r>
    </w:p>
    <w:p>
      <w:pPr>
        <w:pStyle w:val="Nota"/>
        <w:spacing w:after="100"/>
      </w:pPr>
      <w:r>
        <w:t xml:space="preserve">Cuentas del XBRL de la SEC (10-K 2016-2025) comprobadas con el 10-K 2025, el 10-Q del 2T26 y seis notas de resultados trimestrales (1T25-2T26); el patrimonio de 2022-2025 y las recompras salen de otros conceptos del mismo XBRL. Segmentos (Americas, International) solo de 2023-2025, los que trae el 10-K 2025; no se leyeron los 10-K anteriores. El precio es el cierre del 14-oct-2026 (181,57 USD): la sesión del 15-oct no había cerrado a la hora del corte. Acciones: 38,60 M en circulación a 30-jun-2026 más ≈0,08 M de dilución (38,68 M). El puente es el balance de 30-jun-2026 más el pago de Autronica (555 M, 9-jul-2026) como otros ajustes; las recompras del 3T no se conocen hasta el 27-oct. El consenso sale de Yahoo Finance (7 analistas, dos ejercicios, BPA ajustado de la empresa) y no hay consenso gratuito de EBITDA ni de 2028. Comparables de un solo proveedor (Yahoo), con el precio de Halma y Avon pasado de peniques y el de Ansell de AUD a USD. Transcripción de la conferencia del 2T26 de un tercero (Webull). Tamaño de mercado de resúmenes públicos de informes de pago. Origen de la idea: compra de Giverny Capital en el 2T26 (13F) según el encargo; no lo hemos comprobado en el 13F.</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MSA Safety Incorporated (MSA)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181,57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(151,11 – 208,92)</c:v>
                </c:pt>
                <c:pt idx="1">
                  <c:v>Precio objetivo de los analistas (190,00 – 223,00)</c:v>
                </c:pt>
                <c:pt idx="2">
                  <c:v>Comparables: PER NTM (176,94 – 219,83)</c:v>
                </c:pt>
                <c:pt idx="3">
                  <c:v>DCF (WACC y g ± 0,5) (104,41 – 140,61)</c:v>
                </c:pt>
                <c:pt idx="4">
                  <c:v>Escenarios (bajista – alcista) (86,86 – 134,49)</c:v>
                </c:pt>
                <c:pt idx="5">
                  <c:v>DCF con la prima implícita del mercado (4,2 %)</c:v>
                </c:pt>
                <c:pt idx="6">
                  <c:v>Precio actual (181,57)</c:v>
                </c:pt>
              </c:strCache>
            </c:strRef>
          </c:cat>
          <c:val>
            <c:numRef>
              <c:f>Hoja1!$B$2:$B$8</c:f>
              <c:numCache>
                <c:formatCode>#,##0</c:formatCode>
                <c:ptCount val="7"/>
                <c:pt idx="0">
                  <c:v>151.11</c:v>
                </c:pt>
                <c:pt idx="1">
                  <c:v>190</c:v>
                </c:pt>
                <c:pt idx="2">
                  <c:v>176.94</c:v>
                </c:pt>
                <c:pt idx="3">
                  <c:v>104.41</c:v>
                </c:pt>
                <c:pt idx="4">
                  <c:v>86.86</c:v>
                </c:pt>
                <c:pt idx="5">
                  <c:v>132.35</c:v>
                </c:pt>
                <c:pt idx="6">
                  <c:v>180.66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(151,11 – 208,92)</c:v>
                </c:pt>
                <c:pt idx="1">
                  <c:v>Precio objetivo de los analistas (190,00 – 223,00)</c:v>
                </c:pt>
                <c:pt idx="2">
                  <c:v>Comparables: PER NTM (176,94 – 219,83)</c:v>
                </c:pt>
                <c:pt idx="3">
                  <c:v>DCF (WACC y g ± 0,5) (104,41 – 140,61)</c:v>
                </c:pt>
                <c:pt idx="4">
                  <c:v>Escenarios (bajista – alcista) (86,86 – 134,49)</c:v>
                </c:pt>
                <c:pt idx="5">
                  <c:v>DCF con la prima implícita del mercado (4,2 %)</c:v>
                </c:pt>
                <c:pt idx="6">
                  <c:v>Precio actual (181,57)</c:v>
                </c:pt>
              </c:strCache>
            </c:strRef>
          </c:cat>
          <c:val>
            <c:numRef>
              <c:f>Hoja1!$C$2:$C$8</c:f>
              <c:numCache>
                <c:formatCode>#,##0</c:formatCode>
                <c:ptCount val="7"/>
                <c:pt idx="0">
                  <c:v>57.809999999999974</c:v>
                </c:pt>
                <c:pt idx="1">
                  <c:v>33</c:v>
                </c:pt>
                <c:pt idx="2">
                  <c:v>42.890000000000015</c:v>
                </c:pt>
                <c:pt idx="3">
                  <c:v>36.20000000000002</c:v>
                </c:pt>
                <c:pt idx="4">
                  <c:v>47.63000000000001</c:v>
                </c:pt>
                <c:pt idx="5">
                  <c:v>28.909999999999997</c:v>
                </c:pt>
                <c:pt idx="6">
                  <c:v>1.8199999999999932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Americas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1235.6</c:v>
                </c:pt>
                <c:pt idx="1">
                  <c:v>1246.6</c:v>
                </c:pt>
                <c:pt idx="2">
                  <c:v>1261.8</c:v>
                </c:pt>
              </c:numCache>
            </c:numRef>
          </c:val>
        </c:ser>
        <c:ser>
          <c:idx val="1"/>
          <c:order val="1"/>
          <c:tx>
            <c:strRef>
              <c:f>Hoja1!$C$1</c:f>
              <c:strCache>
                <c:ptCount val="1"/>
                <c:pt idx="0">
                  <c:v>International</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552.1</c:v>
                </c:pt>
                <c:pt idx="1">
                  <c:v>561.5</c:v>
                </c:pt>
                <c:pt idx="2">
                  <c:v>613</c:v>
                </c:pt>
              </c:numCache>
            </c:numRef>
          </c:val>
        </c:ser>
        <c:ser>
          <c:idx val="2"/>
          <c:order val="2"/>
          <c:tx>
            <c:strRef>
              <c:f>Hoja1!$D$1</c:f>
              <c:strCache>
                <c:ptCount val="1"/>
                <c:pt idx="0">
                  <c:v>Corporativo y partidas no asignadas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Americas</c:v>
                </c:pt>
                <c:pt idx="1">
                  <c:v>International</c:v>
                </c:pt>
                <c:pt idx="2">
                  <c:v>Corporativo y partidas no asignadas</c:v>
                </c:pt>
              </c:strCache>
            </c:strRef>
          </c:cat>
          <c:val>
            <c:numRef>
              <c:f>Hoja1!$B$2:$B$4</c:f>
              <c:numCache>
                <c:formatCode>General</c:formatCode>
                <c:ptCount val="3"/>
                <c:pt idx="0">
                  <c:v>67.3</c:v>
                </c:pt>
                <c:pt idx="1">
                  <c:v>32.7</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EE. UU. (por origen)</c:v>
                </c:pt>
                <c:pt idx="1">
                  <c:v>Resto del mundo (por origen)</c:v>
                </c:pt>
              </c:strCache>
            </c:strRef>
          </c:cat>
          <c:val>
            <c:numRef>
              <c:f>Hoja1!$B$2:$B$3</c:f>
              <c:numCache>
                <c:formatCode>0"%"</c:formatCode>
                <c:ptCount val="2"/>
                <c:pt idx="0">
                  <c:v>50.3</c:v>
                </c:pt>
                <c:pt idx="1">
                  <c:v>49.7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(detección de gas + SCBA + sistemas de incendio y gas))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2023</c:v>
                </c:pt>
                <c:pt idx="1">
                  <c:v>2024</c:v>
                </c:pt>
                <c:pt idx="2">
                  <c:v>2025</c:v>
                </c:pt>
                <c:pt idx="3">
                  <c:v>2026e</c:v>
                </c:pt>
                <c:pt idx="4">
                  <c:v>2027e</c:v>
                </c:pt>
                <c:pt idx="5">
                  <c:v>2028e</c:v>
                </c:pt>
                <c:pt idx="6">
                  <c:v>2030e</c:v>
                </c:pt>
              </c:strCache>
            </c:strRef>
          </c:cat>
          <c:val>
            <c:numRef>
              <c:f>Hoja1!$B$2:$B$8</c:f>
              <c:numCache>
                <c:formatCode>#,##0</c:formatCode>
                <c:ptCount val="7"/>
                <c:pt idx="0">
                  <c:v>7950</c:v>
                </c:pt>
                <c:pt idx="1">
                  <c:v>8340</c:v>
                </c:pt>
                <c:pt idx="2">
                  <c:v>8750</c:v>
                </c:pt>
                <c:pt idx="3">
                  <c:v>9200</c:v>
                </c:pt>
                <c:pt idx="4">
                  <c:v>9680</c:v>
                </c:pt>
                <c:pt idx="5">
                  <c:v>10180</c:v>
                </c:pt>
                <c:pt idx="6">
                  <c:v>11260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MSA Safety</c:v>
                </c:pt>
                <c:pt idx="1">
                  <c:v>Drägerwerk (seguridad)</c:v>
                </c:pt>
                <c:pt idx="2">
                  <c:v>Honeywell (Industrial Automation, seguridad)</c:v>
                </c:pt>
                <c:pt idx="3">
                  <c:v>3M (Scott Safety)</c:v>
                </c:pt>
                <c:pt idx="4">
                  <c:v>Teledyne (Gas &amp; Flame Detection)</c:v>
                </c:pt>
                <c:pt idx="5">
                  <c:v>Halma (Crowcon y protección contra incendios)</c:v>
                </c:pt>
                <c:pt idx="6">
                  <c:v>Avon Technologies</c:v>
                </c:pt>
              </c:strCache>
            </c:strRef>
          </c:cat>
          <c:val>
            <c:numRef>
              <c:f>Hoja1!$B$2:$B$8</c:f>
              <c:numCache>
                <c:formatCode>0.0"%"</c:formatCode>
                <c:ptCount val="7"/>
                <c:pt idx="0">
                  <c:v>19.8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Hoja1!$B$2:$B$18</c:f>
              <c:numCache>
                <c:formatCode>#,##0</c:formatCode>
                <c:ptCount val="17"/>
                <c:pt idx="0">
                  <c:v>1149.5</c:v>
                </c:pt>
                <c:pt idx="1">
                  <c:v>1196.8</c:v>
                </c:pt>
                <c:pt idx="2">
                  <c:v>1358.1</c:v>
                </c:pt>
                <c:pt idx="3">
                  <c:v>1402</c:v>
                </c:pt>
                <c:pt idx="4">
                  <c:v>1348.2</c:v>
                </c:pt>
                <c:pt idx="5">
                  <c:v>1400.2</c:v>
                </c:pt>
                <c:pt idx="6">
                  <c:v>1528</c:v>
                </c:pt>
                <c:pt idx="7">
                  <c:v>1787.6</c:v>
                </c:pt>
                <c:pt idx="8">
                  <c:v>1808.1</c:v>
                </c:pt>
                <c:pt idx="9">
                  <c:v>1874.8</c:v>
                </c:pt>
                <c:pt idx="10">
                  <c:v>2087</c:v>
                </c:pt>
                <c:pt idx="11">
                  <c:v>2264</c:v>
                </c:pt>
                <c:pt idx="12">
                  <c:v>2389</c:v>
                </c:pt>
                <c:pt idx="13">
                  <c:v>2508</c:v>
                </c:pt>
                <c:pt idx="14">
                  <c:v>2621</c:v>
                </c:pt>
                <c:pt idx="15">
                  <c:v>2726</c:v>
                </c:pt>
                <c:pt idx="16">
                  <c:v>2821</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Hoja1!$C$2:$C$18</c:f>
              <c:numCache>
                <c:formatCode>#,##0</c:formatCode>
                <c:ptCount val="17"/>
                <c:pt idx="0">
                  <c:v>196</c:v>
                </c:pt>
                <c:pt idx="1">
                  <c:v>296.5</c:v>
                </c:pt>
                <c:pt idx="2">
                  <c:v>211.4</c:v>
                </c:pt>
                <c:pt idx="3">
                  <c:v>254.6</c:v>
                </c:pt>
                <c:pt idx="4">
                  <c:v>250.6</c:v>
                </c:pt>
                <c:pt idx="5">
                  <c:v>253.5</c:v>
                </c:pt>
                <c:pt idx="6">
                  <c:v>306.8</c:v>
                </c:pt>
                <c:pt idx="7">
                  <c:v>421.3</c:v>
                </c:pt>
                <c:pt idx="8">
                  <c:v>458.5</c:v>
                </c:pt>
                <c:pt idx="9">
                  <c:v>443.4</c:v>
                </c:pt>
                <c:pt idx="10">
                  <c:v>522</c:v>
                </c:pt>
                <c:pt idx="11">
                  <c:v>580</c:v>
                </c:pt>
                <c:pt idx="12">
                  <c:v>621</c:v>
                </c:pt>
                <c:pt idx="13">
                  <c:v>652</c:v>
                </c:pt>
                <c:pt idx="14">
                  <c:v>681</c:v>
                </c:pt>
                <c:pt idx="15">
                  <c:v>709</c:v>
                </c:pt>
                <c:pt idx="16">
                  <c:v>733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45.4</c:v>
                </c:pt>
                <c:pt idx="1">
                  <c:v>45</c:v>
                </c:pt>
                <c:pt idx="2">
                  <c:v>45.1</c:v>
                </c:pt>
                <c:pt idx="3">
                  <c:v>45.5</c:v>
                </c:pt>
                <c:pt idx="4">
                  <c:v>44.2</c:v>
                </c:pt>
                <c:pt idx="5">
                  <c:v>44</c:v>
                </c:pt>
                <c:pt idx="6">
                  <c:v>44.1</c:v>
                </c:pt>
                <c:pt idx="7">
                  <c:v>47.7</c:v>
                </c:pt>
                <c:pt idx="8">
                  <c:v>47.6</c:v>
                </c:pt>
                <c:pt idx="9">
                  <c:v>46.5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17.1</c:v>
                </c:pt>
                <c:pt idx="1">
                  <c:v>24.8</c:v>
                </c:pt>
                <c:pt idx="2">
                  <c:v>15.6</c:v>
                </c:pt>
                <c:pt idx="3">
                  <c:v>18.2</c:v>
                </c:pt>
                <c:pt idx="4">
                  <c:v>18.6</c:v>
                </c:pt>
                <c:pt idx="5">
                  <c:v>18.1</c:v>
                </c:pt>
                <c:pt idx="6">
                  <c:v>20.1</c:v>
                </c:pt>
                <c:pt idx="7">
                  <c:v>23.6</c:v>
                </c:pt>
                <c:pt idx="8">
                  <c:v>25.4</c:v>
                </c:pt>
                <c:pt idx="9">
                  <c:v>23.7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14</c:v>
                </c:pt>
                <c:pt idx="1">
                  <c:v>21.6</c:v>
                </c:pt>
                <c:pt idx="2">
                  <c:v>12.8</c:v>
                </c:pt>
                <c:pt idx="3">
                  <c:v>15.4</c:v>
                </c:pt>
                <c:pt idx="4">
                  <c:v>15.6</c:v>
                </c:pt>
                <c:pt idx="5">
                  <c:v>14.9</c:v>
                </c:pt>
                <c:pt idx="6">
                  <c:v>17</c:v>
                </c:pt>
                <c:pt idx="7">
                  <c:v>20.2</c:v>
                </c:pt>
                <c:pt idx="8">
                  <c:v>21.8</c:v>
                </c:pt>
                <c:pt idx="9">
                  <c:v>19.8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8</c:v>
                </c:pt>
                <c:pt idx="1">
                  <c:v>2.2</c:v>
                </c:pt>
                <c:pt idx="2">
                  <c:v>9.1</c:v>
                </c:pt>
                <c:pt idx="3">
                  <c:v>9.8</c:v>
                </c:pt>
                <c:pt idx="4">
                  <c:v>9.2</c:v>
                </c:pt>
                <c:pt idx="5">
                  <c:v>1.5</c:v>
                </c:pt>
                <c:pt idx="6">
                  <c:v>11.8</c:v>
                </c:pt>
                <c:pt idx="7">
                  <c:v>3.3</c:v>
                </c:pt>
                <c:pt idx="8">
                  <c:v>15.8</c:v>
                </c:pt>
                <c:pt idx="9">
                  <c:v>14.9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1.9</c:v>
                </c:pt>
                <c:pt idx="3">
                  <c:v>2.5</c:v>
                </c:pt>
                <c:pt idx="4">
                  <c:v>8.3</c:v>
                </c:pt>
                <c:pt idx="5">
                  <c:v>2.2</c:v>
                </c:pt>
                <c:pt idx="6">
                  <c:v>10</c:v>
                </c:pt>
                <c:pt idx="7">
                  <c:v>6.2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2">
                  <c:v>4</c:v>
                </c:pt>
                <c:pt idx="3">
                  <c:v>0</c:v>
                </c:pt>
                <c:pt idx="4">
                  <c:v>3</c:v>
                </c:pt>
                <c:pt idx="5">
                  <c:v>-3</c:v>
                </c:pt>
                <c:pt idx="6">
                  <c:v>3</c:v>
                </c:pt>
                <c:pt idx="7">
                  <c:v>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67</c:v>
                </c:pt>
                <c:pt idx="1">
                  <c:v>74</c:v>
                </c:pt>
                <c:pt idx="2">
                  <c:v>66</c:v>
                </c:pt>
                <c:pt idx="3">
                  <c:v>66</c:v>
                </c:pt>
                <c:pt idx="4">
                  <c:v>68</c:v>
                </c:pt>
                <c:pt idx="5">
                  <c:v>66</c:v>
                </c:pt>
                <c:pt idx="6">
                  <c:v>71</c:v>
                </c:pt>
                <c:pt idx="7">
                  <c:v>60</c:v>
                </c:pt>
                <c:pt idx="8">
                  <c:v>56</c:v>
                </c:pt>
                <c:pt idx="9">
                  <c:v>60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60</c:v>
                </c:pt>
                <c:pt idx="1">
                  <c:v>85</c:v>
                </c:pt>
                <c:pt idx="2">
                  <c:v>77</c:v>
                </c:pt>
                <c:pt idx="3">
                  <c:v>88</c:v>
                </c:pt>
                <c:pt idx="4">
                  <c:v>119</c:v>
                </c:pt>
                <c:pt idx="5">
                  <c:v>131</c:v>
                </c:pt>
                <c:pt idx="6">
                  <c:v>145</c:v>
                </c:pt>
                <c:pt idx="7">
                  <c:v>114</c:v>
                </c:pt>
                <c:pt idx="8">
                  <c:v>114</c:v>
                </c:pt>
                <c:pt idx="9">
                  <c:v>125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36</c:v>
                </c:pt>
                <c:pt idx="1">
                  <c:v>48</c:v>
                </c:pt>
                <c:pt idx="2">
                  <c:v>38</c:v>
                </c:pt>
                <c:pt idx="3">
                  <c:v>43</c:v>
                </c:pt>
                <c:pt idx="4">
                  <c:v>42</c:v>
                </c:pt>
                <c:pt idx="5">
                  <c:v>50</c:v>
                </c:pt>
                <c:pt idx="6">
                  <c:v>48</c:v>
                </c:pt>
                <c:pt idx="7">
                  <c:v>44</c:v>
                </c:pt>
                <c:pt idx="8">
                  <c:v>42</c:v>
                </c:pt>
                <c:pt idx="9">
                  <c:v>40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109.4</c:v>
                </c:pt>
                <c:pt idx="1">
                  <c:v>206.60000000000002</c:v>
                </c:pt>
                <c:pt idx="2">
                  <c:v>229.89999999999998</c:v>
                </c:pt>
                <c:pt idx="3">
                  <c:v>128.4</c:v>
                </c:pt>
                <c:pt idx="4">
                  <c:v>157.7</c:v>
                </c:pt>
                <c:pt idx="5">
                  <c:v>155.3</c:v>
                </c:pt>
                <c:pt idx="6">
                  <c:v>114.9</c:v>
                </c:pt>
                <c:pt idx="7">
                  <c:v>50.10000000000001</c:v>
                </c:pt>
                <c:pt idx="8">
                  <c:v>242.2</c:v>
                </c:pt>
                <c:pt idx="9">
                  <c:v>295.5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91.9</c:v>
                </c:pt>
                <c:pt idx="1">
                  <c:v>26</c:v>
                </c:pt>
                <c:pt idx="2">
                  <c:v>124.2</c:v>
                </c:pt>
                <c:pt idx="3">
                  <c:v>138</c:v>
                </c:pt>
                <c:pt idx="4">
                  <c:v>124.1</c:v>
                </c:pt>
                <c:pt idx="5">
                  <c:v>21.3</c:v>
                </c:pt>
                <c:pt idx="6">
                  <c:v>179.6</c:v>
                </c:pt>
                <c:pt idx="7">
                  <c:v>58.6</c:v>
                </c:pt>
                <c:pt idx="8">
                  <c:v>285</c:v>
                </c:pt>
                <c:pt idx="9">
                  <c:v>278.9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11.9</c:v>
                </c:pt>
                <c:pt idx="1">
                  <c:v>26.3</c:v>
                </c:pt>
                <c:pt idx="2">
                  <c:v>14.8</c:v>
                </c:pt>
                <c:pt idx="3">
                  <c:v>18.1</c:v>
                </c:pt>
                <c:pt idx="4">
                  <c:v>16.3</c:v>
                </c:pt>
                <c:pt idx="5">
                  <c:v>16.8</c:v>
                </c:pt>
                <c:pt idx="6">
                  <c:v>14.9</c:v>
                </c:pt>
                <c:pt idx="7">
                  <c:v>15.7</c:v>
                </c:pt>
                <c:pt idx="8">
                  <c:v>20.6</c:v>
                </c:pt>
                <c:pt idx="9">
                  <c:v>17.3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9.5</c:v>
                </c:pt>
                <c:pt idx="2">
                  <c:v>9.5</c:v>
                </c:pt>
                <c:pt idx="3">
                  <c:v>9.5</c:v>
                </c:pt>
                <c:pt idx="4">
                  <c:v>9.5</c:v>
                </c:pt>
                <c:pt idx="5">
                  <c:v>9.5</c:v>
                </c:pt>
                <c:pt idx="6">
                  <c:v>9.5</c:v>
                </c:pt>
                <c:pt idx="7">
                  <c:v>9.5</c:v>
                </c:pt>
                <c:pt idx="8">
                  <c:v>9.5</c:v>
                </c:pt>
                <c:pt idx="9">
                  <c:v>9.5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16.5</c:v>
                </c:pt>
                <c:pt idx="1">
                  <c:v>4.5</c:v>
                </c:pt>
                <c:pt idx="2">
                  <c:v>20.2</c:v>
                </c:pt>
                <c:pt idx="3">
                  <c:v>20.3</c:v>
                </c:pt>
                <c:pt idx="4">
                  <c:v>15.9</c:v>
                </c:pt>
                <c:pt idx="5">
                  <c:v>2.5</c:v>
                </c:pt>
                <c:pt idx="6">
                  <c:v>20.4</c:v>
                </c:pt>
                <c:pt idx="7">
                  <c:v>6.2</c:v>
                </c:pt>
                <c:pt idx="8">
                  <c:v>27</c:v>
                </c:pt>
                <c:pt idx="9">
                  <c:v>22.2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1.41</c:v>
                </c:pt>
                <c:pt idx="1">
                  <c:v>1.15</c:v>
                </c:pt>
                <c:pt idx="2">
                  <c:v>1.05</c:v>
                </c:pt>
                <c:pt idx="3">
                  <c:v>0.77</c:v>
                </c:pt>
                <c:pt idx="4">
                  <c:v>0.58</c:v>
                </c:pt>
                <c:pt idx="5">
                  <c:v>1.8</c:v>
                </c:pt>
                <c:pt idx="6">
                  <c:v>1.34</c:v>
                </c:pt>
                <c:pt idx="7">
                  <c:v>1.08</c:v>
                </c:pt>
                <c:pt idx="8">
                  <c:v>0.75</c:v>
                </c:pt>
                <c:pt idx="9">
                  <c:v>0.94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8.1</c:v>
                </c:pt>
                <c:pt idx="1">
                  <c:v>33.1</c:v>
                </c:pt>
                <c:pt idx="2">
                  <c:v>33.1</c:v>
                </c:pt>
                <c:pt idx="3">
                  <c:v>8.1</c:v>
                </c:pt>
                <c:pt idx="4">
                  <c:v>318</c:v>
                </c:pt>
                <c:pt idx="5">
                  <c:v>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18.2</c:v>
                </c:pt>
                <c:pt idx="1">
                  <c:v>216.3</c:v>
                </c:pt>
                <c:pt idx="2">
                  <c:v>0</c:v>
                </c:pt>
                <c:pt idx="3">
                  <c:v>33.2</c:v>
                </c:pt>
                <c:pt idx="4">
                  <c:v>0</c:v>
                </c:pt>
                <c:pt idx="5">
                  <c:v>392.4</c:v>
                </c:pt>
                <c:pt idx="6">
                  <c:v>0</c:v>
                </c:pt>
                <c:pt idx="7">
                  <c:v>0</c:v>
                </c:pt>
                <c:pt idx="8">
                  <c:v>0</c:v>
                </c:pt>
                <c:pt idx="9">
                  <c:v>189.3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49.1</c:v>
                </c:pt>
                <c:pt idx="1">
                  <c:v>52.5</c:v>
                </c:pt>
                <c:pt idx="2">
                  <c:v>57.2</c:v>
                </c:pt>
                <c:pt idx="3">
                  <c:v>63.5</c:v>
                </c:pt>
                <c:pt idx="4">
                  <c:v>66.6</c:v>
                </c:pt>
                <c:pt idx="5">
                  <c:v>68.6</c:v>
                </c:pt>
                <c:pt idx="6">
                  <c:v>71.5</c:v>
                </c:pt>
                <c:pt idx="7">
                  <c:v>73.5</c:v>
                </c:pt>
                <c:pt idx="8">
                  <c:v>78.8</c:v>
                </c:pt>
                <c:pt idx="9">
                  <c:v>82.3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1.9</c:v>
                </c:pt>
                <c:pt idx="1">
                  <c:v>17.5</c:v>
                </c:pt>
                <c:pt idx="2">
                  <c:v>4.8</c:v>
                </c:pt>
                <c:pt idx="3">
                  <c:v>12.6</c:v>
                </c:pt>
                <c:pt idx="4">
                  <c:v>29.1</c:v>
                </c:pt>
                <c:pt idx="5">
                  <c:v>6.2</c:v>
                </c:pt>
                <c:pt idx="6">
                  <c:v>34.4</c:v>
                </c:pt>
                <c:pt idx="7">
                  <c:v>4</c:v>
                </c:pt>
                <c:pt idx="8">
                  <c:v>37.3</c:v>
                </c:pt>
                <c:pt idx="9">
                  <c:v>90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Otro externo</c:v>
                </c:pt>
              </c:strCache>
            </c:strRef>
          </c:cat>
          <c:val>
            <c:numRef>
              <c:f>Hoja1!$B$2:$B$4</c:f>
              <c:numCache>
                <c:formatCode>0</c:formatCode>
                <c:ptCount val="3"/>
                <c:pt idx="0">
                  <c:v>8</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The Vanguard Group</c:v>
                </c:pt>
                <c:pt idx="1">
                  <c:v>BlackRock</c:v>
                </c:pt>
                <c:pt idx="2">
                  <c:v>John T. Ryan III (familia fundadora)</c:v>
                </c:pt>
              </c:strCache>
            </c:strRef>
          </c:cat>
          <c:val>
            <c:numRef>
              <c:f>Hoja1!$B$2:$B$4</c:f>
              <c:numCache>
                <c:formatCode>0.0"%"</c:formatCode>
                <c:ptCount val="3"/>
                <c:pt idx="0">
                  <c:v>9.7</c:v>
                </c:pt>
                <c:pt idx="1">
                  <c:v>8.1</c:v>
                </c:pt>
                <c:pt idx="2">
                  <c:v>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63.8</c:v>
                </c:pt>
                <c:pt idx="1">
                  <c:v>14</c:v>
                </c:pt>
                <c:pt idx="2">
                  <c:v>23.6</c:v>
                </c:pt>
                <c:pt idx="3">
                  <c:v>36.1</c:v>
                </c:pt>
                <c:pt idx="4">
                  <c:v>19.8</c:v>
                </c:pt>
                <c:pt idx="5">
                  <c:v>2.1</c:v>
                </c:pt>
                <c:pt idx="6">
                  <c:v>-3.1</c:v>
                </c:pt>
                <c:pt idx="7">
                  <c:v>18.5</c:v>
                </c:pt>
                <c:pt idx="8">
                  <c:v>-0.7</c:v>
                </c:pt>
                <c:pt idx="9">
                  <c:v>-2.1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14.9</c:v>
                </c:pt>
                <c:pt idx="1">
                  <c:v>11.3</c:v>
                </c:pt>
                <c:pt idx="2">
                  <c:v>18.5</c:v>
                </c:pt>
                <c:pt idx="3">
                  <c:v>20.3</c:v>
                </c:pt>
                <c:pt idx="4">
                  <c:v>24</c:v>
                </c:pt>
                <c:pt idx="5">
                  <c:v>25.3</c:v>
                </c:pt>
                <c:pt idx="6">
                  <c:v>19.9</c:v>
                </c:pt>
                <c:pt idx="7">
                  <c:v>16.9</c:v>
                </c:pt>
                <c:pt idx="8">
                  <c:v>15</c:v>
                </c:pt>
                <c:pt idx="9">
                  <c:v>15.1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18.5</c:v>
                </c:pt>
                <c:pt idx="1">
                  <c:v>18.5</c:v>
                </c:pt>
                <c:pt idx="2">
                  <c:v>18.5</c:v>
                </c:pt>
                <c:pt idx="3">
                  <c:v>18.5</c:v>
                </c:pt>
                <c:pt idx="4">
                  <c:v>18.5</c:v>
                </c:pt>
                <c:pt idx="5">
                  <c:v>18.5</c:v>
                </c:pt>
                <c:pt idx="6">
                  <c:v>18.5</c:v>
                </c:pt>
                <c:pt idx="7">
                  <c:v>18.5</c:v>
                </c:pt>
                <c:pt idx="8">
                  <c:v>18.5</c:v>
                </c:pt>
                <c:pt idx="9">
                  <c:v>18.5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MSA Safety</c:v>
                </c:pt>
                <c:pt idx="1">
                  <c:v>Drägerwerk</c:v>
                </c:pt>
                <c:pt idx="2">
                  <c:v>Halma</c:v>
                </c:pt>
                <c:pt idx="3">
                  <c:v>Avon Technologies</c:v>
                </c:pt>
                <c:pt idx="4">
                  <c:v>Ansell</c:v>
                </c:pt>
                <c:pt idx="5">
                  <c:v>Teledyne</c:v>
                </c:pt>
                <c:pt idx="6">
                  <c:v>Fortive</c:v>
                </c:pt>
              </c:strCache>
            </c:strRef>
          </c:cat>
          <c:val>
            <c:numRef>
              <c:f>Hoja1!$B$2:$B$8</c:f>
              <c:numCache>
                <c:formatCode>0.0"x"</c:formatCode>
                <c:ptCount val="7"/>
                <c:pt idx="1">
                  <c:v>7.3</c:v>
                </c:pt>
                <c:pt idx="2">
                  <c:v>18.4</c:v>
                </c:pt>
                <c:pt idx="3">
                  <c:v>18.1</c:v>
                </c:pt>
                <c:pt idx="4">
                  <c:v>12.2</c:v>
                </c:pt>
                <c:pt idx="5">
                  <c:v>17.5</c:v>
                </c:pt>
                <c:pt idx="6">
                  <c:v>15.9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Drägerwerk</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4.7</c:v>
                </c:pt>
              </c:numCache>
            </c:numRef>
          </c:xVal>
          <c:yVal>
            <c:numRef>
              <c:f>Hoja1!$C$2</c:f>
              <c:numCache>
                <c:formatCode>0.0"x"</c:formatCode>
                <c:ptCount val="1"/>
                <c:pt idx="0">
                  <c:v>7.3</c:v>
                </c:pt>
              </c:numCache>
            </c:numRef>
          </c:yVal>
          <c:smooth val="0"/>
        </c:ser>
        <c:ser>
          <c:idx val="1"/>
          <c:order val="1"/>
          <c:tx>
            <c:strRef>
              <c:f>Hoja1!$A$3</c:f>
              <c:strCache>
                <c:ptCount val="1"/>
                <c:pt idx="0">
                  <c:v>Halma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21.3</c:v>
                </c:pt>
              </c:numCache>
            </c:numRef>
          </c:xVal>
          <c:yVal>
            <c:numRef>
              <c:f>Hoja1!$C$3</c:f>
              <c:numCache>
                <c:formatCode>0.0"x"</c:formatCode>
                <c:ptCount val="1"/>
                <c:pt idx="0">
                  <c:v>18.4</c:v>
                </c:pt>
              </c:numCache>
            </c:numRef>
          </c:yVal>
          <c:smooth val="0"/>
        </c:ser>
        <c:ser>
          <c:idx val="2"/>
          <c:order val="2"/>
          <c:tx>
            <c:strRef>
              <c:f>Hoja1!$A$4</c:f>
              <c:strCache>
                <c:ptCount val="1"/>
                <c:pt idx="0">
                  <c:v>Avon Technologies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14</c:v>
                </c:pt>
              </c:numCache>
            </c:numRef>
          </c:xVal>
          <c:yVal>
            <c:numRef>
              <c:f>Hoja1!$C$4</c:f>
              <c:numCache>
                <c:formatCode>0.0"x"</c:formatCode>
                <c:ptCount val="1"/>
                <c:pt idx="0">
                  <c:v>18.1</c:v>
                </c:pt>
              </c:numCache>
            </c:numRef>
          </c:yVal>
          <c:smooth val="0"/>
        </c:ser>
        <c:ser>
          <c:idx val="3"/>
          <c:order val="3"/>
          <c:tx>
            <c:strRef>
              <c:f>Hoja1!$A$5</c:f>
              <c:strCache>
                <c:ptCount val="1"/>
                <c:pt idx="0">
                  <c:v>Ansell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5.5</c:v>
                </c:pt>
              </c:numCache>
            </c:numRef>
          </c:xVal>
          <c:yVal>
            <c:numRef>
              <c:f>Hoja1!$C$5</c:f>
              <c:numCache>
                <c:formatCode>0.0"x"</c:formatCode>
                <c:ptCount val="1"/>
                <c:pt idx="0">
                  <c:v>12.2</c:v>
                </c:pt>
              </c:numCache>
            </c:numRef>
          </c:yVal>
          <c:smooth val="0"/>
        </c:ser>
        <c:ser>
          <c:idx val="4"/>
          <c:order val="4"/>
          <c:tx>
            <c:strRef>
              <c:f>Hoja1!$A$6</c:f>
              <c:strCache>
                <c:ptCount val="1"/>
                <c:pt idx="0">
                  <c:v>Teledyne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7.5</c:v>
                </c:pt>
              </c:numCache>
            </c:numRef>
          </c:xVal>
          <c:yVal>
            <c:numRef>
              <c:f>Hoja1!$C$6</c:f>
              <c:numCache>
                <c:formatCode>0.0"x"</c:formatCode>
                <c:ptCount val="1"/>
                <c:pt idx="0">
                  <c:v>17.5</c:v>
                </c:pt>
              </c:numCache>
            </c:numRef>
          </c:yVal>
          <c:smooth val="0"/>
        </c:ser>
        <c:ser>
          <c:idx val="5"/>
          <c:order val="5"/>
          <c:tx>
            <c:strRef>
              <c:f>Hoja1!$A$7</c:f>
              <c:strCache>
                <c:ptCount val="1"/>
                <c:pt idx="0">
                  <c:v>Fortive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4.3</c:v>
                </c:pt>
              </c:numCache>
            </c:numRef>
          </c:xVal>
          <c:yVal>
            <c:numRef>
              <c:f>Hoja1!$C$7</c:f>
              <c:numCache>
                <c:formatCode>0.0"x"</c:formatCode>
                <c:ptCount val="1"/>
                <c:pt idx="0">
                  <c:v>15.9</c:v>
                </c:pt>
              </c:numCache>
            </c:numRef>
          </c:yVal>
          <c:smooth val="0"/>
        </c:ser>
        <c:axId val="10"/>
        <c:axId val="20"/>
      </c:scatterChart>
      <c:valAx>
        <c:axId val="10"/>
        <c:scaling>
          <c:orientation val="minMax"/>
          <c:max val="26"/>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Autronica Fire and Security (Noruega)</c:v>
                </c:pt>
                <c:pt idx="1">
                  <c:v>M&amp;C TechGroup (Alemania)</c:v>
                </c:pt>
                <c:pt idx="2">
                  <c:v>Bacharach (EE. UU.)</c:v>
                </c:pt>
              </c:strCache>
            </c:strRef>
          </c:cat>
          <c:val>
            <c:numRef>
              <c:f>Hoja1!$B$2:$B$4</c:f>
              <c:numCache>
                <c:formatCode>0.0"x"</c:formatCode>
                <c:ptCount val="3"/>
                <c:pt idx="0">
                  <c:v>17.3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307</c:v>
                </c:pt>
                <c:pt idx="1">
                  <c:v>334</c:v>
                </c:pt>
                <c:pt idx="2">
                  <c:v>374</c:v>
                </c:pt>
                <c:pt idx="3">
                  <c:v>393</c:v>
                </c:pt>
                <c:pt idx="4">
                  <c:v>411</c:v>
                </c:pt>
                <c:pt idx="5">
                  <c:v>431</c:v>
                </c:pt>
                <c:pt idx="6">
                  <c:v>449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1846</c:v>
                </c:pt>
                <c:pt idx="1">
                  <c:v>3748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181,57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86.86</c:v>
                </c:pt>
                <c:pt idx="1">
                  <c:v>119.95</c:v>
                </c:pt>
                <c:pt idx="2">
                  <c:v>134.49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181,57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(151,11 – 208,92)</c:v>
                </c:pt>
                <c:pt idx="1">
                  <c:v>Precio objetivo de los analistas (190,00 – 223,00)</c:v>
                </c:pt>
                <c:pt idx="2">
                  <c:v>Comparables: PER NTM (176,94 – 219,83)</c:v>
                </c:pt>
                <c:pt idx="3">
                  <c:v>DCF (WACC y g ± 0,5) (104,41 – 140,61)</c:v>
                </c:pt>
                <c:pt idx="4">
                  <c:v>Escenarios (bajista – alcista) (86,86 – 134,49)</c:v>
                </c:pt>
                <c:pt idx="5">
                  <c:v>DCF con la prima implícita del mercado (4,2 %)</c:v>
                </c:pt>
                <c:pt idx="6">
                  <c:v>Precio actual (181,57)</c:v>
                </c:pt>
              </c:strCache>
            </c:strRef>
          </c:cat>
          <c:val>
            <c:numRef>
              <c:f>Hoja1!$B$2:$B$8</c:f>
              <c:numCache>
                <c:formatCode>#,##0</c:formatCode>
                <c:ptCount val="7"/>
                <c:pt idx="0">
                  <c:v>151.11</c:v>
                </c:pt>
                <c:pt idx="1">
                  <c:v>190</c:v>
                </c:pt>
                <c:pt idx="2">
                  <c:v>176.94</c:v>
                </c:pt>
                <c:pt idx="3">
                  <c:v>104.41</c:v>
                </c:pt>
                <c:pt idx="4">
                  <c:v>86.86</c:v>
                </c:pt>
                <c:pt idx="5">
                  <c:v>132.35</c:v>
                </c:pt>
                <c:pt idx="6">
                  <c:v>180.66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(151,11 – 208,92)</c:v>
                </c:pt>
                <c:pt idx="1">
                  <c:v>Precio objetivo de los analistas (190,00 – 223,00)</c:v>
                </c:pt>
                <c:pt idx="2">
                  <c:v>Comparables: PER NTM (176,94 – 219,83)</c:v>
                </c:pt>
                <c:pt idx="3">
                  <c:v>DCF (WACC y g ± 0,5) (104,41 – 140,61)</c:v>
                </c:pt>
                <c:pt idx="4">
                  <c:v>Escenarios (bajista – alcista) (86,86 – 134,49)</c:v>
                </c:pt>
                <c:pt idx="5">
                  <c:v>DCF con la prima implícita del mercado (4,2 %)</c:v>
                </c:pt>
                <c:pt idx="6">
                  <c:v>Precio actual (181,57)</c:v>
                </c:pt>
              </c:strCache>
            </c:strRef>
          </c:cat>
          <c:val>
            <c:numRef>
              <c:f>Hoja1!$C$2:$C$8</c:f>
              <c:numCache>
                <c:formatCode>#,##0</c:formatCode>
                <c:ptCount val="7"/>
                <c:pt idx="0">
                  <c:v>57.809999999999974</c:v>
                </c:pt>
                <c:pt idx="1">
                  <c:v>33</c:v>
                </c:pt>
                <c:pt idx="2">
                  <c:v>42.890000000000015</c:v>
                </c:pt>
                <c:pt idx="3">
                  <c:v>36.20000000000002</c:v>
                </c:pt>
                <c:pt idx="4">
                  <c:v>47.63000000000001</c:v>
                </c:pt>
                <c:pt idx="5">
                  <c:v>28.909999999999997</c:v>
                </c:pt>
                <c:pt idx="6">
                  <c:v>1.8199999999999932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