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a06993322c25cfe2bb5e48db06a7d4338204047"/>
    <w:p>
      <w:pPr>
        <w:pStyle w:val="Heading1"/>
      </w:pPr>
      <w:r>
        <w:t xml:space="preserve">Cloudflare (NET): análisis growth, 14-oct-2026</w:t>
      </w:r>
    </w:p>
    <w:p>
      <w:pPr>
        <w:pStyle w:val="FirstParagraph"/>
      </w:pPr>
      <w:r>
        <w:rPr>
          <w:bCs/>
          <w:b/>
        </w:rPr>
        <w:t xml:space="preserve">Señal (método v4): Mantener</w:t>
      </w:r>
      <w:r>
        <w:t xml:space="preserve"> </w:t>
      </w:r>
      <w:r>
        <w:t xml:space="preserve">(sin vigilancia; convicción: no aplica) · Puntuación 81,3/100 · Señales de cambio de tendencia 6/8 · EV/beneficio bruto 56,0x</w:t>
      </w:r>
      <w:r>
        <w:t xml:space="preserve"> </w:t>
      </w:r>
      <w:r>
        <w:t xml:space="preserve">Precio 360,93 USD · Objetivo 12 m 409,3 USD (ponderada +13,4 %, base +16,5 %, bajista −45,1 %, alcista +65,6 %) · Compra hasta 226,2 USD</w:t>
      </w:r>
      <w:r>
        <w:t xml:space="preserve"> </w:t>
      </w:r>
      <w:r>
        <w:t xml:space="preserve">Peso orientativo: no entra · Por qué: no compra: EV/beneficio bruto &gt; 35</w:t>
      </w:r>
    </w:p>
    <w:p>
      <w:pPr>
        <w:pStyle w:val="BlockText"/>
      </w:pPr>
      <w:r>
        <w:t xml:space="preserve">Precio: último cierre encontrado, el del 9-oct-2026 (360,93 USD, Yahoo Finance); los del 12 y 13-oct no aparecían en las fuentes [5]. Con TIKR y Trade-Ideas (~349 USD a 2-4 de octubre) cuadra el orden de magnitud [6]. Una diferencia de ±5 % en el precio no cambia la señal: el filtro que falla (EV/beneficio bruto 56x frente a 35x) está muy lejos.</w:t>
      </w:r>
    </w:p>
    <w:bookmarkStart w:id="20" w:name="la-tesis-en-cinco-líneas"/>
    <w:p>
      <w:pPr>
        <w:pStyle w:val="Heading2"/>
      </w:pPr>
      <w:r>
        <w:t xml:space="preserve">1. La tesis en cinco líneas</w:t>
      </w:r>
    </w:p>
    <w:p>
      <w:pPr>
        <w:numPr>
          <w:ilvl w:val="0"/>
          <w:numId w:val="1001"/>
        </w:numPr>
        <w:pStyle w:val="Compact"/>
      </w:pPr>
      <w:r>
        <w:t xml:space="preserve">Es un negocio de primera que</w:t>
      </w:r>
      <w:r>
        <w:t xml:space="preserve"> </w:t>
      </w:r>
      <w:r>
        <w:rPr>
          <w:bCs/>
          <w:b/>
        </w:rPr>
        <w:t xml:space="preserve">se está acelerando</w:t>
      </w:r>
      <w:r>
        <w:t xml:space="preserve">: las ventas crecen un 36 % en el 2T 2026 (27,8 % un año antes), la retención neta sube al 120 % (114 %) y los clientes de más de 100.000 USD, un 27 %. La puntuación growth es de 81,3/100.</w:t>
      </w:r>
    </w:p>
    <w:p>
      <w:pPr>
        <w:numPr>
          <w:ilvl w:val="0"/>
          <w:numId w:val="1001"/>
        </w:numPr>
        <w:pStyle w:val="Compact"/>
      </w:pPr>
      <w:r>
        <w:t xml:space="preserve">El cambio de tendencia está en marcha: 6 de 8 señales activas. Tras el desplome de mayo (−24 % por despidos y una guía corta), la acción ha ido de 196 a 361 USD y está en máximos históricos.</w:t>
      </w:r>
    </w:p>
    <w:p>
      <w:pPr>
        <w:numPr>
          <w:ilvl w:val="0"/>
          <w:numId w:val="1001"/>
        </w:numPr>
        <w:pStyle w:val="Compact"/>
      </w:pPr>
      <w:r>
        <w:t xml:space="preserve">Lo que falla es el precio: ~40x las ventas de los próximos 12 meses y</w:t>
      </w:r>
      <w:r>
        <w:t xml:space="preserve"> </w:t>
      </w:r>
      <w:r>
        <w:rPr>
          <w:bCs/>
          <w:b/>
        </w:rPr>
        <w:t xml:space="preserve">56x el beneficio bruto</w:t>
      </w:r>
      <w:r>
        <w:t xml:space="preserve">, frente al tope de 35x del método. El DCF inverso pide un crecimiento del ~34 % anual durante 10 años, por encima del 33,5 % actual.</w:t>
      </w:r>
    </w:p>
    <w:p>
      <w:pPr>
        <w:numPr>
          <w:ilvl w:val="0"/>
          <w:numId w:val="1001"/>
        </w:numPr>
        <w:pStyle w:val="Compact"/>
      </w:pPr>
      <w:r>
        <w:t xml:space="preserve">Si el mercado mantiene el múltiplo (rebajado un 7 % por la desaceleración), la regla da +13,4 % ponderada y +16,5 % en el base, pero el bajista es −45 %. El margen bruto, además, baja (71,8 % GAAP frente a 74,9 %), y eso encarece el EV/beneficio bruto.</w:t>
      </w:r>
    </w:p>
    <w:p>
      <w:pPr>
        <w:numPr>
          <w:ilvl w:val="0"/>
          <w:numId w:val="1001"/>
        </w:numPr>
        <w:pStyle w:val="Compact"/>
      </w:pPr>
      <w:r>
        <w:t xml:space="preserve">Conclusión:</w:t>
      </w:r>
      <w:r>
        <w:t xml:space="preserve"> </w:t>
      </w:r>
      <w:r>
        <w:rPr>
          <w:bCs/>
          <w:b/>
        </w:rPr>
        <w:t xml:space="preserve">Mantener</w:t>
      </w:r>
      <w:r>
        <w:t xml:space="preserve"> </w:t>
      </w:r>
      <w:r>
        <w:t xml:space="preserve">(quien la tenga, sin vender; quien no, no comprar). Pasaría a Comprar por debajo de</w:t>
      </w:r>
      <w:r>
        <w:t xml:space="preserve"> </w:t>
      </w:r>
      <w:r>
        <w:rPr>
          <w:bCs/>
          <w:b/>
        </w:rPr>
        <w:t xml:space="preserve">226 USD</w:t>
      </w:r>
      <w:r>
        <w:t xml:space="preserve"> </w:t>
      </w:r>
      <w:r>
        <w:t xml:space="preserve">con el negocio intacto, o con unas ventas que crezcan lo bastante para que el EV/beneficio bruto baje a 35x a este precio (unos 4.500 M USD de ventas NTM con margen bruto del 72 %, algo más de un año de crecimiento al ritmo actual).</w:t>
      </w:r>
    </w:p>
    <w:bookmarkEnd w:id="20"/>
    <w:bookmarkStart w:id="21" w:name="negocio-y-tecnología"/>
    <w:p>
      <w:pPr>
        <w:pStyle w:val="Heading2"/>
      </w:pPr>
      <w:r>
        <w:t xml:space="preserve">2. Negocio y tecnología</w:t>
      </w:r>
    </w:p>
    <w:p>
      <w:pPr>
        <w:pStyle w:val="FirstParagraph"/>
      </w:pPr>
      <w:r>
        <w:t xml:space="preserve">Cloudflare tiene una red global propia (más de 330 ciudades) que se coloca delante de webs, aplicaciones y redes corporativas. Sobre ella vende:</w:t>
      </w:r>
      <w:r>
        <w:t xml:space="preserve"> </w:t>
      </w:r>
      <w:r>
        <w:rPr>
          <w:bCs/>
          <w:b/>
        </w:rPr>
        <w:t xml:space="preserve">seguridad de aplicaciones</w:t>
      </w:r>
      <w:r>
        <w:t xml:space="preserve"> </w:t>
      </w:r>
      <w:r>
        <w:t xml:space="preserve">(CDN, antiDDoS, WAF, gestión de bots),</w:t>
      </w:r>
      <w:r>
        <w:t xml:space="preserve"> </w:t>
      </w:r>
      <w:r>
        <w:rPr>
          <w:bCs/>
          <w:b/>
        </w:rPr>
        <w:t xml:space="preserve">Zero Trust/SASE</w:t>
      </w:r>
      <w:r>
        <w:t xml:space="preserve"> </w:t>
      </w:r>
      <w:r>
        <w:t xml:space="preserve">para empleados (Cloudflare One),</w:t>
      </w:r>
      <w:r>
        <w:t xml:space="preserve"> </w:t>
      </w:r>
      <w:r>
        <w:rPr>
          <w:bCs/>
          <w:b/>
        </w:rPr>
        <w:t xml:space="preserve">servicios de red</w:t>
      </w:r>
      <w:r>
        <w:t xml:space="preserve"> </w:t>
      </w:r>
      <w:r>
        <w:t xml:space="preserve">(Magic Transit, WAN) y una</w:t>
      </w:r>
      <w:r>
        <w:t xml:space="preserve"> </w:t>
      </w:r>
      <w:r>
        <w:rPr>
          <w:bCs/>
          <w:b/>
        </w:rPr>
        <w:t xml:space="preserve">plataforma de desarrollo</w:t>
      </w:r>
      <w:r>
        <w:t xml:space="preserve"> </w:t>
      </w:r>
      <w:r>
        <w:t xml:space="preserve">(Workers, R2, Workers AI, AI Gateway) que ejecuta código e inferencia de IA en el borde. Vende por suscripción y uso a millones de clientes gratuitos y de pago; los 4.698 clientes de más de 100.000 USD suponen el 73 % de las ventas [1][2].</w:t>
      </w:r>
    </w:p>
    <w:p>
      <w:pPr>
        <w:pStyle w:val="BodyText"/>
      </w:pPr>
      <w:r>
        <w:t xml:space="preserve">Lo nuevo: la tesis del</w:t>
      </w:r>
      <w:r>
        <w:t xml:space="preserve"> </w:t>
      </w:r>
      <w:r>
        <w:rPr>
          <w:bCs/>
          <w:b/>
        </w:rPr>
        <w:t xml:space="preserve">«internet de agentes»</w:t>
      </w:r>
      <w:r>
        <w:t xml:space="preserve">. Más de la mitad del tráfico que ve ya no es humano, y Cloudflare quiere ser el peaje entre los agentes de IA y el contenido: bloqueo por defecto de rastreadores de entrenamiento (sep-2026),</w:t>
      </w:r>
      <w:r>
        <w:t xml:space="preserve"> </w:t>
      </w:r>
      <w:r>
        <w:rPr>
          <w:bCs/>
          <w:b/>
        </w:rPr>
        <w:t xml:space="preserve">Pay Per Use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Monetization Gateway</w:t>
      </w:r>
      <w:r>
        <w:t xml:space="preserve"> </w:t>
      </w:r>
      <w:r>
        <w:t xml:space="preserve">(cobro de agentes por HTTP 402/x402, Birthday Week, 30-sep-2026), Web Search API y una CLI para agentes [19]. En el Investor Day de junio fijó más de 5.000 M USD de ventas anualizadas a final de 2028 [4].</w:t>
      </w:r>
    </w:p>
    <w:p>
      <w:pPr>
        <w:pStyle w:val="BodyText"/>
      </w:pPr>
      <w:r>
        <w:rPr>
          <w:bCs/>
          <w:b/>
        </w:rPr>
        <w:t xml:space="preserve">Tecnología 4/5</w:t>
      </w:r>
      <w:r>
        <w:t xml:space="preserve">: red y software propios a escala difícil de replicar (datos de ~20 % de la web, coste marginal bajo), pero hay alternativas de calidad por línea (Akamai, Zscaler, AWS/Google en desarrollo e IA).</w:t>
      </w:r>
      <w:r>
        <w:t xml:space="preserve"> </w:t>
      </w:r>
      <w:r>
        <w:rPr>
          <w:bCs/>
          <w:b/>
        </w:rPr>
        <w:t xml:space="preserve">Posición 4/5</w:t>
      </w:r>
      <w:r>
        <w:t xml:space="preserve">: líder en seguridad de aplicaciones y red para webs, con cuota creciente; en SASE va detrás de Zscaler y Palo Alto.</w:t>
      </w:r>
    </w:p>
    <w:bookmarkEnd w:id="21"/>
    <w:bookmarkStart w:id="22" w:name="crecimiento"/>
    <w:p>
      <w:pPr>
        <w:pStyle w:val="Heading2"/>
      </w:pPr>
      <w:r>
        <w:t xml:space="preserve">3. Crecimiento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Trimestre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 (M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Crec. interanual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2T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512,3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27,8 %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3T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562,0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30,7 %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4T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614,5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33,6 %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1T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639,8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33,5 %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2T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696,1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35,9 %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Guía 3T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736-737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~31 %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Ejercicio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 (M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1.296,7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1.669,4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2.167,9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 guía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2.864-2.870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~32 %</w:t>
            </w:r>
          </w:p>
        </w:tc>
      </w:tr>
    </w:tbl>
    <w:p>
      <w:pPr>
        <w:pStyle w:val="BodyText"/>
      </w:pPr>
      <w:r>
        <w:t xml:space="preserve">Fuentes: [1][3][22] (2023-2024 y el 2T 2025 de memoria del analista, cuadran con los crecimientos publicados).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Ventas de los últimos 12 meses</w:t>
      </w:r>
      <w:r>
        <w:t xml:space="preserve">: 2.512,4 M USD,</w:t>
      </w:r>
      <w:r>
        <w:t xml:space="preserve"> </w:t>
      </w:r>
      <w:r>
        <w:rPr>
          <w:bCs/>
          <w:b/>
        </w:rPr>
        <w:t xml:space="preserve">+33,5 %</w:t>
      </w:r>
      <w:r>
        <w:t xml:space="preserve">.</w:t>
      </w:r>
      <w:r>
        <w:t xml:space="preserve"> </w:t>
      </w:r>
      <w:r>
        <w:rPr>
          <w:bCs/>
          <w:b/>
        </w:rPr>
        <w:t xml:space="preserve">CAGR propio a 2 años</w:t>
      </w:r>
      <w:r>
        <w:t xml:space="preserve">:</w:t>
      </w:r>
      <w:r>
        <w:t xml:space="preserve"> </w:t>
      </w:r>
      <w:r>
        <w:rPr>
          <w:bCs/>
          <w:b/>
        </w:rPr>
        <w:t xml:space="preserve">30,4 %</w:t>
      </w:r>
      <w:r>
        <w:t xml:space="preserve"> </w:t>
      </w:r>
      <w:r>
        <w:t xml:space="preserve">(12 m a jun-2024: 1.477,7 M).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Aceleración</w:t>
      </w:r>
      <w:r>
        <w:t xml:space="preserve">: el 2T 2026 crece un 35,9 % frente a una media del 31,4 % en los cuatro anteriores:</w:t>
      </w:r>
      <w:r>
        <w:t xml:space="preserve"> </w:t>
      </w:r>
      <w:r>
        <w:rPr>
          <w:bCs/>
          <w:b/>
        </w:rPr>
        <w:t xml:space="preserve">+4,5 pp</w:t>
      </w:r>
      <w:r>
        <w:t xml:space="preserve">. Es la quinta aceleración en seis trimestres.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Retención neta en dólares: 120 %</w:t>
      </w:r>
      <w:r>
        <w:t xml:space="preserve"> </w:t>
      </w:r>
      <w:r>
        <w:t xml:space="preserve">(114 % un año antes, 118 % en el 1T) [2]. RPO corriente +35 % [1].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Guía</w:t>
      </w:r>
      <w:r>
        <w:t xml:space="preserve">: 2026 de 2.864-2.870 M USD (subida dos veces; consenso LSEG previo 2.810 M). El 3T guiado (+31 %) es conservador: Cloudflare suele batir su guía en un 3-5 %.</w:t>
      </w:r>
    </w:p>
    <w:bookmarkEnd w:id="22"/>
    <w:bookmarkStart w:id="23" w:name="mercado-y-competencia"/>
    <w:p>
      <w:pPr>
        <w:pStyle w:val="Heading2"/>
      </w:pPr>
      <w:r>
        <w:t xml:space="preserve">4. Mercado y competencia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Mercado alcanzable</w:t>
      </w:r>
      <w:r>
        <w:t xml:space="preserve">: Cloudflare estima 196.000 M USD en 2026 [20]. Lo rebajamos a</w:t>
      </w:r>
      <w:r>
        <w:t xml:space="preserve"> </w:t>
      </w:r>
      <w:r>
        <w:rPr>
          <w:bCs/>
          <w:b/>
        </w:rPr>
        <w:t xml:space="preserve">130.000 M USD</w:t>
      </w:r>
      <w:r>
        <w:t xml:space="preserve"> </w:t>
      </w:r>
      <w:r>
        <w:t xml:space="preserve">(dos tercios) porque incluye cómputo, almacenamiento y redes corporativas en los que su cuota es marginal.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Penetración</w:t>
      </w:r>
      <w:r>
        <w:t xml:space="preserve">: 2.512 / 130.000 =</w:t>
      </w:r>
      <w:r>
        <w:t xml:space="preserve"> </w:t>
      </w:r>
      <w:r>
        <w:rPr>
          <w:bCs/>
          <w:b/>
        </w:rPr>
        <w:t xml:space="preserve">1,9 %</w:t>
      </w:r>
      <w:r>
        <w:t xml:space="preserve">; con la cifra de la empresa, 1,3 %.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Rivales</w:t>
      </w:r>
      <w:r>
        <w:t xml:space="preserve">: Akamai (CDN y seguridad, crece poco), Zscaler y Palo Alto (SASE), Fastly (CDN), AWS/Google/Microsoft (CDN, desarrollo e inferencia) y, como amenaza nueva, plataformas de agentes de los laboratorios de IA (el lanzamiento de Claude Managed Agents se citó en la caída de primavera) [12].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Por qué gana</w:t>
      </w:r>
      <w:r>
        <w:t xml:space="preserve">: una sola red y una sola consola para todo, con coste marginal casi nulo para añadir productos; embudo gratuito enorme que convierte a grandes cuentas; y la posición de «portero» del tráfico de agentes, que nadie más tiene a esa escala.</w:t>
      </w:r>
    </w:p>
    <w:bookmarkEnd w:id="23"/>
    <w:bookmarkStart w:id="24" w:name="cambio-de-tendencia"/>
    <w:p>
      <w:pPr>
        <w:pStyle w:val="Heading2"/>
      </w:pPr>
      <w:r>
        <w:t xml:space="preserve">5. Cambio de tendencia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Señal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Sí/No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Revisiones al alza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Guía 2026 subida dos veces, hasta 2.864-2.870 M, sobre el consenso; guía del 3T sobre el consenso (736 frente a 722 M); subidas de objetivo a 330-390 USD tras el 2T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[1][9][10]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 sobre la media de 200 sesiones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360,93 USD en máximos (máximo histórico 367,43). La media de 200 sesiones no aparece publicada: por la serie de precios estaría en ~250-260 USD y subiendo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[5][6][11]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Fuerza relativa a 6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~+70 % desde principios de abril (~211-216 USD); +77-78 % en 2026, muy por encima del Nasdaq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[6][12]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Mejora del múltiplo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EV/ventas NTM de ~20x en el mínimo de febrero a ~40x hoy (+100 %)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[8][13]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Inflexión operativa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Margen FCF 12 m ~12,5 % frente a ~10 % (+2,5 pp, menos de 5); margen no GAAP plano (13,8 %); el GAAP empeora por la reestructuración; margen bruto a la 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[1][2][14]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Sentimiento mejorando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 «la eficiencia con IA no basta» de mayo a máximos con la tesis de agentes. No eufórico: StockTwits neutral (69/100) y menciones −60 % en tres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[15][16][17]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Compras de directivos o institucionales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 de directivos de ~166-252 M USD en 90 días (Prince, plan 10b5-1); no está en el S&amp;P 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[16][18]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Catalizador nuevo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 Per Use y Monetization Gateway (30-sep), objetivos del Investor Day (&gt; 5.000 M en 2028, «regla del 50» en 2027)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[4][19]</w:t>
            </w:r>
          </w:p>
        </w:tc>
      </w:tr>
    </w:tbl>
    <w:p>
      <w:pPr>
        <w:pStyle w:val="BodyText"/>
      </w:pPr>
      <w:r>
        <w:rPr>
          <w:bCs/>
          <w:b/>
        </w:rPr>
        <w:t xml:space="preserve">Euforia: no, por la regla.</w:t>
      </w:r>
      <w:r>
        <w:t xml:space="preserve"> </w:t>
      </w:r>
      <w:r>
        <w:t xml:space="preserve">Sube un +65,5 % en 12 meses (218,11 → 360,93 USD [7]), lejos del 150 %. Pero desde el mínimo de febrero (158,83) sube un +127 % en ocho meses, casi todo por expansión del múltiplo.</w:t>
      </w:r>
    </w:p>
    <w:bookmarkEnd w:id="24"/>
    <w:bookmarkStart w:id="25" w:name="X6a3ced9ea5ed5bb9ac58f5e7c1bb09ad4718b77"/>
    <w:p>
      <w:pPr>
        <w:pStyle w:val="Heading2"/>
      </w:pPr>
      <w:r>
        <w:t xml:space="preserve">6. Economía unitaria y camino a la rentabilidad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Margen bruto</w:t>
      </w:r>
      <w:r>
        <w:t xml:space="preserve">: GAAP del</w:t>
      </w:r>
      <w:r>
        <w:t xml:space="preserve"> </w:t>
      </w:r>
      <w:r>
        <w:rPr>
          <w:bCs/>
          <w:b/>
        </w:rPr>
        <w:t xml:space="preserve">71,8 %</w:t>
      </w:r>
      <w:r>
        <w:t xml:space="preserve"> </w:t>
      </w:r>
      <w:r>
        <w:t xml:space="preserve">en el 2T (74,9 % un año antes); no GAAP 73,1 % [1]. Se usa el</w:t>
      </w:r>
      <w:r>
        <w:t xml:space="preserve"> </w:t>
      </w:r>
      <w:r>
        <w:rPr>
          <w:bCs/>
          <w:b/>
        </w:rPr>
        <w:t xml:space="preserve">72 %</w:t>
      </w:r>
      <w:r>
        <w:t xml:space="preserve"> </w:t>
      </w:r>
      <w:r>
        <w:t xml:space="preserve">(GAAP de los últimos trimestres). Baja por la mezcla: más tráfico de pago (costes de red que pasan de marketing a coste de ventas) y Workers/IA, con menos margen pero menos coste comercial [14]. La empresa rebajó su objetivo a largo plazo a</w:t>
      </w:r>
      <w:r>
        <w:t xml:space="preserve"> </w:t>
      </w:r>
      <w:r>
        <w:rPr>
          <w:bCs/>
          <w:b/>
        </w:rPr>
        <w:t xml:space="preserve">70-77 %</w:t>
      </w:r>
      <w:r>
        <w:t xml:space="preserve"> </w:t>
      </w:r>
      <w:r>
        <w:t xml:space="preserve">(antes 75-77 %) [4].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FCF de los últimos 12 meses</w:t>
      </w:r>
      <w:r>
        <w:t xml:space="preserve">: 75,0 + 99,4 + 84,1 + 56,4 =</w:t>
      </w:r>
      <w:r>
        <w:t xml:space="preserve"> </w:t>
      </w:r>
      <w:r>
        <w:rPr>
          <w:bCs/>
          <w:b/>
        </w:rPr>
        <w:t xml:space="preserve">314,9 M USD</w:t>
      </w:r>
      <w:r>
        <w:t xml:space="preserve">, un</w:t>
      </w:r>
      <w:r>
        <w:t xml:space="preserve"> </w:t>
      </w:r>
      <w:r>
        <w:rPr>
          <w:bCs/>
          <w:b/>
        </w:rPr>
        <w:t xml:space="preserve">12,5 %</w:t>
      </w:r>
      <w:r>
        <w:t xml:space="preserve"> </w:t>
      </w:r>
      <w:r>
        <w:t xml:space="preserve">de las ventas (2025: 260,6 M, 12,0 %; 2024: 10,0 %) [1][3][22].</w:t>
      </w:r>
      <w:r>
        <w:t xml:space="preserve"> </w:t>
      </w:r>
      <w:r>
        <w:rPr>
          <w:bCs/>
          <w:b/>
        </w:rPr>
        <w:t xml:space="preserve">Creciente</w:t>
      </w:r>
      <w:r>
        <w:t xml:space="preserve">. El 2T lleva salidas de caja de la reestructuración.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Regla del 40</w:t>
      </w:r>
      <w:r>
        <w:t xml:space="preserve">: 33,5 + 12,5 =</w:t>
      </w:r>
      <w:r>
        <w:t xml:space="preserve"> </w:t>
      </w:r>
      <w:r>
        <w:rPr>
          <w:bCs/>
          <w:b/>
        </w:rPr>
        <w:t xml:space="preserve">46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Apalancamiento operativo</w:t>
      </w:r>
      <w:r>
        <w:t xml:space="preserve">: margen operativo no GAAP del 13,8 % (14 % en 2025); guía 2026 de 443-445 M USD (~15,5 %). El GAAP es −29,6 % en el 2T por 150,7 M de reestructuración (despido del 20 % de la plantilla). El ahorro de esos despidos debería verse desde el 4T; objetivo de beneficio GAAP en 2028 [1][4].</w:t>
      </w:r>
    </w:p>
    <w:bookmarkEnd w:id="25"/>
    <w:bookmarkStart w:id="26" w:name="caja-deuda-y-dilución"/>
    <w:p>
      <w:pPr>
        <w:pStyle w:val="Heading2"/>
      </w:pPr>
      <w:r>
        <w:t xml:space="preserve">7. Caja, deuda y dilución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Caja</w:t>
      </w:r>
      <w:r>
        <w:t xml:space="preserve">: 4.162,8 M USD a 30-jun (1.663,8 M de caja y 2.499,0 M en valores) [2]. En agosto emitió</w:t>
      </w:r>
      <w:r>
        <w:t xml:space="preserve"> </w:t>
      </w:r>
      <w:r>
        <w:rPr>
          <w:bCs/>
          <w:b/>
        </w:rPr>
        <w:t xml:space="preserve">2.500 M USD</w:t>
      </w:r>
      <w:r>
        <w:t xml:space="preserve"> </w:t>
      </w:r>
      <w:r>
        <w:t xml:space="preserve">de convertibles 0 % 2031 (conversión ~496,94 USD) con capped calls, y amortizó los</w:t>
      </w:r>
      <w:r>
        <w:t xml:space="preserve"> </w:t>
      </w:r>
      <w:r>
        <w:rPr>
          <w:bCs/>
          <w:b/>
        </w:rPr>
        <w:t xml:space="preserve">1.293,8 M</w:t>
      </w:r>
      <w:r>
        <w:t xml:space="preserve"> </w:t>
      </w:r>
      <w:r>
        <w:t xml:space="preserve">de los bonos 2026 (el exceso sobre el principal, en acciones). Caja estimada hoy:</w:t>
      </w:r>
      <w:r>
        <w:t xml:space="preserve"> </w:t>
      </w:r>
      <w:r>
        <w:rPr>
          <w:bCs/>
          <w:b/>
        </w:rPr>
        <w:t xml:space="preserve">~5.070 M USD</w:t>
      </w:r>
      <w:r>
        <w:t xml:space="preserve"> </w:t>
      </w:r>
      <w:r>
        <w:t xml:space="preserve">[21].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Deuda</w:t>
      </w:r>
      <w:r>
        <w:t xml:space="preserve">: convertibles 0 % 2030 (2.000 M, conversión ~247,68 USD, ya en dinero) y 2031 (2.500 M):</w:t>
      </w:r>
      <w:r>
        <w:t xml:space="preserve"> </w:t>
      </w:r>
      <w:r>
        <w:rPr>
          <w:bCs/>
          <w:b/>
        </w:rPr>
        <w:t xml:space="preserve">4.500 M USD</w:t>
      </w:r>
      <w:r>
        <w:t xml:space="preserve">. Caja neta ~570 M.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Pista</w:t>
      </w:r>
      <w:r>
        <w:t xml:space="preserve">: FCF positivo, sin quema.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Dilución</w:t>
      </w:r>
      <w:r>
        <w:t xml:space="preserve">: ~</w:t>
      </w:r>
      <w:r>
        <w:rPr>
          <w:bCs/>
          <w:b/>
        </w:rPr>
        <w:t xml:space="preserve">2,5 %</w:t>
      </w:r>
      <w:r>
        <w:t xml:space="preserve"> </w:t>
      </w:r>
      <w:r>
        <w:t xml:space="preserve">anual (acciones medias de ~346 a ~354 M, más ~1,6 M netas por los bonos 2026). Acciones diluidas usadas:</w:t>
      </w:r>
      <w:r>
        <w:t xml:space="preserve"> </w:t>
      </w:r>
      <w:r>
        <w:rPr>
          <w:bCs/>
          <w:b/>
        </w:rPr>
        <w:t xml:space="preserve">372 M</w:t>
      </w:r>
      <w:r>
        <w:t xml:space="preserve"> </w:t>
      </w:r>
      <w:r>
        <w:t xml:space="preserve">(354 básicas + 14,6 M de opciones y RSU + ~2,5 M netas de los bonos 2030 en dinero) [2][24].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Pagos en acciones</w:t>
      </w:r>
      <w:r>
        <w:t xml:space="preserve">: ~</w:t>
      </w:r>
      <w:r>
        <w:rPr>
          <w:bCs/>
          <w:b/>
        </w:rPr>
        <w:t xml:space="preserve">20 % de las ventas</w:t>
      </w:r>
      <w:r>
        <w:t xml:space="preserve"> </w:t>
      </w:r>
      <w:r>
        <w:t xml:space="preserve">(~274 M USD con cargas sociales en el 1S 2026) [24].</w:t>
      </w:r>
      <w:r>
        <w:t xml:space="preserve"> </w:t>
      </w:r>
      <w:r>
        <w:rPr>
          <w:bCs/>
          <w:b/>
        </w:rPr>
        <w:t xml:space="preserve">En rojo: supera el 15 %.</w:t>
      </w:r>
      <w:r>
        <w:t xml:space="preserve"> </w:t>
      </w:r>
      <w:r>
        <w:t xml:space="preserve">Descontándolos, el FCF sería negativo.</w:t>
      </w:r>
    </w:p>
    <w:bookmarkEnd w:id="26"/>
    <w:bookmarkStart w:id="27" w:name="dirección-y-ejecución"/>
    <w:p>
      <w:pPr>
        <w:pStyle w:val="Heading2"/>
      </w:pPr>
      <w:r>
        <w:t xml:space="preserve">8. Dirección y ejecución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Historial (5/5)</w:t>
      </w:r>
      <w:r>
        <w:t xml:space="preserve">: bate su propia guía de ventas trimestre tras trimestre desde la salida a bolsa (2T 2026: 696,1 M frente a 664-665 M guiados; 3T 2025: 562,0 frente a 543,5-544,5) y ha subido la guía anual dos veces este año [1][3]. La guía del 2T, más corta de lo esperado, provocó la caída de mayo, pero luego la batió con holgura.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Dirección (4/5)</w:t>
      </w:r>
      <w:r>
        <w:t xml:space="preserve">: el cofundador Matthew Prince es CEO desde 2009 y controla la empresa con acciones B de voto reforzado (alineado, pero con gobierno menos protector para el minoritario). Asignación de capital sensata: convertibles al 0 % con capped calls que limitan la dilución y una reestructuración rápida. Restan las ventas continuas de directivos y los pagos en acciones del 20 % de las ventas.</w:t>
      </w:r>
    </w:p>
    <w:bookmarkEnd w:id="27"/>
    <w:bookmarkStart w:id="28" w:name="valoración"/>
    <w:p>
      <w:pPr>
        <w:pStyle w:val="Heading2"/>
      </w:pPr>
      <w:r>
        <w:t xml:space="preserve">9. Valoración</w:t>
      </w:r>
    </w:p>
    <w:p>
      <w:pPr>
        <w:pStyle w:val="FirstParagraph"/>
      </w:pPr>
      <w:r>
        <w:rPr>
          <w:bCs/>
          <w:b/>
        </w:rPr>
        <w:t xml:space="preserve">Ejercicio objetivo: 2028</w:t>
      </w:r>
      <w:r>
        <w:t xml:space="preserve"> </w:t>
      </w:r>
      <w:r>
        <w:t xml:space="preserve">(ventas de los 12 meses siguientes dentro de un año; 2 años sobre los 12 m a jun-2026, como en el backtest). Métrica:</w:t>
      </w:r>
      <w:r>
        <w:t xml:space="preserve"> </w:t>
      </w:r>
      <w:r>
        <w:rPr>
          <w:bCs/>
          <w:b/>
        </w:rPr>
        <w:t xml:space="preserve">EV/ventas NTM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EV de hoy</w:t>
      </w:r>
      <w:r>
        <w:t xml:space="preserve">: 360,93 × 372 + 4.500 − 5.070 =</w:t>
      </w:r>
      <w:r>
        <w:t xml:space="preserve"> </w:t>
      </w:r>
      <w:r>
        <w:rPr>
          <w:bCs/>
          <w:b/>
        </w:rPr>
        <w:t xml:space="preserve">~133.700 M USD</w:t>
      </w:r>
      <w:r>
        <w:t xml:space="preserve">. Ventas NTM ~3.310 M (+32 %) →</w:t>
      </w:r>
      <w:r>
        <w:t xml:space="preserve"> </w:t>
      </w:r>
      <w:r>
        <w:rPr>
          <w:bCs/>
          <w:b/>
        </w:rPr>
        <w:t xml:space="preserve">EV/ventas NTM 40,3x</w:t>
      </w:r>
      <w:r>
        <w:t xml:space="preserve">;</w:t>
      </w:r>
      <w:r>
        <w:t xml:space="preserve"> </w:t>
      </w:r>
      <w:r>
        <w:rPr>
          <w:bCs/>
          <w:b/>
        </w:rPr>
        <w:t xml:space="preserve">EV/beneficio bruto NTM 56,0x</w:t>
      </w:r>
      <w:r>
        <w:t xml:space="preserve"> </w:t>
      </w:r>
      <w:r>
        <w:t xml:space="preserve">[13].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Mediana de 3 años ~19x NTM</w:t>
      </w:r>
      <w:r>
        <w:t xml:space="preserve">,</w:t>
      </w:r>
      <w:r>
        <w:t xml:space="preserve"> </w:t>
      </w:r>
      <w:r>
        <w:rPr>
          <w:bCs/>
          <w:b/>
        </w:rPr>
        <w:t xml:space="preserve">mínimo ~12x</w:t>
      </w:r>
      <w:r>
        <w:t xml:space="preserve"> </w:t>
      </w:r>
      <w:r>
        <w:t xml:space="preserve">(oct-2023). Estimación propia con el EV de MarketScreener a cierre de cada año (16-17x en 2023-2024, ~24x a final de 2025) y Seeking Alpha (27x en abril de 2026) [8].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Mediana de comparables ~12x NTM</w:t>
      </w:r>
      <w:r>
        <w:t xml:space="preserve"> </w:t>
      </w:r>
      <w:r>
        <w:t xml:space="preserve">(estimación: CrowdStrike ~40x, Zscaler 10-15x, Datadog ~12x, Akamai 3-4x, Fastly ~2x) [23]. No influye: el alcista queda en base × 1,3.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Desaceleración</w:t>
      </w:r>
      <w:r>
        <w:t xml:space="preserve">: crecimiento NTM del 32 % frente al 27,7 % del año objetivo (regla mecánica) → factor</w:t>
      </w:r>
      <w:r>
        <w:t xml:space="preserve"> </w:t>
      </w:r>
      <w:r>
        <w:rPr>
          <w:bCs/>
          <w:b/>
        </w:rPr>
        <w:t xml:space="preserve">0,93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 obj. (M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Múltiplo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 12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Rentabilidad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Bajista (25 %)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22,6x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198,2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−45,1 %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(50 %)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37,6x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+16,5 %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Alcista (25 %)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48,9x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597,9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+65,6 %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Ponderado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409,3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+13,4 %</w:t>
            </w:r>
          </w:p>
        </w:tc>
      </w:tr>
    </w:tbl>
    <w:p>
      <w:pPr>
        <w:pStyle w:val="BodyText"/>
      </w:pPr>
      <w:r>
        <w:t xml:space="preserve">Ventas con la regla mecánica (crecimiento de partida del 32,6 %, que decae un 15 % al año; bajista la mitad, alcista ×1,2). Acciones dentro de 12 meses: 381 M (+2,5 %); la caja no suma el FCF, por la regla.</w:t>
      </w:r>
      <w:r>
        <w:t xml:space="preserve"> </w:t>
      </w:r>
      <w:r>
        <w:rPr>
          <w:bCs/>
          <w:b/>
        </w:rPr>
        <w:t xml:space="preserve">Asimetría 1,5.</w:t>
      </w:r>
      <w:r>
        <w:t xml:space="preserve"> </w:t>
      </w:r>
      <w:r>
        <w:rPr>
          <w:bCs/>
          <w:b/>
        </w:rPr>
        <w:t xml:space="preserve">Precio máximo de compra: 226,2 USD</w:t>
      </w:r>
      <w:r>
        <w:t xml:space="preserve"> </w:t>
      </w:r>
      <w:r>
        <w:t xml:space="preserve">(−37 %): es el que lleva el EV/beneficio bruto a 35x; por rentabilidad sola, el listón (ponderada 10 %, base 0 %) quedaría en ~372 USD.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Contraste con el analista</w:t>
      </w:r>
      <w:r>
        <w:t xml:space="preserve">: nuestra proyección propia (bajista 3.900, base 4.250, alcista 4.500 M, a partir del objetivo de &gt; 5.000 M anualizados a final de 2028) coincide en el base con la mecánica. No hay consenso publicado para 2028 (null).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Consenso de precio</w:t>
      </w:r>
      <w:r>
        <w:t xml:space="preserve">: el objetivo medio (MarketBeat, verano de 2026) era 254-265 USD, por debajo del precio; las subidas tras el 2T van a 330-390 USD [10].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DCF inverso</w:t>
      </w:r>
      <w:r>
        <w:t xml:space="preserve">: con un WACC del 9,5 %, un margen FCF que pasa del 12,5 % al 30 % y un crecimiento terminal del 4 %, el precio descuenta un</w:t>
      </w:r>
      <w:r>
        <w:t xml:space="preserve"> </w:t>
      </w:r>
      <w:r>
        <w:rPr>
          <w:bCs/>
          <w:b/>
        </w:rPr>
        <w:t xml:space="preserve">~34 % anual durante 10 años</w:t>
      </w:r>
      <w:r>
        <w:t xml:space="preserve"> </w:t>
      </w:r>
      <w:r>
        <w:t xml:space="preserve">(ventas de ~48.000 M USD en 2036, la cuarta parte del mercado que estima la empresa). Es más que el ritmo actual, aunque Cloudflare sea de las pocas que lo ha mantenido una década.</w:t>
      </w:r>
    </w:p>
    <w:bookmarkEnd w:id="28"/>
    <w:bookmarkStart w:id="29" w:name="foros-y-sentimiento"/>
    <w:p>
      <w:pPr>
        <w:pStyle w:val="Heading2"/>
      </w:pPr>
      <w:r>
        <w:t xml:space="preserve">10. Foros y sentimiento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Prensa y analistas</w:t>
      </w:r>
      <w:r>
        <w:t xml:space="preserve">: tono positivo tras el 2T (RBC: «la aceleración refuerza la oportunidad a largo plazo»; la dirección llamó a la IA el mayor viento de cola de su historia ya en el 1T), con voces críticas por valoración: Barchart («no es compra pese al buen panorama»), GuruFocus (GF Value de 175 USD en agosto) y Simply Wall St (P/S ~34x frente a un ratio justo de ~13x en primavera) [16].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Seeking Alpha</w:t>
      </w:r>
      <w:r>
        <w:t xml:space="preserve">: las piezas recientes encontradas reconocen el negocio pero recomiendan Mantener por el punto de entrada (mayo); no se encontraron artículos de septiembre-octubre [16].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StockTwits / X</w:t>
      </w:r>
      <w:r>
        <w:t xml:space="preserve">: sentimiento 69/100 «neutral» y menciones en caída del 60 % en tres meses (AltIndex); SentiSense marcaba «alcista» en agosto. Cortos del 3,5 % y put/call de 0,63: no hay euforia de minoristas [17].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Reddit (r/stocks, r/investing, r/CloudFlare)</w:t>
      </w:r>
      <w:r>
        <w:t xml:space="preserve">: las búsquedas no devolvieron hilos recientes indexados.</w:t>
      </w:r>
      <w:r>
        <w:t xml:space="preserve"> </w:t>
      </w:r>
      <w:r>
        <w:rPr>
          <w:bCs/>
          <w:b/>
        </w:rPr>
        <w:t xml:space="preserve">Laguna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En castellano</w:t>
      </w:r>
      <w:r>
        <w:t xml:space="preserve">: no aparecen hilos de Rankia; Investing.com México mostraba un sentimiento de usuarios mixto en julio; TIKR en español titula «ha subido un 78 % desde enero: ¿ya está descontado el rally?» [6].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Contraste con los datos</w:t>
      </w:r>
      <w:r>
        <w:t xml:space="preserve">: el giro de percepción (de «la IA se come a Cloudflare» a «Cloudflare es el peaje de los agentes») está apoyado en datos reales (aceleración, NRR, guía), pero el precio ha subido mucho más que las estimaciones: casi todo es expansión del múltiplo.</w:t>
      </w:r>
    </w:p>
    <w:bookmarkEnd w:id="29"/>
    <w:bookmarkStart w:id="30" w:name="riesgos-y-qué-rompería-la-tesis"/>
    <w:p>
      <w:pPr>
        <w:pStyle w:val="Heading2"/>
      </w:pPr>
      <w:r>
        <w:t xml:space="preserve">11. Riesgos y qué rompería la tesis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Reversión del múltiplo</w:t>
      </w:r>
      <w:r>
        <w:t xml:space="preserve">: el riesgo principal. A 40x ventas, volver a la mediana de 3 años (19x) supone −50 % con el negocio intacto. Ya pasó dos veces este año (−37 % en febrero, −24 % en mayo).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Valoración</w:t>
      </w:r>
      <w:r>
        <w:t xml:space="preserve">: EV/beneficio bruto 56x frente a 35x.</w:t>
      </w:r>
      <w:r>
        <w:t xml:space="preserve"> </w:t>
      </w:r>
      <w:r>
        <w:rPr>
          <w:bCs/>
          <w:b/>
        </w:rPr>
        <w:t xml:space="preserve">En rojo.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Pagos en acciones del ~20 % de las ventas</w:t>
      </w:r>
      <w:r>
        <w:t xml:space="preserve">:</w:t>
      </w:r>
      <w:r>
        <w:t xml:space="preserve"> </w:t>
      </w:r>
      <w:r>
        <w:rPr>
          <w:bCs/>
          <w:b/>
        </w:rPr>
        <w:t xml:space="preserve">en rojo</w:t>
      </w:r>
      <w:r>
        <w:t xml:space="preserve"> </w:t>
      </w:r>
      <w:r>
        <w:t xml:space="preserve">(&gt; 15 %); ventas continuas de directivos.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Margen bruto a la baja</w:t>
      </w:r>
      <w:r>
        <w:t xml:space="preserve"> </w:t>
      </w:r>
      <w:r>
        <w:t xml:space="preserve">por Workers/IA y la mezcla de tráfico: si baja del 70 %, el beneficio bruto crece menos que las ventas.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Competencia de gigantes</w:t>
      </w:r>
      <w:r>
        <w:t xml:space="preserve"> </w:t>
      </w:r>
      <w:r>
        <w:t xml:space="preserve">(AWS, Google, Microsoft) y de plataformas de agentes de los laboratorios de IA; Zscaler y Palo Alto en SASE.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Ejecución tras despedir al 20 %</w:t>
      </w:r>
      <w:r>
        <w:t xml:space="preserve">: riesgo en ventas y soporte si el modelo «IA primero» no rinde.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Gobierno</w:t>
      </w:r>
      <w:r>
        <w:t xml:space="preserve">: voto reforzado de los fundadores.</w:t>
      </w:r>
    </w:p>
    <w:p>
      <w:pPr>
        <w:pStyle w:val="FirstParagraph"/>
      </w:pPr>
      <w:r>
        <w:rPr>
          <w:bCs/>
          <w:b/>
        </w:rPr>
        <w:t xml:space="preserve">Señales de venta concretas</w:t>
      </w:r>
      <w:r>
        <w:t xml:space="preserve"> </w:t>
      </w:r>
      <w:r>
        <w:t xml:space="preserve">(para quien la tenga): crecimiento de ventas por debajo del 25 % dos trimestres seguidos; retención neta por debajo del 112 %; recorte de la guía anual; margen bruto GAAP por debajo del 68 %; caída bajo la media de 200 sesiones con la media girando a la baja. Hoy no hay tesis rota.</w:t>
      </w:r>
    </w:p>
    <w:bookmarkEnd w:id="30"/>
    <w:bookmarkStart w:id="31" w:name="catalizadores-con-fecha"/>
    <w:p>
      <w:pPr>
        <w:pStyle w:val="Heading2"/>
      </w:pPr>
      <w:r>
        <w:t xml:space="preserve">12. Catalizadores con fecha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Hecho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~29-oct-2026 (por confirmar)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Resultados del 3T 2026 (guía 736-737 M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+/−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Feb-2027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Resultados del 4T y guía 2027 (prueba de la «regla del 50»)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+/−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Ahorro de la reestructuración en márgenes; posible entrada en el S&amp;P 500 si gana dinero GAAP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Sep-2027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Birthday Week 2027: adopción de Pay Per Use / Monetization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Objetivos: &gt; 5.000 M anualizados y beneficio GAAP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Jun-2030 / ago-2031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Vencimientos de los convertibles (2.000 y 2.500 M; cubiertos por la caja)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neutro</w:t>
            </w:r>
          </w:p>
        </w:tc>
      </w:tr>
    </w:tbl>
    <w:bookmarkEnd w:id="31"/>
    <w:bookmarkStart w:id="32" w:name="encaje-en-cartera"/>
    <w:p>
      <w:pPr>
        <w:pStyle w:val="Heading2"/>
      </w:pPr>
      <w:r>
        <w:t xml:space="preserve">13. Encaje en cartera</w:t>
      </w:r>
    </w:p>
    <w:p>
      <w:pPr>
        <w:pStyle w:val="FirstParagraph"/>
      </w:pPr>
      <w:r>
        <w:t xml:space="preserve">Con la cartera value propuesta de ~29.800 EUR (IGLN, Edenred, Daiichi Sankyo, Uber, Viscofan, Alphabet, Netflix, SAP, Intuit, Nemetschek, LVMH y ~6.300 EUR de liquidez), el bolsillo growth podría llegar al 20 % (~5.960 EUR). Una posición de convicción media sería del 4 % (~1.190 EUR). De las growth ya analizadas (Palantir, CrowdStrike, Spotify, Rheinmetall), ninguna está en Comprar.</w:t>
      </w:r>
    </w:p>
    <w:p>
      <w:pPr>
        <w:pStyle w:val="BodyText"/>
      </w:pPr>
      <w:r>
        <w:rPr>
          <w:bCs/>
          <w:b/>
        </w:rPr>
        <w:t xml:space="preserve">Cloudflare no merece hueco hoy: peso 0 %.</w:t>
      </w:r>
      <w:r>
        <w:t xml:space="preserve"> </w:t>
      </w:r>
      <w:r>
        <w:t xml:space="preserve">La puntuación es alta (81,3) y la tendencia acompaña, pero pagar 56 veces el beneficio bruto deja un bajista del −45 % con una ponderada de solo +13 %. Además, la cartera ya está cargada de software y plataformas (Alphabet, SAP, Intuit, Nemetschek, Netflix, Uber) y Cloudflare añadiría el mismo factor (múltiplos de software de crecimiento) justo en máximos. La liquidez se queda donde está.</w:t>
      </w:r>
    </w:p>
    <w:p>
      <w:pPr>
        <w:pStyle w:val="BodyText"/>
      </w:pPr>
      <w:r>
        <w:rPr>
          <w:bCs/>
          <w:b/>
        </w:rPr>
        <w:t xml:space="preserve">Cuándo reconsiderarla</w:t>
      </w:r>
      <w:r>
        <w:t xml:space="preserve">: por debajo de</w:t>
      </w:r>
      <w:r>
        <w:t xml:space="preserve"> </w:t>
      </w:r>
      <w:r>
        <w:rPr>
          <w:bCs/>
          <w:b/>
        </w:rPr>
        <w:t xml:space="preserve">~226 USD</w:t>
      </w:r>
      <w:r>
        <w:t xml:space="preserve"> </w:t>
      </w:r>
      <w:r>
        <w:t xml:space="preserve">sin cambio de tesis (entrada en dos tramos: la mitad a ese precio y la otra tras los siguientes resultados), o si las ventas siguen acelerando por encima del 35 % y el margen bruto se estabiliza, de modo que el EV/beneficio bruto baje a 35x. Entre las growth analizadas, es la que mejor combina aceleración y tendencia: es la primera candidata a revisar tras los resultados del 3T (~29-oct).</w:t>
      </w:r>
    </w:p>
    <w:bookmarkEnd w:id="32"/>
    <w:bookmarkStart w:id="33" w:name="puntuación"/>
    <w:p>
      <w:pPr>
        <w:pStyle w:val="Heading2"/>
      </w:pPr>
      <w:r>
        <w:t xml:space="preserve">14. Puntuación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Bloque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Máx.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 Crecimiento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 12 m +33,5 % (4), CAGR a 2 años 30,4 % (4), aceleración +4,5 pp (4)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B. Mercado y tecnología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Penetración 1,9 % (5), tecnología 4, posición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C. Cambio de tendencia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6/8 señales, sin euforia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D. Economía unitaria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Margen bruto 72 % (4), regla del 40 = 46 (3), FCF creciente (5)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E. Caja y dilución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FCF positivo (5), dilución del 2,5 % (3)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F. Ejecución y dirección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Historial 5, dirección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81,3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Señal:</w:t>
            </w:r>
            <w:r>
              <w:t xml:space="preserve"> </w:t>
            </w:r>
            <w:r>
              <w:rPr>
                <w:bCs/>
                <w:b/>
              </w:rPr>
              <w:t xml:space="preserve">Mantener</w:t>
            </w:r>
            <w:r>
              <w:t xml:space="preserve">, porque el EV/beneficio bruto (56x) supera 35x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Nota sobre el método</w:t>
      </w:r>
      <w:r>
        <w:t xml:space="preserve"> </w:t>
      </w:r>
      <w:r>
        <w:t xml:space="preserve">(propuesta, sin cambiar el código): la señal 4, «mejora del múltiplo», se activa igual cuando el múltiplo empieza a subir desde un mínimo que cuando ya se ha duplicado y está al doble de su mediana de 3 años (aquí 40x frente a 19x; en CrowdStrike, 40x frente a 18x). En ese punto ya no anuncia un giro, sino que dice que el giro está cobrado. Propuesta: contarla solo si el múltiplo ha subido ≥ 20 % desde el mínimo de 12 meses</w:t>
      </w:r>
      <w:r>
        <w:t xml:space="preserve"> </w:t>
      </w:r>
      <w:r>
        <w:rPr>
          <w:bCs/>
          <w:b/>
        </w:rPr>
        <w:t xml:space="preserve">y</w:t>
      </w:r>
      <w:r>
        <w:t xml:space="preserve"> </w:t>
      </w:r>
      <w:r>
        <w:t xml:space="preserve">sigue ≤ 1,3 × su mediana de 3 años, y repasar el backtest. En Cloudflare no cambia la señal (quedarían 5/8 y 78,8 puntos), pero afinaría el bloque C.</w:t>
      </w:r>
    </w:p>
    <w:bookmarkEnd w:id="33"/>
    <w:bookmarkStart w:id="34" w:name="fuentes"/>
    <w:p>
      <w:pPr>
        <w:pStyle w:val="Heading2"/>
      </w:pPr>
      <w:r>
        <w:t xml:space="preserve">Fuentes</w:t>
      </w:r>
    </w:p>
    <w:p>
      <w:pPr>
        <w:pStyle w:val="FirstParagraph"/>
      </w:pPr>
      <w:r>
        <w:t xml:space="preserve">[1] Cloudflare, nota de resultados del 2T 2026 (6-ago-2026), 8-K ex. 99.1 (SEC) y BusinessWire.</w:t>
      </w:r>
      <w:r>
        <w:t xml:space="preserve"> </w:t>
      </w:r>
      <w:r>
        <w:t xml:space="preserve">[2] Cloudflare, 10-Q del trimestre cerrado el 30-jun-2026 (SEC): caja y valores, convertibles 2026 y 2030, acciones potenciales, retención neta.</w:t>
      </w:r>
      <w:r>
        <w:t xml:space="preserve"> </w:t>
      </w:r>
      <w:r>
        <w:t xml:space="preserve">[3] Cloudflare, notas de resultados del 1T 2026, 4T y ejercicio 2025 y 3T 2025, 8-K (SEC).</w:t>
      </w:r>
      <w:r>
        <w:t xml:space="preserve"> </w:t>
      </w:r>
      <w:r>
        <w:t xml:space="preserve">[4] Investing.com / InvestingPro (SWOT, jun-2026) y Quartr: Investor Day del 10-jun-2026 y objetivo de beneficio GAAP en 2028.</w:t>
      </w:r>
      <w:r>
        <w:t xml:space="preserve"> </w:t>
      </w:r>
      <w:r>
        <w:t xml:space="preserve">[5] Yahoo Finance, histórico de cotizaciones de NET (cierres del 6 al 9-oct-2026).</w:t>
      </w:r>
      <w:r>
        <w:t xml:space="preserve"> </w:t>
      </w:r>
      <w:r>
        <w:t xml:space="preserve">[6] TIKR, «Cloudflare stock is up 78% since January» (oct-2026, también en español); Trade-Ideas (4-oct-2026).</w:t>
      </w:r>
      <w:r>
        <w:t xml:space="preserve"> </w:t>
      </w:r>
      <w:r>
        <w:t xml:space="preserve">[7] MarketBeat / TipRanks: cierre del 15-oct-2025.</w:t>
      </w:r>
      <w:r>
        <w:t xml:space="preserve"> </w:t>
      </w:r>
      <w:r>
        <w:t xml:space="preserve">[8] Seeking Alpha, métricas de valoración (7-abr-2026); MarketScreener, valoración histórica; cálculos propios.</w:t>
      </w:r>
      <w:r>
        <w:t xml:space="preserve"> </w:t>
      </w:r>
      <w:r>
        <w:t xml:space="preserve">[9] Reuters (vía Lufkin Daily News), guía del 2T 2026 frente al consenso LSEG.</w:t>
      </w:r>
      <w:r>
        <w:t xml:space="preserve"> </w:t>
      </w:r>
      <w:r>
        <w:t xml:space="preserve">[10] StockAnalysis (subidas de precio objetivo tras el 2T); MarketBeat (20-jul-2026).</w:t>
      </w:r>
      <w:r>
        <w:t xml:space="preserve"> </w:t>
      </w:r>
      <w:r>
        <w:t xml:space="preserve">[11] 24/7 Wall St. (máximos de 52 semanas, ago-sep-2026); Bullfincher (mínimo de 52 semanas).</w:t>
      </w:r>
      <w:r>
        <w:t xml:space="preserve"> </w:t>
      </w:r>
      <w:r>
        <w:t xml:space="preserve">[12] Motley Fool (6-mar-2026); TIKR (mayo-2026); Simply Wall St (abr-2026).</w:t>
      </w:r>
      <w:r>
        <w:t xml:space="preserve"> </w:t>
      </w:r>
      <w:r>
        <w:t xml:space="preserve">[13] Cálculo propio del EV y de las ventas NTM.</w:t>
      </w:r>
      <w:r>
        <w:t xml:space="preserve"> </w:t>
      </w:r>
      <w:r>
        <w:t xml:space="preserve">[14] Reuters (vía ARY News) y TIKR (mayo-2026): margen bruto del 1T y comentarios del director financiero.</w:t>
      </w:r>
      <w:r>
        <w:t xml:space="preserve"> </w:t>
      </w:r>
      <w:r>
        <w:t xml:space="preserve">[15] Barchart, Yahoo Finance y Mahoning Matters (mayo-2026): caída tras el 1T y despidos.</w:t>
      </w:r>
      <w:r>
        <w:t xml:space="preserve"> </w:t>
      </w:r>
      <w:r>
        <w:t xml:space="preserve">[16] Barchart; GuruFocus (7-ago-2026); Pluang / Seeking Alpha (mayo-2026); Simply Wall St.</w:t>
      </w:r>
      <w:r>
        <w:t xml:space="preserve"> </w:t>
      </w:r>
      <w:r>
        <w:t xml:space="preserve">[17] AltIndex (StockTwits); SentiSense (ago-2026); Benzinga (sentimiento).</w:t>
      </w:r>
      <w:r>
        <w:t xml:space="preserve"> </w:t>
      </w:r>
      <w:r>
        <w:t xml:space="preserve">[18] SEC, formularios 4 de Cloudflare (2026); agregadores 13F.</w:t>
      </w:r>
      <w:r>
        <w:t xml:space="preserve"> </w:t>
      </w:r>
      <w:r>
        <w:t xml:space="preserve">[19] Cloudflare blog, «Everything we launched during Birthday Week 2026» (30-sep-2026).</w:t>
      </w:r>
      <w:r>
        <w:t xml:space="preserve"> </w:t>
      </w:r>
      <w:r>
        <w:t xml:space="preserve">[20] Barchart (mercado potencial de 196.000 M USD en 2026); Investing.com (231.000 M en 2028, estimación de analistas).</w:t>
      </w:r>
      <w:r>
        <w:t xml:space="preserve"> </w:t>
      </w:r>
      <w:r>
        <w:t xml:space="preserve">[21] Cloudflare, nota de precio (11-ago-2026) y 8-K (13-ago-2026) de los convertibles 2031; caja estimada por el analista.</w:t>
      </w:r>
      <w:r>
        <w:t xml:space="preserve"> </w:t>
      </w:r>
      <w:r>
        <w:t xml:space="preserve">[22] Notas de resultados trimestrales históricas de Cloudflare (parte de memoria del analista, señalado en</w:t>
      </w:r>
      <w:r>
        <w:t xml:space="preserve"> </w:t>
      </w:r>
      <w:r>
        <w:rPr>
          <w:rStyle w:val="VerbatimChar"/>
        </w:rPr>
        <w:t xml:space="preserve">datos.json</w:t>
      </w:r>
      <w:r>
        <w:t xml:space="preserve">).</w:t>
      </w:r>
      <w:r>
        <w:t xml:space="preserve"> </w:t>
      </w:r>
      <w:r>
        <w:t xml:space="preserve">[23] Substack sergeycyw y multiples.vc (Zscaler); Clouded Judgement (30-ene-2026); Value Add VC (2026); estimaciones propias.</w:t>
      </w:r>
      <w:r>
        <w:t xml:space="preserve"> </w:t>
      </w:r>
      <w:r>
        <w:t xml:space="preserve">[24] Panabee (pagos en acciones del 1S 2026); dilución estimada por el analista.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2026-10-14T15:10:39Z</dcterms:created>
  <dcterms:modified xsi:type="dcterms:W3CDTF">2026-10-14T15:10:39Z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