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Gentex Corporation</w:t>
      </w:r>
    </w:p>
    <w:p>
      <w:pPr>
        <w:spacing w:after="60"/>
        <w:rPr>
          <w:color w:val="52514E"/>
          <w:sz w:val="22"/>
          <w:szCs w:val="22"/>
        </w:rPr>
      </w:pPr>
      <w:r>
        <w:rPr>
          <w:color w:val="52514E"/>
          <w:sz w:val="22"/>
          <w:szCs w:val="22"/>
        </w:rPr>
        <w:t xml:space="preserve">GNTX · Nasdaq Global Select · ISIN US3719011096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20,78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24,99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+22,5 % (base +19,2 %)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26,25 USD · mercado 29,79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4.378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Gentex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GNTX / US3719011096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Componentes de automóvil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Zeeland (Michigan, EE. UU.) · 1974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https://www.gentex.com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20,48 – 26,99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54,7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24,99 USD</w:t>
      </w:r>
      <w:r>
        <w:t xml:space="preserve"> frente a 20,78 · Rentabilidad a 12 meses </w:t>
      </w:r>
      <w:r>
        <w:rPr>
          <w:b/>
          <w:bCs/>
        </w:rPr>
        <w:t xml:space="preserve">+22,5 % (base +19,2 %)</w:t>
      </w:r>
      <w:r>
        <w:t xml:space="preserve"> · Valor intrínseco 26,25 USD · con la prima implícita del mercado: 29,79 (+43,4 %) · Alcista / bajista +48,3 % / +5,0 %</w:t>
      </w:r>
    </w:p>
    <w:p>
      <w:pPr>
        <w:spacing w:after="100"/>
      </w:pPr>
      <w:r>
        <w:rPr>
          <w:b/>
        </w:rPr>
        <w:t xml:space="preserve">La recomendación y por qué.</w:t>
      </w:r>
      <w:r>
        <w:t xml:space="preserve"> Comprar con convicción media según la regla vigente (v3): el objetivo a 12 meses es de 24,99 USD, con una rentabilidad ponderada del 22,5 % y del 19,2 % en el caso base (dividendo incluido), y el valor intrínseco de 26,25 USD (+26,3 %) también queda por encima del precio de 20,78; el objetivo medio de los analistas (27,28) está por encima del nuestro. La asimetría a 12 meses es de 3,0 (−21 % en el bajista, +73 % en el alcista). La convicción es media porque la compra no es robusta (con la regla v2 de control, 11,4 %) y el 23 de octubre publica el 3T26, el primer trimestre sin devolución de aranceles: subiría con un margen bruto por encima del 34 % sin ayudas y bajaría por debajo del 33 %. </w:t>
      </w:r>
      <w:r>
        <w:rPr>
          <w:b/>
        </w:rPr>
        <w:t xml:space="preserve">La acción robusta es Mantener</w:t>
      </w:r>
      <w:r>
        <w:t xml:space="preserve">: pasa con las dos reglas por debajo de 20,13 USD.</w:t>
      </w:r>
    </w:p>
    <w:p>
      <w:pPr>
        <w:spacing w:after="100"/>
      </w:pPr>
      <w:r>
        <w:rPr>
          <w:b/>
        </w:rPr>
        <w:t xml:space="preserve">El negocio.</w:t>
      </w:r>
      <w:r>
        <w:t xml:space="preserve"> Gentex tiene el 79 % del mercado mundial de espejos atenuables, un margen EBITDA del 23,5 % (frente al 14,1 % de mediana de los comparables) y caja neta [1]. Crea valor: ROIC del 17,9 % frente a un WACC del 10,70 %, 7,2 puntos por encima (21,1 % sin el fondo de comercio de HomeLink). Pero el foso se estrecha: la cuota era del 91 % en 2021, el margen EBITDA del 35,7 % en 2016 y el ROIC incremental de la década es del 6,8 %. Veredicto de calidad: </w:t>
      </w:r>
      <w:r>
        <w:rPr>
          <w:b/>
        </w:rPr>
        <w:t xml:space="preserve">sí</w:t>
      </w:r>
      <w:r>
        <w:t xml:space="preserve"> (pasa el ROIC − WACC y la sostenibilidad), con tendencia a la baja. </w:t>
      </w:r>
      <w:r>
        <w:rPr>
          <w:b/>
        </w:rPr>
        <w:t xml:space="preserve">Sostenibilidad del crecimiento: sí</w:t>
      </w:r>
      <w:r>
        <w:t xml:space="preserve">: proyectamos un 3,6 % anual, menos que el 4,1 % orgánico de 2016-2024, y sale del contenido por coche ya adjudicado (FDM, DMS/ICMS), no de cuota ni de margen.</w:t>
      </w:r>
    </w:p>
    <w:p>
      <w:pPr>
        <w:spacing w:after="100"/>
      </w:pPr>
      <w:r>
        <w:rPr>
          <w:b/>
        </w:rPr>
        <w:t xml:space="preserve">Sector y ciclo.</w:t>
      </w:r>
      <w:r>
        <w:t xml:space="preserve"> El ciclo está maduro: la producción en sus mercados baja un 3 % en 2026 y queda plana en 2027 [3]; China está cerrada por los aranceles (29 M de ventas por trimestre) [3]. Es cíclica: el bajista repite un 2020.</w:t>
      </w:r>
    </w:p>
    <w:p>
      <w:pPr>
        <w:spacing w:after="100"/>
      </w:pPr>
      <w:r>
        <w:rPr>
          <w:b/>
        </w:rPr>
        <w:t xml:space="preserve">Finanzas.</w:t>
      </w:r>
      <w:r>
        <w:t xml:space="preserve"> El BPA récord del 2T26 (0,54 USD) lleva 18 M de devolución de aranceles; nuestro BPA normalizado es de 1,98 USD en 2026 y 2,24 en 2027, un 2 % sobre el consenso [3, 22]. Flujo libre del 11,3 % de la capitalización.</w:t>
      </w:r>
    </w:p>
    <w:p>
      <w:pPr>
        <w:spacing w:after="100"/>
      </w:pPr>
      <w:r>
        <w:rPr>
          <w:b/>
        </w:rPr>
        <w:t xml:space="preserve">Equipo y gobierno.</w:t>
      </w:r>
      <w:r>
        <w:t xml:space="preserve"> Gobierno correcto (presidente independiente, variable a largo plazo por EBITDA y ROIC), pero todos los directivos vendieron en febrero a ≈25 USD [18, 20].</w:t>
      </w:r>
    </w:p>
    <w:p>
      <w:pPr>
        <w:spacing w:after="100"/>
      </w:pPr>
      <w:r>
        <w:rPr>
          <w:b/>
        </w:rPr>
        <w:t xml:space="preserve">Valoración.</w:t>
      </w:r>
      <w:r>
        <w:t xml:space="preserve"> El DCF da 28,06 USD; el precio descuenta que las ventas caigan un 6,8 % al año o que el margen EBITDA baje al 18,2 %, algo que no ha pasado en diez años. Cotiza a 9,3 veces nuestro BPA de 2027, en línea con los comparables (10,0x) pese a tener el doble de margen, y a un 32 % por debajo de su PER medio de ocho años. Discrepamos del mercado en el margen: el precio supone que la erosión de la década continúa; nosotros, que se ha frenado desde 2024.</w:t>
      </w:r>
    </w:p>
    <w:p>
      <w:pPr>
        <w:spacing w:after="100"/>
      </w:pPr>
      <w:r>
        <w:rPr>
          <w:b/>
        </w:rPr>
        <w:t xml:space="preserve">Riesgos y catalizadores.</w:t>
      </w:r>
      <w:r>
        <w:t xml:space="preserve"> Los mayores: que el margen retome la caída (−20 % de valor), una recesión del automóvil en 2028 (−21 % a 12 meses) y que los proveedores chinos ganen programas fuera de China (−15 %). El riesgo de IA es bajo y mixto (±3 %). Catalizadores: 3T26 el 23-oct-2026 y guía de 2027 a finales de enero. Los foros están divididos y empeoran, con la rebaja de Goldman a Vender por costes y China [29].</w:t>
      </w:r>
    </w:p>
    <w:p>
      <w:pPr>
        <w:spacing w:after="100"/>
      </w:pPr>
      <w:r>
        <w:rPr>
          <w:b/>
        </w:rPr>
        <w:t xml:space="preserve">Qué cambiaría la decisión.</w:t>
      </w:r>
      <w:r>
        <w:t xml:space="preserve"> La regla da Comprar por debajo de 22,11 USD y Vender por encima de 28,29; la compra robusta, por debajo de 20,13, mejor en dos tramos tras el 3T26. Pasaríamos a Mantener si el margen bruto subyacente baja del 33 % o si se recorta la guía de 2027 por debajo de 2.750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24,99 USD</w:t>
      </w:r>
      <w:r>
        <w:t xml:space="preserve"> (rentabilidad +22,5 % (base +19,2 %)) · Valor intrínseco: 26,25 USD (+26,3 % sobre 20,78) · con la prima implícita del mercado: 29,79 (+43,4 %)</w:t>
      </w:r>
    </w:p>
    <w:p>
      <w:pPr>
        <w:spacing w:after="100"/>
      </w:pPr>
      <w:r>
        <w:t xml:space="preserve">Gentex es el fabricante casi único de espejos retrovisores que se oscurecen solos: el 79 % del mercado mundial, un margen EBITDA del 23,5 %, ROIC del 17,9 % y caja neta [1]. Vende por unidad a casi todos los fabricantes del mundo y ha crecido un 4 % al año durante una década con la producción plana, metiendo más electrónica en cada espejo (FDM, HomeLink, cámaras de cabina) [1].</w:t>
      </w:r>
    </w:p>
    <w:p>
      <w:pPr>
        <w:spacing w:after="100"/>
      </w:pPr>
      <w:r>
        <w:t xml:space="preserve">El precio de 20,78 USD descuenta un declive: 9,3 veces nuestro beneficio de 2027, 6,5 veces el EBITDA y un 11,3 % de rentabilidad por flujo libre; el DCF inverso pide que las ventas caigan un 6,8 % al año o que el margen baje al 18,2 %. El mercado ha visto cómo la cuota pasaba del 91 % al 79 %, el margen del 36 % al 23 % y el BPA se quedaba plano desde 2023, y ha concluido que la erosión sigue.</w:t>
      </w:r>
    </w:p>
    <w:p>
      <w:pPr>
        <w:spacing w:after="100"/>
      </w:pPr>
      <w:r>
        <w:t xml:space="preserve">Para invertir hay que creer que el margen se ha estabilizado (34,7 % de margen bruto sin VOXX en 2025, el mejor desde 2021) y que los lanzamientos de DMS/ICMS y FDM bastan para crecer un 3-4 % sin China. Si es así, el PER solo tiene que subir de 9,3 a 10,2 veces para dar un 19 % en un año con el dividendo. Si no, el bajista cuesta un 21 %.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1,94 = 15,91 · 10,2x × 2,38 = 24,28 · 13,8x × 2,57 = 35,47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 / 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27,28 (nuestro base -11,0 %)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 /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 frente a 10,7 %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n.d. (&lt; 2))</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22,11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22,11 y 28,29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28,29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margen bruto del 3T26 o del 4T26, sin devoluciones de aranceles, baja del 33 %, pasaríamos a Mantener.</w:t>
      </w:r>
    </w:p>
    <w:p>
      <w:pPr>
        <w:pStyle w:val="ListParagraph"/>
        <w:numPr>
          <w:ilvl w:val="0"/>
          <w:numId w:val="2"/>
        </w:numPr>
        <w:spacing w:after="60"/>
      </w:pPr>
      <w:r>
        <w:t xml:space="preserve">Si la guía de ventas de 2027 baja de 2.750 M en enero de 2027, revisaríamos el base y probablemente pasaríamos a Mantener.</w:t>
      </w:r>
    </w:p>
    <w:p>
      <w:pPr>
        <w:pStyle w:val="ListParagraph"/>
        <w:numPr>
          <w:ilvl w:val="0"/>
          <w:numId w:val="2"/>
        </w:numPr>
        <w:spacing w:after="60"/>
      </w:pPr>
      <w:r>
        <w:t xml:space="preserve">Si un proveedor chino gana un programa de espejos o FDM de un cliente europeo o japonés de Gentex, rebajaríamos el foso y el múltiplo.</w:t>
      </w:r>
    </w:p>
    <w:p>
      <w:pPr>
        <w:pStyle w:val="ListParagraph"/>
        <w:numPr>
          <w:ilvl w:val="0"/>
          <w:numId w:val="2"/>
        </w:numPr>
        <w:spacing w:after="60"/>
      </w:pPr>
      <w:r>
        <w:t xml:space="preserve">Por encima de 28,29 USD la regla da Vender; por debajo de 22,11 da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Gentex es un proveedor de automoción en declive estructural: pierde China, pierde margen cada año y su crecimiento depende de productos que todavía no han demostrado escala. Por eso lo valora como a Lear o Magna (PER de 8-10 veces) aunque tenga el doble de margen y caja neta, con una posición corta del 9,3 % del flotante.</w:t>
      </w:r>
    </w:p>
    <w:p>
      <w:pPr>
        <w:keepNext/>
        <w:spacing w:after="100"/>
      </w:pPr>
      <w:r>
        <w:rPr>
          <w:b/>
          <w:bCs/>
        </w:rPr>
        <w:t xml:space="preserve">Lo que creemos nosotros.</w:t>
      </w:r>
    </w:p>
    <w:p>
      <w:pPr>
        <w:spacing w:after="100"/>
      </w:pPr>
      <w:r>
        <w:t xml:space="preserve">La erosión del margen fue de 2016-2023 (precios, chips, inflación) y se ha frenado: el margen bruto sin VOXX subió al 34,7 % en 2025 y la guía de 2026 es del 34,5-35,5 %. Con un margen del 23,5 % y un crecimiento del 4 %, Gentex vale 26-28 USD y su BPA crece un 6-8 % al año con las recompras.</w:t>
      </w:r>
    </w:p>
    <w:p>
      <w:pPr>
        <w:keepNext/>
        <w:spacing w:after="100"/>
      </w:pPr>
      <w:r>
        <w:rPr>
          <w:b/>
          <w:bCs/>
        </w:rPr>
        <w:t xml:space="preserve">Por qué podemos tener razón.</w:t>
      </w:r>
    </w:p>
    <w:p>
      <w:pPr>
        <w:spacing w:after="100"/>
      </w:pPr>
      <w:r>
        <w:t xml:space="preserve">Porque las causas de la caída fueron concretas y se han ido: la escasez de chips terminó, el capex volvió a la amortización y China ya no está en las cifras (se cayó en 2025 y no puede volver a caer). El riesgo de que tengamos razón tarde es el ciclo: en una recesión del automóvil el mercado no esperará a ver el margen.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0,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Dominio del nicho</w:t>
      </w:r>
      <w:r>
        <w:t xml:space="preserve">: 79 % del mercado mundial de espejos atenuables y proveedor de casi todos los fabricantes [1].</w:t>
      </w:r>
    </w:p>
    <w:p>
      <w:pPr>
        <w:pStyle w:val="ListParagraph"/>
        <w:numPr>
          <w:ilvl w:val="0"/>
          <w:numId w:val="2"/>
        </w:numPr>
        <w:spacing w:after="60"/>
      </w:pPr>
      <w:r>
        <w:rPr>
          <w:b/>
        </w:rPr>
        <w:t xml:space="preserve">Barata</w:t>
      </w:r>
      <w:r>
        <w:t xml:space="preserve">: 9,3 veces nuestro BPA de 2027 y 11,3 % de rentabilidad por flujo libre, con caja neta de 342 M y sin deuda [2].</w:t>
      </w:r>
    </w:p>
    <w:p>
      <w:pPr>
        <w:pStyle w:val="ListParagraph"/>
        <w:numPr>
          <w:ilvl w:val="0"/>
          <w:numId w:val="2"/>
        </w:numPr>
        <w:spacing w:after="60"/>
      </w:pPr>
      <w:r>
        <w:rPr>
          <w:b/>
        </w:rPr>
        <w:t xml:space="preserve">Margen estabilizado</w:t>
      </w:r>
      <w:r>
        <w:t xml:space="preserve">: margen bruto del 34,7 % sin VOXX en 2025 y guía del 34,5-35,5 % para 2026 [3, 5].</w:t>
      </w:r>
    </w:p>
    <w:p>
      <w:pPr>
        <w:pStyle w:val="ListParagraph"/>
        <w:numPr>
          <w:ilvl w:val="0"/>
          <w:numId w:val="2"/>
        </w:numPr>
        <w:spacing w:after="60"/>
      </w:pPr>
      <w:r>
        <w:rPr>
          <w:b/>
        </w:rPr>
        <w:t xml:space="preserve">Recompras</w:t>
      </w:r>
      <w:r>
        <w:t xml:space="preserve">: 2.713 M recomprados en diez años (−25 % de acciones) y autorización para el 14 % del capital [2].</w:t>
      </w:r>
    </w:p>
    <w:p>
      <w:pPr>
        <w:pStyle w:val="ListParagraph"/>
        <w:numPr>
          <w:ilvl w:val="0"/>
          <w:numId w:val="2"/>
        </w:numPr>
        <w:spacing w:after="60"/>
      </w:pPr>
      <w:r>
        <w:rPr>
          <w:b/>
        </w:rPr>
        <w:t xml:space="preserve">Contenido por coche</w:t>
      </w:r>
      <w:r>
        <w:t xml:space="preserve">: más del 75 % de los lanzamientos llevan funciones avanzadas; DMS/ICMS en BMW y Kia [2].</w:t>
      </w:r>
    </w:p>
    <w:p>
      <w:pPr>
        <w:pStyle w:val="Heading2"/>
      </w:pPr>
      <w:r>
        <w:t xml:space="preserve">En contra</w:t>
      </w:r>
    </w:p>
    <w:p>
      <w:pPr>
        <w:pStyle w:val="ListParagraph"/>
        <w:numPr>
          <w:ilvl w:val="0"/>
          <w:numId w:val="2"/>
        </w:numPr>
        <w:spacing w:after="60"/>
      </w:pPr>
      <w:r>
        <w:rPr>
          <w:b/>
        </w:rPr>
        <w:t xml:space="preserve">Foso que se estrecha</w:t>
      </w:r>
      <w:r>
        <w:t xml:space="preserve">: cuota del 91 % en 2021 al 79 % en 2025, con China perdida [1, 12].</w:t>
      </w:r>
    </w:p>
    <w:p>
      <w:pPr>
        <w:pStyle w:val="ListParagraph"/>
        <w:numPr>
          <w:ilvl w:val="0"/>
          <w:numId w:val="2"/>
        </w:numPr>
        <w:spacing w:after="60"/>
      </w:pPr>
      <w:r>
        <w:rPr>
          <w:b/>
        </w:rPr>
        <w:t xml:space="preserve">Margen en declive largo</w:t>
      </w:r>
      <w:r>
        <w:t xml:space="preserve">: EBITDA del 35,7 % de las ventas en 2016 al 23,5 % en 2025; ROIC del 27 % al 18 %.</w:t>
      </w:r>
    </w:p>
    <w:p>
      <w:pPr>
        <w:pStyle w:val="ListParagraph"/>
        <w:numPr>
          <w:ilvl w:val="0"/>
          <w:numId w:val="2"/>
        </w:numPr>
        <w:spacing w:after="60"/>
      </w:pPr>
      <w:r>
        <w:rPr>
          <w:b/>
        </w:rPr>
        <w:t xml:space="preserve">Ciclo</w:t>
      </w:r>
      <w:r>
        <w:t xml:space="preserve">: la producción en sus mercados baja un 3 % en 2026 y queda plana en 2027 [3].</w:t>
      </w:r>
    </w:p>
    <w:p>
      <w:pPr>
        <w:pStyle w:val="ListParagraph"/>
        <w:numPr>
          <w:ilvl w:val="0"/>
          <w:numId w:val="2"/>
        </w:numPr>
        <w:spacing w:after="60"/>
      </w:pPr>
      <w:r>
        <w:rPr>
          <w:b/>
        </w:rPr>
        <w:t xml:space="preserve">Concentración</w:t>
      </w:r>
      <w:r>
        <w:t xml:space="preserve">: Toyota, VW y GM, el 39 % de las ventas [1].</w:t>
      </w:r>
    </w:p>
    <w:p>
      <w:pPr>
        <w:pStyle w:val="ListParagraph"/>
        <w:numPr>
          <w:ilvl w:val="0"/>
          <w:numId w:val="2"/>
        </w:numPr>
        <w:spacing w:after="60"/>
      </w:pPr>
      <w:r>
        <w:rPr>
          <w:b/>
        </w:rPr>
        <w:t xml:space="preserve">Directivos vendedores</w:t>
      </w:r>
      <w:r>
        <w:t xml:space="preserve">: ventas de todo el equipo en febrero de 2026 y ninguna compra en 12 meses [20].</w:t>
      </w:r>
    </w:p>
    <w:p>
      <w:pPr>
        <w:pStyle w:val="Heading2"/>
      </w:pPr>
      <w:r>
        <w:t xml:space="preserve">Qué tiene que pasar para que la tesis funcione</w:t>
      </w:r>
    </w:p>
    <w:p>
      <w:pPr>
        <w:spacing w:after="100"/>
      </w:pPr>
      <w:r>
        <w:t xml:space="preserve">La tesis depende de que el margen bruto subyacente se mantenga en el 34-35 % sin devoluciones de aranceles. La señal de que no se cumple sería un 3T26 o un 4T26 con margen bruto por debajo del 33,5 % y ventas por debajo de 640 M por trimestre, o una guía de 2027 recortada por debajo de 2.750 M a finales de enero.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devoluciones de aranceles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 (2T26 sin los 18 M); 34,7 % en 2025 sin VOXX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BPA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Espejos atenuables enviados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base del negocio frente a la producción.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China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pérdida de China ha tocado fondo.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vehículos en sus mercados en 2027 (S&amp;P Global Mobility)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74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es la variable cíclica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en circulación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207 M a final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Nuestro BPA supone recompras moderadas.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 / 9,6x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Gentex nació en 1974 en Zeeland (Michigan) fabricando detectores de humo y encontró su negocio en 1987, cuando lanzó el primer espejo retrovisor electrocrómico para coches: un gel que se oscurece con corriente y quita el deslumbramiento [1]. Desde entonces ha sido el proveedor casi único del producto, con cuotas del 91 % en 2021 y del 89 % en 2023 [9, 12]. Ha ido metiendo electrónica en el espejo: brújula, HomeLink (comprado a Johnson Controls en 2013), el Full Display Mirror con cámara (2016) y, desde 2025, cámaras de vigilancia del conductor y de la cabina [1, 2]. En 2025 cambió de perfil: los aranceles con China cortaron sus exportaciones (cuota mundial del 79 %) y compró VOXX, con Klipsch y Onkyo, para crecer fuera del automóvil [1,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Fred Bauer funda Gentex en Zeeland (Michigan) para fabricar detectores de humo.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espejo retrovisor interior atenuable automático (todavía no electrocrómico).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el primer espejo electrocrómico comercial para automóviles.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Ventanillas atenuables para aviones (después, Boeing 787).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HomeLink a Johnson Controls por unos 700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el Full Display Mirror (retrovisor con pantalla de cámara) con General Motors.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 Downing, CEO.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91 % en espejos atenuables [12]; la falta de chips hunde la producción de coches.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contraaranceles con China: Gentex frena las exportaciones a ese mercado; compra VOXX (Klipsch, Onkyo, EyeLock) el 1-abr-2025; cuota del 79 %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Devoluciones de aranceles IEEPA (38 M cobrados en el 2T26) y primeros lanzamientos de DMS/ICMS en Europa con BMW y Kia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Gentex fabrica en Michigan (y desde hace poco en México y Marruecos) espejos retrovisores interiores y exteriores que se oscurecen solos, el retrovisor con pantalla Full Display Mirror (FDM), el mando de garaje HomeLink, cámaras de vigilancia del conductor y de la cabina (DMS/ICMS) y dispositivos atenuables para viseras, techos y ventanillas de avión [1, 2]. Vende a casi todos los fabricantes de automóviles, directamente o a través de sus proveedores de primer nivel; automoción es el 89 % de las ventas de 2025 [1]. Desde abril de 2025 suma VOXX: audio premium (Klipsch, Onkyo, Integra; 151 M en nueve meses), electrónica de posventa y consumo y la biometría de iris EyeLock [1]. El resto es pequeño: detectores de incendio, médico y biometría (127 M en 2025, con pérdidas) [1].</w:t>
      </w:r>
    </w:p>
    <w:p>
      <w:pPr>
        <w:pStyle w:val="Heading2"/>
      </w:pPr>
      <w:r>
        <w:t xml:space="preserve">Cómo gana dinero</w:t>
      </w:r>
    </w:p>
    <w:p>
      <w:pPr>
        <w:spacing w:after="100"/>
      </w:pPr>
      <w:r>
        <w:t xml:space="preserve">El ingreso es casi todo recurrente en la práctica: cada programa se adjudica para la vida de un modelo (5-7 años) y se cobra por unidad fabricada, así que las ventas siguen a la producción de coches de sus clientes más el contenido por vehículo. El margen depende de tres cosas: el volumen (con un margen bruto del 34 % y gastos de 400 M casi fijos, el apalancamiento operativo es alto: en 2020 las ventas cayeron un 9 % y el EBIT un 18 %) [10]; la mezcla (un FDM o un DMS valen varias veces un espejo básico); y las rebajas anuales de precio que piden los fabricantes, que Gentex compensa con compras y automatización [3]. Los aranceles y los metales preciosos son el coste variable que más se ha movido en 2025-2026 [3,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Automoción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Audio premium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Automoción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Audio premium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Toyota (18 % de las ventas de 2025), Volkswagen (11 %) y General Motors (10 %) superan cada uno el 10 %; los tres suman el 39 %, frente al 44 % de 2024 [1]. Los contratos son por programa, sin volumen garantizado. El poder de precios es limitado: los fabricantes piden rebajas cada año y el margen bruto bajó del ≈40 % de 2016 al 33,3 % de 2024 por precio, mezcla e inflación de costes [10]; la recuperación al 34,7 % del negocio sin VOXX en 2025 vino de compras más baratas y eficiencia, no de subir precios [5]. Con los aranceles solo recuperó de los clientes ≈5 M de los ≈42 M pagados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Espejos atenuables enviados (millones de unidades,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Interiores internacionales −19 %; Norteamérica +4 %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China (M USD,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−20 % interanual en ingresos de China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contraaranceles desde abr-2025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≈18 M de devolución de aranceles IEEPA; sin ella ≈34,2 %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audio premium (M USD,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Klipsch y Onkyo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 no automoción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por VOXX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en circulación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(2024, diluidas medias)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 (24-jul-2026)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 316 M en 2025 y 138 M en el 1S26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espejos retrovisores atenuables automáticos para vehículos ligeros, en todo el mundo, que es donde Gentex mide su cuota (79 % en unidades en 2025) [1]. Dos estudios lo sitúan en 2.100-2.310 M USD en 2025, con crecimientos del 4,5-5 % anual [13, 14]; usamos el de The Business Research Company porque da la serie hasta 2030. Ojo: Gentex vende más que ese mercado en su segmento de automoción (2.256 M) porque su cifra incluye HomeLink, FDM, cámaras y electrónica; la cuota en unidades es la referencia útil y la prueba de cuota de la sostenibilidad se hace a mano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2.310 M USD en 2025 (espejos atenuables automáticos, mundo) [13]; otra fuente da 2.100 M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espejos atenuables automáticos, mun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vehículos ligeros en los mercados de Gentex</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Mobility: 75,5 M de vehículos en 2026 en Norteamérica, Europa, Japón/Corea y China, un 3 % menos que en 2025, y 75,25 M en 2027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 por vehículo (FDM, DMS/ICMS, exteriores con funciones, HomeLink)</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75 % de los lanzamientos del 2T26 llevan funciones avanzadas; el FDM crece 200.000-400.000 unidades en 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EE. UU.-China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China de ≈34 M por trimestre en 2S25 frente a 50-60 M previstos; 29,4 M en el 2T26 [3,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gama en Europa y coches eléctricos baratos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Espejos interiores internacionales −26 % en el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metales preciosos y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cita metales preciosos «significativamente más caros» en el 1T26 y el 2T26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Gentex tiene el 79 % mundial; Magna Mirrors es el único rival occidental con escala, y los chinos compiten sobre todo en su mercado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fabricantes (Toyota 18 %, Volkswagen 11 %, GM 10 %) pesan el 39 % de las ventas y piden rebajas anuales de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Electrónica, vidrio y metales preciosos; en 2021-2022 la escasez de chips y la inflación bajaron el margen bruto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patentes y la homologación protegen fuera de China; dentro, varios fabricantes locales ya venden espejos atenuables y FDM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Cámaras y pantallas (retrovisor digital) sustituyen al espejo; Gentex vende su propio FDM, pero Panasonic y proveedores chinos ofrecen productos equivalentes [1].</w:t>
            </w:r>
          </w:p>
        </w:tc>
      </w:tr>
    </w:tbl>
    <w:p>
      <w:pPr>
        <w:spacing w:after="160" w:before="0"/>
      </w:pPr>
    </w:p>
    <w:p>
      <w:pPr>
        <w:pStyle w:val="Heading2"/>
      </w:pPr>
      <w:r>
        <w:t xml:space="preserve">Ciclo</w:t>
      </w:r>
    </w:p>
    <w:p>
      <w:pPr>
        <w:spacing w:after="100"/>
      </w:pPr>
      <w:r>
        <w:t xml:space="preserve">La producción de vehículos ligeros en los mercados de Gentex (Norteamérica, Europa, Japón/Corea y China) bajará un 3 % en 2026, a 75,5 M, y quedará plana en 2027 según S&amp;P Global Mobility [3]. En 2020 las ventas de Gentex cayeron un 9 % y el EBIT un 18 %; en 2021-2022 la falta de chips y la inflación bajaron el margen EBITDA del 29 % al 24 % [10]. Hoy el ciclo está maduro: volúmenes planos, Europa bajando de gama y China cerrada por aranceles; Norteamérica es lo que sostiene (+6 % de espejos en el 2T26) [3].</w:t>
      </w:r>
    </w:p>
    <w:p>
      <w:pPr>
        <w:pStyle w:val="Heading2"/>
      </w:pPr>
      <w:r>
        <w:t xml:space="preserve">Regulación</w:t>
      </w:r>
    </w:p>
    <w:p>
      <w:pPr>
        <w:spacing w:after="100"/>
      </w:pPr>
      <w:r>
        <w:t xml:space="preserve">Lo que más mueve las cifras son los aranceles. Los IEEPA de 2025 costaron a Gentex ≈42 M directos; tras su anulación ha cobrado ≈38 M de devolución hasta junio de 2026, 18 M de ellos contra el coste de ventas del 2T26 [2]. Siguen otros aranceles no IEEPA, y los contraaranceles chinos han dejado sus ventas en China en ≈29 M por trimestre [3]. A favor: la normativa europea de seguridad general (vigilancia de la atención del conductor obligatoria en coches nuevos desde 2024) y los protocolos de Euro NCAP empujan los DMS e ICMS que Gentex empieza a vender [2].</w:t>
      </w:r>
    </w:p>
    <w:p>
      <w:pPr>
        <w:pStyle w:val="Heading2"/>
      </w:pPr>
      <w:r>
        <w:t xml:space="preserve">Tendencias y disrupción</w:t>
      </w:r>
    </w:p>
    <w:p>
      <w:pPr>
        <w:spacing w:after="100"/>
      </w:pPr>
      <w:r>
        <w:t xml:space="preserve">Tres tendencias. El espejo se convierte en un soporte de electrónica (FDM, cámaras, pantallas), que sube el contenido por coche: más del 75 % de los lanzamientos del 2T26 llevan funciones avanzadas [2]. El retrovisor digital por cámara es a la vez sustituto y oportunidad: Gentex vende el suyo, pero Panasonic y los chinos también [1]. Y la producción se regionaliza: los fabricantes chinos compran a proveedores locales, y los aranceles hacen difícil exportar desde Michigan; Gentex abre plantas en México y Marruecos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espejos retrovisores atenuables automáticos (79 % en 2025, 89 % en 2023, 91 % en 2021) [1, 9,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Magna International (Magna Mirrors)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MGA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occidental en espejos atenuables; también es cliente de subconjuntos exteriores de Gentex. Cifras del grupo entero [1,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Murakami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7292.T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Espejos para fabricantes japoneses; ingresos de 118.815 M JPY pasados a USD con el BCE (158,45 JPY/USD) [15,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Samvardhana Motherson (SMR)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MOTHERSON.NS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fabricante mundial de retrovisores exteriores (sin atenuación propia relevante); cifras del grupo [15,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Panasonic (retrovisor electrónico tipo FDM)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6752.T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el FDM en Japón [1]; margen del grupo entero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Fabricantes chinos de espejos (varios)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Venden espejos atenuables y FDM en el mercado chino; ganan la cuota que Gentex pierde por los aranceles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es un proveedor industrial.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programa se homologa para toda la vida del modelo (5-7 años); cambiar de proveedor obliga a revalidar.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Química electrocrómica propia desde 1987, cartera de patentes y HomeLink; cuota del 79-91 % durante años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23 % frente al 10 % de Magna o Visteon; pero producir casi todo en EE. UU. la expone a aranceles y la saca de China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42-45 M de espejos interiores al año, para un mercado que no admite dos fabricantes de esa escala fuera de China [9].</w:t>
            </w:r>
          </w:p>
        </w:tc>
      </w:tr>
    </w:tbl>
    <w:p>
      <w:pPr>
        <w:spacing w:after="160" w:before="0"/>
      </w:pPr>
    </w:p>
    <w:p>
      <w:pPr>
        <w:pStyle w:val="Heading2"/>
      </w:pPr>
      <w:r>
        <w:t xml:space="preserve">Amenazas</w:t>
      </w:r>
    </w:p>
    <w:p>
      <w:pPr>
        <w:spacing w:after="100"/>
      </w:pPr>
      <w:r>
        <w:t xml:space="preserve">Las dos amenazas reales son geográficas y tecnológicas. China: los fabricantes chinos de espejos ya venden atenuables y FDM en su mercado y Gentex ha perdido 12 puntos de cuota mundial en dos años (91 % en 2021, 79 % en 2025) [1, 12]; si esos proveedores salen a Europa o México con precios más bajos, la presión llegaría a los clientes de Gentex (probabilidad media en 3-5 años). Tecnología: el retrovisor por cámara podría dejar sin función al espejo electrocrómico; Gentex lo cubre con el FDM, pero ahí compite con Panasonic y con proveedores de pantallas sin la ventaja química [1]. Magna es el rival occidental y a la vez cliente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2016-2025: ingresos </w:t>
      </w:r>
      <w:r>
        <w:rPr>
          <w:b/>
          <w:bCs/>
        </w:rPr>
        <w:t xml:space="preserve">4,7 %</w:t>
      </w:r>
      <w:r>
        <w:t xml:space="preserve">, EBITDA </w:t>
      </w:r>
      <w:r>
        <w:rPr>
          <w:b/>
          <w:bCs/>
        </w:rPr>
        <w:t xml:space="preserve">-0,1 %</w:t>
      </w:r>
      <w:r>
        <w:t xml:space="preserve">, BPA </w:t>
      </w:r>
      <w:r>
        <w:rPr>
          <w:b/>
          <w:bCs/>
        </w:rPr>
        <w:t xml:space="preserve">4,3 %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un 4,7 % anual de 2016 a 2025, pero sin VOXX (267 M en 2025) el ritmo fue del 3,4 %, casi todo por contenido: la producción en sus mercados apenas creció [1, 10]. El problema es el margen: el EBITDA pasó del 35,7 % de las ventas en 2016 al 23,5 % en 2025 (sin no recurrentes), porque el margen bruto bajó unos 6 puntos (rebajas a los fabricantes, mezcla hacia exteriores y productos básicos, inflación de componentes en 2021-2023) y los gastos comerciales y de administración subieron del 3,7 % al 7,0 % de las ventas, VOXX incluida [10]. Con todo, el beneficio neto apenas se movió (348 M en 2016, 385 M en 2025) y el BPA subió del 1,19 al 1,74 USD gracias a recompras que redujeron las acciones un 25 % [10]. 2023 fue el año bueno de la recuperación tras los chips; 2025 no es comparable por VOXX.</w:t>
      </w:r>
    </w:p>
    <w:p>
      <w:pPr>
        <w:pStyle w:val="Heading2"/>
      </w:pPr>
      <w:r>
        <w:t xml:space="preserve">Ajustes y partidas no recurrentes</w:t>
      </w:r>
    </w:p>
    <w:p>
      <w:pPr>
        <w:spacing w:after="100"/>
      </w:pPr>
      <w:r>
        <w:t xml:space="preserve">Usamos cifras GAAP. Los no recurrentes dentro del EBIT son: 2024, deterioro de Vaporsens (8,9 M) y costes de la compra de VOXX (1,9 M); 2025, indemnizaciones por jubilaciones anticipadas (11,6 M), costes de compra (3,8 M) y revalorización de existencias de VOXX (2,9 M) [1]. En los últimos 12 meses a junio de 2026, la devolución de aranceles IEEPA (18 M que bajan el coste de ventas) es un ingreso que no se repite, y quedan indemnizaciones y un deterioro (≈6 M) [2, 3]. El BPA ajustado de la empresa (1,81 USD en 2025, 0,58 en el 2T26) no quita la devolución de aranceles y sí los deterioros de inversiones tecnológicas (14,1 M en 2025, 9,4 M en el 2T26), que se repiten casi cada año: preferimos el GAAP sin la devolución [1,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(24-abr) el mensaje fue de resistencia: ventas de 675 M, un 17 % más por VOXX y un 2 % más en el negocio de siempre, gracias a un ICMS en Europa y al FDM, con China un 29 % abajo; subió la guía de ventas de 2026 a 2.650-2.750 M y la de 2027 a 2.800-2.900 M [4]. En el 2T26 (24-jul) el tono cambió: las ventas (651 M) quedaron un 5 % por debajo de su propia previsión y los espejos interiores internacionales cayeron un 26 %; el BPA récord (0,54) se apoyó en 18 M de devolución de aranceles, mezcla y gastos contenidos [3]. La dirección mantuvo las ventas, subió el margen bruto (34,5-35,5 %), bajó el capex (115-125 M) y repitió que espera crecer en 2027 y 2028 con FDM de cuarta generación, DMS/ICMS y viseras y techos atenuables [3]. Pasó de puntillas por cuánto de la mejora del margen se debe a la devolución (no lo descuenta en su BPA ajustado) y por el coste de los metales preciosos, que solo califica de «significativamente más alto» [3]. No hemos podido leer las preguntas de los analistas (hueco registrado).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VOXX International, consolidada desde el 1-abr-2025 (aporta 267,2 M de ventas en 2025); BioConnect desde el 1-jul-2025 (4,5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desde siempre: 342 M de caja y renta fija frente a 3,7 M de deuda en junio de 2026, más ≈135 M de participaciones [2]. La caja no crece porque la empresa reparte más de lo que genera: de 2016 a 2025 generó 3.704 M de flujo libre y pagó 1.118 M en dividendos y 2.713 M en recompras. El circulante comercial subió del 24,4 % al 25,1 % de las ventas con VOXX (más existencias de consumo); los días de existencias, 103 en 2024, son altos para un proveedor de automoción porque Gentex fabrica casi todo en EE. UU. y exporta. La compra de VOXX (187,7 M) se pagó con caja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3.704</w:t>
      </w:r>
      <w:r>
        <w:t xml:space="preserve">, conversión </w:t>
      </w:r>
      <w:r>
        <w:rPr>
          <w:b/>
          <w:bCs/>
        </w:rPr>
        <w:t xml:space="preserve">96 %</w:t>
      </w:r>
      <w:r>
        <w:t xml:space="preserve"> del beneficio neto; adquisiciones 201, dividendos 1.118, recompras 2.713.</w:t>
      </w:r>
    </w:p>
    <w:p>
      <w:pPr>
        <w:spacing w:after="100"/>
      </w:pPr>
      <w:r>
        <w:t xml:space="preserve">La conversión de beneficio en caja es alta: el flujo libre acumulado de 2016-2025 equivale al 96 % del beneficio neto. 2022-2023 fueron años de capex alto (146 M y 184 M, el 8 % de las ventas) por ampliaciones de capacidad y automatización; en 2025 bajó a 129 M y la guía de 2026 es de 115-125 M, frente a una amortización de 100-110 M [1, 3]. Estimamos el capex de mantenimiento cerca de la amortización (≈4 % de las ventas, estimación propia) y el resto, crecimiento. El primer semestre de 2026 dio el mayor flujo operativo de su historia (322 M), con ayuda de la devolución de aranceles (38 M cobrados) y de proveedores [2]. En los últimos 12 meses el flujo libre fue de 497 M, un 11,3 % de la capitalización.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 el control interno de VOXX y BioConnect quedó fuera del perímetro de la revisión del primer año)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Ernst &amp; Young audita desde 1999 con opinión favorable; el primer año de VOXX quedó fuera de la revisión del control interno, lo normal en una compra [1]. No capitaliza I+D, no tiene deuda ni pensiones y el tipo impositivo efectivo (14-17 %) se explica por la deducción por exportaciones (FDDEI) y créditos de I+D [2]. La remuneración en acciones es moderada. Los tres indicadores del motor van en la misma dirección: Altman Z de 8,43 (sin riesgo de quiebra), Piotroski F de 6 (sólido) y Beneish M de −2,82 (lejos de la zona de manipulación, −1,78). Los puntos a vigilar son la contabilidad de la compra de VOXX (provisiones de litigios que mueven el fondo de comercio durante el periodo de medida), los deterioros repetidos de inversiones tecnológicas, que la empresa saca de su BPA ajustado, y la devolución de aranceles, que no saca [1,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Devolución de aranceles IEEPA dentro del margen bruto del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 (≈280 pb del margen del trimestre) no se repetirán; el BPA ajustado de la empresa no los quita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de inversiones en tecnológicas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 M en 2025 y 9,4 M en el 2T26, excluidos del BPA ajustado aunque se repiten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Provisiones de VOXX ajustadas contra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Normal en el año de medida; un litigio se cerró por menos de lo provisionado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357 M en 2025 (el 15 % del capital invertido medio); ha subido más de un 5 % en 1 de 9 años: compras pequeñas. ROIC publicado 17,9 %; sin fondo de comercio, 21,1 %.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6,8 % · </w:t>
      </w:r>
      <w:r>
        <w:rPr>
          <w:b/>
          <w:bCs/>
        </w:rPr>
        <w:t xml:space="preserve">WACC</w:t>
      </w:r>
      <w:r>
        <w:t xml:space="preserve">: 10,7 %.</w:t>
      </w:r>
    </w:p>
    <w:p>
      <w:pPr>
        <w:spacing w:after="100"/>
      </w:pPr>
      <w:r>
        <w:t xml:space="preserve">Gentex crea valor, pero cada vez menos. El ROIC fue del 17,9 % en 2025 frente a un WACC del 10,70 %, 7,2 puntos por encima; sin el fondo de comercio (casi todo de HomeLink, 2013) sería del 21,1 %. Hace diez años rondaba el 25-27 % y la caída viene del margen, no de la rotación: el NOPAT apenas creció mientras el capital invertido pasó de 1.371 M a más de 2.200 M por la inversión en capacidad de 2022-2023 y VOXX. El ROIC incremental histórico es del 6,8 %, por debajo del WACC: el capital nuevo de la última década rindió poco, y por eso la dirección devuelve casi todo el flujo libre. Frente a los competidores sigue arriba: margen EBITDA del 23,5 % frente al 10 % de Magna y Visteon [15]. El ROE (15,5 %) es menor que el ROIC porque la empresa tiene caja y no deuda.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233,4 M + inversiones a corto 9,4 M + renta fija a largo 103,1 M a 30-jun-2026, y línea revolving de 350 M con PNC sin disponer (vence el 1-oct-2028)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deuda financiera salvo un préstamo de 3,7 M de los socios de la filial japonesa de Onkyo (al 2,5 %, vence en 2031) [2]. Línea de crédito de 350 M sin disponer, con covenants que se cumplen [2]. Sin pensiones de prestación definida relevantes. Pasivos a vigilar: provisiones por litigios y auditorías de royalties heredados de VOXX (registradas en la compra; uno se cerró por menos de lo previsto) [1]; un interés minoritario rescatable de 2,8 M [2]; y las inversiones de capital en tecnológicas (≈135 M dentro de las inversiones a largo plazo), que se deterioran con frecuencia (14,1 M en 2025 y 9,4 M en el 2T26) [1, 3]. Los arrendamientos operativos son pequeños (≈9 M) y en US GAAP ya están dentro del EBITDA.</w:t>
      </w:r>
    </w:p>
    <w:p>
      <w:pPr>
        <w:pStyle w:val="Heading1"/>
      </w:pPr>
      <w:r>
        <w:t xml:space="preserve">12. Asignación de capital</w:t>
      </w:r>
    </w:p>
    <w:p>
      <w:pPr>
        <w:pStyle w:val="Confianza"/>
        <w:spacing w:after="100"/>
      </w:pPr>
      <w:r>
        <w:t xml:space="preserve">Confianza: Media</w:t>
      </w:r>
    </w:p>
    <w:p>
      <w:pPr>
        <w:spacing w:after="100"/>
      </w:pPr>
      <w:r>
        <w:t xml:space="preserve">Dividendo trimestral de 0,12 USD (0,48 al año, sin subir desde 2020; la dirección dice que lo estudia) y recompras como uso principal de la caja: queda autorización para 29,9 M de acciones (el 14 % del capital) a junio de 2026 [2, 3]. La prioridad declarada es invertir en el negocio, luego compras «de rentabilidad alta y retorno corto», sobre todo fuera del automóvil, y devolver el resto; en la última década devolvió más del 80 % del flujo operativo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VOXX International (71 % que no tenía; Klipsch, Onkyo, EyeLock, electrónica de automoción y consumo)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(148,3 M por el 71 %; 187,7 M netos de caja con la participación previa del 29 %)</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267,2 M de ventas y 6,1 M de beneficio en 2025; 11,3 M de beneficio en el 2T26. Fondo de comercio de audio premium de solo 16,5 M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BioConnect (biometría para control de accesos)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 M de ventas en 2S25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tecnológicos de eSight (gafas para baja visión)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Dentro de «Otros», que pierde dinero (−25,4 M de EBIT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Vaporsens (sensores de gases)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8,9 M de fondo de comercio e I+D en curso en 2024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HomeLink (comprado a Johnson Controls)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 bancaria ya devuelta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Origina casi todo el fondo de comercio de automoción (309,7 M) y los intangibles; HomeLink vende ≈120 M al año [1, 2].</w:t>
            </w:r>
          </w:p>
        </w:tc>
      </w:tr>
    </w:tbl>
    <w:p>
      <w:pPr>
        <w:spacing w:after="160" w:before="0"/>
      </w:pPr>
    </w:p>
    <w:p>
      <w:pPr>
        <w:spacing w:after="100"/>
      </w:pPr>
      <w:r>
        <w:t xml:space="preserve">La dirección es una buena asignadora defensiva y una mediocre inversora. De 2016 a 2025 devolvió 3.831 M (1.118 M en dividendos y 2.713 M en recompras), más que todo el flujo libre (3.704 M), y redujo las acciones un 25 %: eso explica casi todo el crecimiento del BPA. Las compras han sido pequeñas y de resultado pobre: Vaporsens acabó deteriorada, «Otros» pierde 25 M al año y el ROIC incremental de la década es del 6,8 %. VOXX es la prueba: barata (187,7 M por 267 M de ventas en nueve meses) y ya rentable en el 2T26 (11,3 M de beneficio), pero lleva a la empresa a electrónica de consumo, un negocio de menos margen y sin la ventaja química [1, 2]. Las recompras se hicieron a una media de 23-25 USD en 2025-2026, por encima del precio actual [3,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 Downing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operaciones (President)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Gentex desde 2002; director financiero y luego consejero delegado desde el 1-ene-2018. Con él, el margen EBITDA bajó del 33,3 % de 2018 al 22,8 % de 2025 y el BPA pasó de 1,62 a 1,74 USD, con recompras que redujeron las acciones un 19 %.</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Neil Boehm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y de tecnología (COO y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la casa; lleva los lanzamientos de FDM, DMS/ICMS y dispositivos atenuables y la integración industrial de VOXX.</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Nash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responsable de contabilidad de Gentex. Ha mantenido la caja neta y el reparto de más del 80 % del flujo operativo.</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Chiodo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ventas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relación con los fabricantes y de la presión de precios anual.</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Scott Ryan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(General Counsel)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patentes, aranceles y las reclamaciones de devolución de los IEEPA.</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 ventas de 2.400-2.450 M sin VOXX; margen bruto 33,5-34,5 %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Gentex sin VOXX 2.270 M; margen bruto 34,7 %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Octubre: ventas consolidadas 2.500-2.600 M; margen bruto 33,5-34 %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2.534 M y 34,2 %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 ventas 2.600-2.700 M; margen bruto 34-35 %; gastos 410-420 M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julio, ventas 2.650-2.750 M, margen 34,5-35,5 %, gastos 405-415 M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Enero de 2026: ventas 2.750-2.850 M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Abril y julio: 2.800-2.900 M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el CEO lleva en Gentex desde 2002 y en el cargo desde 2018; el COO-CTO y el CFO llevan más de ocho años [18]. La credibilidad de la guía es razonable: en 2025 la retiró por los aranceles y la cumplió en la versión de octubre; en 2026 la ha mantenido en ventas y mejorado en margen [3, 6, 8]. El historial de márgenes bajo esta dirección es peor: el EBITDA pasó del 33,3 % en 2018 al 23,5 % en 2025. Los directivos tienen poco capital (el grupo, menos del 0,5 %) y en febrero de 2026 vendieron todos a ≈24,7-25 USD, sin una sola compra en 12 meses [18, 20]. No hay plan de sucesión público, aunque el CEO tiene 48 años.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Schaum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 Downing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Leslie Brown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Garth Deur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(experto financiero);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Walker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(experto financiero);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Starkoff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Ling Zang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Billy Pink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Anderson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Kennedy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(candidato nuevo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 el control interno de VOXX y BioConnect quedó fuera del perímetro de la revisión del primer año)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2,81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(13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 Downing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Matthew Chiodo (VP ventas)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Nash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Neil Boehm (COO y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Scott Ryan (General Counsel)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Leslie Brown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Walker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Joseph Anderson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Schaum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se paga por ventas, beneficio operativo y BPA diluido, un tercio cada uno, «ajustados por aranceles» [18]. El variable a largo plazo (70 % acciones por objetivos, 30 % acciones restringidas) mide EBITDA y ROIC acumulados en tres años (2025-2027) [18]: premia la rentabilidad del capital, no el crecimiento a cualquier precio. El total del CEO fue de 5,95 M en 2025 (4,78 M en 2024), 102 veces el salario mediano de 58.562 USD [18]. Hay política de recuperación (clawback) según la norma del Nasdaq [18]. El ajuste por aranceles del bonus anual y que el BPA se beneficie de las recompras son los puntos débiles: el BPA puede subir con un beneficio plano.</w:t>
      </w:r>
    </w:p>
    <w:p>
      <w:pPr>
        <w:pStyle w:val="Heading2"/>
      </w:pPr>
      <w:r>
        <w:t xml:space="preserve">Operaciones vinculadas, estructura de control y defensas</w:t>
      </w:r>
    </w:p>
    <w:p>
      <w:pPr>
        <w:spacing w:after="100"/>
      </w:pPr>
      <w:r>
        <w:t xml:space="preserve">Sin accionista de control: los dos mayores son gestoras de índices (Vanguard 9,9 % y BlackRock 8,3 %) [18] y los consejeros y directivos tienen menos del 0,5 % [18]. Una sola clase de acciones, consejo de diez con ocho o nueve independientes y presidente independiente desde que el fundador dejó la presidencia; se mantiene la figura de consejero coordinador [18]. No hubo operaciones vinculadas que aprobar en 2025 [18]. El plan de incentivos tiene cláusula de cambio de control (definición estándar de adquirente del 20-50 %) [18].</w:t>
      </w:r>
    </w:p>
    <w:p>
      <w:pPr>
        <w:pStyle w:val="Heading2"/>
      </w:pPr>
      <w:r>
        <w:t xml:space="preserve">Señales de alerta</w:t>
      </w:r>
    </w:p>
    <w:p>
      <w:pPr>
        <w:pStyle w:val="ListParagraph"/>
        <w:numPr>
          <w:ilvl w:val="0"/>
          <w:numId w:val="2"/>
        </w:numPr>
        <w:spacing w:after="60"/>
      </w:pPr>
      <w:r>
        <w:t xml:space="preserve">Ventas de mercado de todos los directivos principales el 17-feb-2026 (≈2,2 M USD) y de cuatro consejeros en abril-mayo, sin una sola compra en 12 meses [20].</w:t>
      </w:r>
    </w:p>
    <w:p>
      <w:pPr>
        <w:pStyle w:val="ListParagraph"/>
        <w:numPr>
          <w:ilvl w:val="0"/>
          <w:numId w:val="2"/>
        </w:numPr>
        <w:spacing w:after="60"/>
      </w:pPr>
      <w:r>
        <w:t xml:space="preserve">El variable anual se calcula «ajustado por aranceles», lo que protege el bonus de un riesgo que asumen los accionistas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(24-jul-2026): ventas de 2.650-2.750 M (subida en abril desde 2.600-2.700 M), margen bruto del 34,5-35,5 % (antes 34-35 %), gastos sin indemnizaciones de 405-415 M, tipo impositivo del 16-17 %, capex de 115-125 M y amortización de 100-110 M [3]. Para 2027, ventas de 2.800-2.900 M (2.750-2.850 M en enero) con producción de coches plana [3]. La guía de margen bruto incluye los 18 M de devolución de aranceles del 2T26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7 analistas (BPA ajustado) [22]; Stock Analysis da el mismo BPA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7 analistas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 – 42,00</w:t>
            </w:r>
          </w:p>
        </w:tc>
      </w:tr>
    </w:tbl>
    <w:p>
      <w:pPr>
        <w:spacing w:after="160" w:before="0"/>
      </w:pPr>
    </w:p>
    <w:p>
      <w:pPr>
        <w:pStyle w:val="Heading2"/>
      </w:pPr>
      <w:r>
        <w:t xml:space="preserve">Revisiones de estimaciones</w:t>
      </w:r>
    </w:p>
    <w:p>
      <w:pPr>
        <w:spacing w:after="100"/>
      </w:pPr>
      <w:r>
        <w:t xml:space="preserve">En los últimos 90 días el BPA de consenso de 2026 subió de 2,00 a 2,08 USD por el buen margen del 2T26 (que incluye la devolución de aranceles), y el de 2027 bajó de 2,22 a 2,19 [22]. El objetivo medio está en 27,28 USD con 9 analistas: 3 comprar, 5 mantener y 1 vender [22, 23]. El 6-oct Goldman Sachs pasó a Vender por el coste de las materias primas y la poca exposición a los fabricantes chinos [29]. Tendencia: recortes en 2027 y en recomendaciones.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r>
    </w:tbl>
    <w:p>
      <w:pPr>
        <w:spacing w:after="160" w:before="0"/>
      </w:pPr>
    </w:p>
    <w:p>
      <w:pPr>
        <w:spacing w:after="100"/>
      </w:pPr>
      <w:r>
        <w:t xml:space="preserve">La acción lo ha hecho mal: −18,5 % en un año y −9,5 % anual en cinco con dividendos, frente a +16,9 % y +13,0 % del S&amp;P 500 y +37,9 % del ETF de automóviles (CARZ, arrastrado por Tesla y los fabricantes chinos) [21]. La caída se explica por los hechos: el 24-oct-2025 bajó un 10,2 % tras un 3T25 con ventas en China un 35 % abajo y en Europa con peor mezcla, y desde entonces ha ido marcando mínimos (20,48 USD el 20-mar-2026) con la producción a la baja y el BPA plano desde 2023 [6, 21]. Beta de 0,84 (mensual, 5 años) frente al S&amp;P 500 y volatilidad del 26,6 %; caída máxima del −43 % en cinco años [21]. La posición corta es del 9,3 % del capital flotante, alta para una empresa sin deuda [34].</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Gentex cotiza a 6,5 veces el EBITDA de los últimos 12 meses y 11,1 veces el beneficio, un 35 % y un 32 % por debajo de sus medias de ocho años (10,0x y 16,4x), y por debajo de su mínimo del periodo. Parte del descuento está justificado: el margen EBITDA es 12 puntos menor que en 2016-2018, el crecimiento depende ahora de productos nuevos y China está perdida, así que la historia de 2016-2019 no es la referencia. Excluimos 2020 y 2021, cuyo beneficio hundido por la covid y la falta de chips inflaba el PER. Frente a lo que queda (2022-2025), el descuento es de unas cuatro veces el beneficio: el mercado descuenta un negocio en declive, no un ciclo bajo.</w:t>
      </w:r>
    </w:p>
    <w:p>
      <w:pPr>
        <w:pStyle w:val="Heading1"/>
      </w:pPr>
      <w:r>
        <w:t xml:space="preserve">18. Comparables cotizados</w:t>
      </w:r>
    </w:p>
    <w:p>
      <w:pPr>
        <w:pStyle w:val="Confianza"/>
        <w:spacing w:after="100"/>
      </w:pPr>
      <w:r>
        <w:t xml:space="preserve">Confianza: Media</w:t>
      </w:r>
    </w:p>
    <w:p>
      <w:pPr>
        <w:spacing w:after="100"/>
      </w:pPr>
      <w:r>
        <w:t xml:space="preserve">Proveedores de componentes de automóvil cotizados en EE. UU. con estimaciones de consenso: Visteon (electrónica de cabina), Autoliv (seguridad), BorgWarner (propulsión), Lear (asientos y electrónica), Magna (rival en espejos), Garrett (turbos, margen alto) y Dorman (posventa). Ninguno es un comparable puro: no hay otro fabricante cotizado de espejos atenuables con escala. Quitamos Aptiv (su perímetro cambió con la escisión del negocio de cableado y su crecimiento sale −36 %) y Stoneridge (cotización y cifras incoherentes en el proveedor). Todos con datos de Yahoo al 14-oct-2026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Visteon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Autoliv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BorgWarner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Magna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Garrett Motion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Dorman Products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6,5x / 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10,0x / 10,7x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 / 0,9x / 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Gentex cotiza en línea con el sector (PER de los próximos 12 meses 9,6x frente a 10,0x de mediana; EV/EBITDA LTM 6,5x, igual que la mediana) a pesar de tener casi el doble de margen EBITDA (23 % frente al 14,1 %), caja neta en vez de 1,2 veces de deuda y un flujo libre del 11,3 % [24]. La regresión múltiplo-crecimiento no explica nada en este grupo. En nuestra opinión, la prima que merecería por margen y balance la anula su crecimiento menor y la pérdida de China. Usamos el PER de los próximos 12 meses como múltiplo de referencia, porque el EBITDA de los comparables mezcla definiciones.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VOXX International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Gentex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neto de caja con la participación previa del 29 % [1]; ventas anuales esperadas de 325-375 M (punto medio 350; múltiplo de ventas: estimación propia) [11]. EBITDA de VOXX cercano a cero: sin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Dowlais (GKN Automotive y Powder Metallurgy)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American Axle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 veces el EBITDA ajustado de 2023 (3,0 con sinergias)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 Fluid Systems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Technologies (Apollo)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≈1.830 M GBP (≈2.330 M USD a 1,27 USD/GBP de entonces, estimación) y prima del 55 % sobre el precio previo a la oferta [26]. J.P. Morgan sitúa las precedentes del sector en 4,0-5,5 veces el EBITDA ajustado [25].</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hacen baratas: AAM pagó 4,1 veces el EBITDA de 2023 por Dowlais (GKN) y J.P. Morgan sitúa las precedentes del sector en 4,0-5,5 veces [25]; ABC (Apollo) pagó una prima del 55 % por TI Fluid [26]. Gentex cotiza a 6,5 veces su EBITDA, por encima de esas referencias, porque su margen y su ROIC son mucho mayores que los de los proveedores de componentes pesados. No es un objetivo probable: sin accionista de control, 4.400 M de capitalización y un negocio con el 39 % de las ventas en tres clientes, el comprador natural sería un proveedor grande o capital riesgo con apalancamiento, y no hay rumores. Las transacciones pesan 0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(+5,8 %, fijo) sale de la guía de 2.650-2.750 M y de un primer semestre de 1.327 M; incluye un trimestre más de VOXX (≈3,5 puntos) [3]. 2027e +4,1 % (2.791 M) queda en la parte baja de la guía de 2.800-2.900 M, porque la dirección falló su propia previsión de ventas en el 2T26 en un 5 % [3]. Después, 4,0 % bajando al 2,5 %: el crecimiento orgánico de 2016-2024 fue del 4,1 % anual con producción plana, por contenido por coche, y no suponemos más. Es menos que el consenso para 2027 (2.808 M) [22].</w:t>
      </w:r>
    </w:p>
    <w:p>
      <w:pPr>
        <w:keepNext/>
        <w:spacing w:after="100"/>
      </w:pPr>
      <w:r>
        <w:rPr>
          <w:b/>
          <w:bCs/>
        </w:rPr>
        <w:t xml:space="preserve">Márgenes.</w:t>
      </w:r>
    </w:p>
    <w:p>
      <w:pPr>
        <w:spacing w:after="100"/>
      </w:pPr>
      <w:r>
        <w:t xml:space="preserve">Margen EBITDA del 23,5 % en todos los años: es el de 2025 sin no recurrentes y el de la guía de 2026 (margen bruto del 35 % y gastos de 410 M) con la devolución de aranceles, que no se repite. No suponemos que vuelva al 26-29 % de 2019-2023 porque la presión de precio de los clientes, los metales preciosos y la mezcla con VOXX (márgenes de electrónica de consumo) lo impiden. El bajista lo baja 2 puntos y el alcista lo sube 1.</w:t>
      </w:r>
    </w:p>
    <w:p>
      <w:pPr>
        <w:keepNext/>
        <w:spacing w:after="100"/>
      </w:pPr>
      <w:r>
        <w:rPr>
          <w:b/>
          <w:bCs/>
        </w:rPr>
        <w:t xml:space="preserve">Inversión y circulante.</w:t>
      </w:r>
    </w:p>
    <w:p>
      <w:pPr>
        <w:spacing w:after="100"/>
      </w:pPr>
      <w:r>
        <w:t xml:space="preserve">Amortización del 3,9 % de las ventas (guía de 100-110 M en 2026) y capex del 4,5 % bajando al 4,0 %, siempre por encima de la amortización (guía de 115-125 M en 2026 y de 115-145 M al año en el día del inversor) [3]. Circulante comercial del 25 % de las ventas, el de junio de 2026 (existencias de 519 M, clientes de 386 M, proveedores de 248 M) [2]. Tipo impositivo del 16,5-17 %, el de la guía y el histórico [3].</w:t>
      </w:r>
    </w:p>
    <w:p>
      <w:pPr>
        <w:keepNext/>
        <w:spacing w:after="100"/>
      </w:pPr>
      <w:r>
        <w:rPr>
          <w:b/>
          <w:bCs/>
        </w:rPr>
        <w:t xml:space="preserve">Coste del capital.</w:t>
      </w:r>
    </w:p>
    <w:p>
      <w:pPr>
        <w:spacing w:after="100"/>
      </w:pPr>
      <w:r>
        <w:t xml:space="preserve">Tasa libre del 5,2 % (bono del Tesoro a 10 años, 5,21 % el 13-oct-2026) [27]. Beta de 1,0: la medida es de 0,84 mensual a cinco años y 0,89 ajustada, y solo 0,47 semanal a dos años, pero el negocio es cíclico y los proveedores de automoción suelen estar por encima de uno; preferimos no premiar una beta baja que se debe a dos años de caídas propias [21]. Prima de mercado del 5,5 %, sin prima adicional, y sin deuda: coste del capital y WACC del 10,70 %.</w:t>
      </w:r>
    </w:p>
    <w:p>
      <w:pPr>
        <w:keepNext/>
        <w:spacing w:after="100"/>
      </w:pPr>
      <w:r>
        <w:rPr>
          <w:b/>
          <w:bCs/>
        </w:rPr>
        <w:t xml:space="preserve">Valor terminal.</w:t>
      </w:r>
    </w:p>
    <w:p>
      <w:pPr>
        <w:spacing w:after="100"/>
      </w:pPr>
      <w:r>
        <w:t xml:space="preserve">Gordon con un crecimiento del 2,5 %, entre la inflación esperada en dólares y la tasa libre menos medio punto, y por debajo del 3,6 % medio de la proyección. Implica 8,3 veces el EBITDA del último año, por encima de los 6,4-6,5 de los comparables y de lo que pagan las operaciones del sector, pero por debajo de la media histórica de Gentex (10,0x). El terminal pesa el 62 %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(reinvierte el 31 %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 (histórico: 6,8 %)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frente al 3,6 %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255 M, el 7 % del NOPAT, con un capex bruto medio del 4,3 % de las ventas). En un negocio de activos ligeros, el crecimiento medio del 3,6 %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(producción −3 % en sus mercados, espejos −8 % en el 1S26, compensado en parte por Norteamérica); precio y mezcla +4,3 % (FDM, DMS/ICMS, audio premium +16 %); otros +3,5 % (primer trimestre de VOXX, que en 2025 no estaba)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plana [3]; contenido +3,6 % por lanzamientos de FDM de cuarta generación, DMS/ICMS y viseras atenuables; otros +0,5 % por audio premium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(recuperación suave en Norteamérica y Europa); contenido +3 %, como en la media de 2016-2024.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contenido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+1 %; contenido +2 %, convergiendo al terminal.</w:t>
            </w:r>
          </w:p>
        </w:tc>
      </w:tr>
    </w:tbl>
    <w:p>
      <w:pPr>
        <w:spacing w:after="160" w:before="0"/>
      </w:pPr>
    </w:p>
    <w:p>
      <w:pPr>
        <w:spacing w:after="100"/>
      </w:pPr>
      <w:r>
        <w:t xml:space="preserve">Sí. El crecimiento proyectado (3,6 % medio) es menor que el histórico (4,7 % en 2016-2025; 4,1 % orgánico) y menor que el que financia la reinversión al ROIC actual (5,6 %); no pide cuota nueva ni subir el margen. Sale del contenido por coche, que Gentex ha demostrado durante una década con producción plana, apoyado en una cuota del 79 % en espejos fuera de China y en lanzamientos ya adjudicados (FDM, DMS/ICMS) [1, 2]. La prueba de cuota se hace a mano porque el mercado publicado (2.310 M) es menor que las ventas de automoción de Gentex, que incluyen electrónica: con el mercado al 4,8 % anual y Gentex al 3,6 %, su cuota bajaría ligeramente, coherente con China [13]. El punto débil es el margen, no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(base: 3,3 %)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 (base: 23,5 %)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 (WACC: 10,7 %)</w:t>
            </w:r>
          </w:p>
        </w:tc>
      </w:tr>
    </w:tbl>
    <w:p>
      <w:pPr>
        <w:spacing w:after="160" w:before="0"/>
      </w:pPr>
    </w:p>
    <w:p>
      <w:pPr>
        <w:spacing w:after="100"/>
      </w:pPr>
      <w:r>
        <w:t xml:space="preserve">El DCF da 28,06 USD por acción, un 35,0 % sobre el precio, con un WACC del 10,70 % y el terminal pesando el 62 %. Lo importante es el DCF inverso: el precio de 20,78 USD descuenta que las ventas caigan un 6,8 % al año de 2027 a 2032 con el margen actual, o que el margen EBITDA baje al 18,2 % con nuestras ventas; dicho de otro modo, con nuestras cifras la acción ofrece una rentabilidad implícita del 14,0 % anual frente a un coste del capital del 10,70 %. Es una hipótesis muy pesimista: Gentex no ha tenido un margen EBITDA por debajo del 22,8 % en diez años y sus ventas no han caído dos años seguidos desde la crisis de 2008-2009. Con la prima implícita del mercado (4,2 %), el valor sube a 32,86 USD. El DCF no necesita ningún supuesto heroico; el riesgo es que el margen siga la tendencia de la última década (−1,2 puntos al año) y no la de 2025-2026.</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del automóvil en 2028 como la de 2020: producción −8 % en EE. UU. y Europa, ventas −4 % y margen EBITDA del 21,5 %, con los fabricantes chinos entrando en Europa y México con espejos y FDM más baratos. Ya pasó en 2020 (ventas −9 %, EBIT −18 %).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plana en 2026-2027 y algo de recuperación desde 2028; Gentex crece un 4 % por contenido (FDM, DMS/ICMS, atenuables) y mantiene un margen EBITDA del 23,5 %, sin China.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DMS/ICMS y los dispositivos atenuables de gran superficie (techos, viseras) despegan con nuevos clientes y la normativa europea; las ventas crecen un 5,5 % y el margen sube al 24,5 % con mezcla y automatización.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0,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27,19 USD (+30,8 %).</w:t>
      </w:r>
    </w:p>
    <w:p>
      <w:pPr>
        <w:spacing w:after="100"/>
      </w:pPr>
      <w:r>
        <w:t xml:space="preserve">Incluso el bajista del DCF (21,81 USD) queda un 5,0 % por encima del precio, y el alcista da 30,82 (+48,3 %): con valor intrínseco no hay pérdida que compense. A 12 meses la asimetría es menor pero favorable: con la regla de múltiplos el bajista da 15,91 USD (−21 %) y el alcista 35,47 (+73 %), una asimetría de 3,0. El bajista no es cosmético: supone un año como 2020 con el múltiplo a 8,2 veces el beneficio, más bajo que cualquier cierre de los últimos diez años.</w:t>
      </w:r>
    </w:p>
    <w:p>
      <w:pPr>
        <w:pStyle w:val="Heading1"/>
      </w:pPr>
      <w:r>
        <w:t xml:space="preserve">22. Suma de partes</w:t>
      </w:r>
    </w:p>
    <w:p>
      <w:pPr>
        <w:pStyle w:val="Confianza"/>
        <w:spacing w:after="100"/>
      </w:pPr>
      <w:r>
        <w:t xml:space="preserve">Confianza: Media</w:t>
      </w:r>
    </w:p>
    <w:p>
      <w:pPr>
        <w:spacing w:after="100"/>
      </w:pPr>
      <w:r>
        <w:t xml:space="preserve">No aplica: automoción es el 86 % de las ventas y casi todo el beneficio operativo (491 M de 474 M en 2025: audio premium gana 8 M y «Otros» pierde 25 M) [1]; los negocios pequeños no cambian el valor.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0,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26,25 USD (+26,3 % sobre 20,78).</w:t>
      </w:r>
    </w:p>
    <w:p>
      <w:pPr>
        <w:spacing w:after="100"/>
      </w:pPr>
      <w:r>
        <w:t xml:space="preserve">Damos el 50 % al DCF porque el negocio es estable en volumen y la caja es fiable; el 25 % a los comparables (PER de los próximos 12 meses), porque cotizan con el mismo pesimismo cíclico que Gentex y anclan el valor a lo que paga hoy el mercado; y el 25 % a los escenarios. Las transacciones no pesan: hay pocas y de negocios peores. La dispersión es amplia pero coherente: comparables por PER 21,67, DCF 28,06 y escenarios 21,81-30,82, y todos los métodos de fundamento quedan por encima del precio. El valor intrínseco es de 26,25 USD (+26,3 %), por encima del objetivo a 12 meses porque la regla de múltiplos solo deja que el PER suba un 10 % en un año.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(9.3x) × 1.1 (tope: la mediana de 5 años, 14.8x,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+73,0 %</w:t>
            </w:r>
          </w:p>
        </w:tc>
      </w:tr>
    </w:tbl>
    <w:p>
      <w:pPr>
        <w:spacing w:after="160" w:before="0"/>
      </w:pPr>
    </w:p>
    <w:p>
      <w:pPr>
        <w:spacing w:after="100"/>
      </w:pPr>
      <w:r>
        <w:rPr>
          <w:b/>
          <w:bCs/>
        </w:rPr>
        <w:t xml:space="preserve">Objetivo a 12 meses (ponderado):</w:t>
      </w:r>
      <w:r>
        <w:t xml:space="preserve"> 24,99 USD · rentabilidad +22,5 % (base +19,2 %) · señal Comprar.</w:t>
      </w:r>
    </w:p>
    <w:p>
      <w:pPr>
        <w:spacing w:after="100"/>
      </w:pPr>
      <w:r>
        <w:t xml:space="preserve">Para comparar, con la regla v2 (historia al cierre, mismo precio): 7,9x / 9,3x / 12,1x, 11,4 % Mantener; con el tope anterior del base (×1,3, 14-oct mediodía): 37,0 %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(2,24 USD) está un 2 % por encima del consenso (2,19) porque suponemos recompras moderadas (205 M de acciones) con un beneficio neto de 458 M, muy cerca del implícito en el consenso; nuestras ventas de 2027 (2.791 M) están por debajo de las suyas (2.808 M). La diferencia está en el múltiplo: nuestro precio base (24,28 USD) queda un 11,0 % por debajo del objetivo medio de los analistas (27,28), porque la regla solo deja subir el PER un 10 % en un año, mientras que los analistas aplican múltiplos más cercanos a la historia.</w:t>
      </w:r>
    </w:p>
    <w:p>
      <w:pPr>
        <w:keepNext/>
        <w:spacing w:after="100"/>
      </w:pPr>
      <w:r>
        <w:rPr>
          <w:b/>
          <w:bCs/>
        </w:rPr>
        <w:t xml:space="preserve">Del valor intrínseco al objetivo a 12 meses.</w:t>
      </w:r>
    </w:p>
    <w:p>
      <w:pPr>
        <w:spacing w:after="100"/>
      </w:pPr>
      <w:r>
        <w:t xml:space="preserve">El objetivo a 12 meses (24,99 USD) queda un 4,8 % por debajo del valor intrínseco (26,25), una distancia pequeña: casi todo el valor que vemos puede aflorar en un año si el PER pasa de 9,3 a 10,2 veces y el beneficio crece con las recompras. Lo que lo cerraría es una prueba de que el margen de 2026 (sin la devolución de aranceles) aguanta en el 3T26 y el 4T26, y la guía de 2027 confirmada en enero de 2027.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sin devolución de aranceles relevante: dirá si el margen bruto aguanta por encima del 34 % con metales caros; recompras del trimestre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 (finales)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detallada de 2027 (y ventas de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o recorte de los 2.800-2.900 M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devoluciones de aranceles IEEPA (≈4 M pagados que faltan por recuperar y los pagados a través de proveedores)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no recurrentes adicionales; no cambian el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Adjudicaciones de DMS/ICMS y dispositivos atenuables de gran superficie a nuevos fabricantes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Sostendrían el crecimiento por contenido del 3-4 % anual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Negociaciones comerciales EE. UU.-China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rebaja de contraaranceles devolvería parte de los 50-60 M trimestrales de ventas en China que Gentex esperaba en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 (primavera)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posible subida del dividendo (sin cambios desde 2020)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confianza; el dividendo es de solo el 2,3 %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sigue bajando como en la última década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(el DCF inverso pide un margen del 18,2 %; cada punto de margen EBITDA vale ≈1,3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34,7 % en 2025 sin VOXX, el más alto desde 2021, y gastos contenidos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34 % sin devoluciones de aranceles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del automóvil en EE. UU. y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a 12 meses (bajista) y −22 % en valor (DCF bajista 21,81 frente a 28,06)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gastos variables; en 2020 siguió ganando dinero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producción de S&amp;P Global Mobility para 2027 por debajo de 74 M en sus mercados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proveedores chinos fuera de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la cuota baja del 79 % al 70 % con precios más bajos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homologación por programa y fabricación en EE. UU. y México dentro de las reglas comerciales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europeos o japoneses adjudicados a proveedores chinos de espejos o FDM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tres clientes (39 %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la pérdida de un programa grande de Toyota o VW</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único de espejos atenuables en casi todos ellos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Toyota por debajo del 15 % sin caída de su producción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metales preciosos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(un punto de margen bruto)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parcial de clientes y devoluciones IEEPA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Comentarios de la dirección sobre costes de plata y paladio y nuevos aranceles sectoriales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Retrovisor por cámara y pantalla sustituye al espejo electrocrómico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Gentex vende su propio FDM (+200.000-400.000 unidades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Regulaciones que permitan quitar el retrovisor físico en EE. UU.; cuota del FDM de Gentex frente a Panasonic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 fuera del automóvil (VOXX, consumo)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pagadas con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de más de 300 M en electrónica de consumo o biometría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Inteligencia artificial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(ver el riesgo de 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de visión es una oportunidad para sus DMS/ICMS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Gentex en los DMS adjudicados en 2027</w:t>
            </w:r>
          </w:p>
        </w:tc>
      </w:tr>
    </w:tbl>
    <w:p>
      <w:pPr>
        <w:spacing w:after="160" w:before="0"/>
      </w:pPr>
    </w:p>
    <w:p>
      <w:pPr>
        <w:pStyle w:val="Heading2"/>
      </w:pPr>
      <w:r>
        <w:t xml:space="preserve">Pre-mortem</w:t>
      </w:r>
    </w:p>
    <w:p>
      <w:pPr>
        <w:spacing w:after="100"/>
      </w:pPr>
      <w:r>
        <w:t xml:space="preserve">Es octubre de 2029 y la acción vale 12 USD. Lo que pasó: en 2027 la producción en EE. UU. cayó por los tipos altos y los aranceles al acero, y en 2028 Europa entró en recesión. Gentex vendió un 8 % menos dos años seguidos y su margen EBITDA bajó al 19 % porque los gastos fijos (I+D de DMS, plantas de México y Marruecos) no bajaron con las ventas. A la vez, dos proveedores chinos ganaron programas de espejos y FDM de Stellantis y Volkswagen en Europa con precios un 20 % más bajos, y Toyota pidió rebajas para igualarlos. Los DMS no despegaron: los fabricantes eligieron sistemas integrados de los proveedores de cámaras. Gentex siguió recomprando acciones a 20 USD y las acciones dejaron de bajar porque el flujo libre cayó a 300 M. El mercado dejó de verla como una calidad barata y la valoró como un proveedor más, a 7 veces un BPA de 1,70. Los indicadores que lo habrían anticipado: el margen bruto sin devoluciones por debajo del 34 % en 2026-2027, la caída de los espejos interiores internacionales más allá del −20 % y la primera adjudicación europea perdida frente a un rival chino.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(entre el bajista y el base del motor, a 3-5 años)</w:t>
      </w:r>
    </w:p>
    <w:p>
      <w:pPr>
        <w:spacing w:after="100"/>
      </w:pPr>
      <w:r>
        <w:t xml:space="preserve">La IA no sustituye lo que Gentex vende: espejos, cámaras y dispositivos físicos que se fabrican por unidad. Toca dos partes del negocio. A favor: los sistemas de vigilancia del conductor y de la cabina (DMS/ICMS, ya en BMW y Kia) son visión por ordenador, y los modelos de IA los hacen más útiles; la normativa europea los exige [2]. En contra: si la IA de visión se integra en el ordenador central del coche y la hacen proveedores de chips y software, Gentex queda como fabricante de la cámara con menos margen. Los productos de consumo de VOXX (audio, electrónica) pueden sufrir la competencia de asistentes y dispositivos con IA. Es un riesgo menor frente al ciclo y a China. Señal: quién se lleva los contratos de DMS de 2027 y si Gentex vende el software o solo el hardware.</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mueven las cifras son tres. La cadena de suministro de metales preciosos y electrónica, que encareció el coste en 2026 [3]. La seguridad del producto, porque los DMS e ICMS responden a normas de seguridad (Euro NCAP y la normativa europea de vigilancia del conductor) que crean demanda. Y la concentración industrial en Michigan (5.708 de 6.398 empleados en EE. UU.) [1], que reduce la huella logística pero expone a los aranceles de terceros países.</w:t>
      </w:r>
    </w:p>
    <w:p>
      <w:pPr>
        <w:pStyle w:val="Heading2"/>
      </w:pPr>
      <w:r>
        <w:t xml:space="preserve">Controversias</w:t>
      </w:r>
    </w:p>
    <w:p>
      <w:pPr>
        <w:spacing w:after="100"/>
      </w:pPr>
      <w:r>
        <w:t xml:space="preserve">No hemos encontrado sanciones ni litigios relevantes en los últimos tres años en el 10-K 2025 (apartado de procedimientos legales), salvo los litigios heredados de VOXX, provisionados en la compra y uno ya cerrado por menos de lo previsto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sería el margen bruto del 2T26 y de la guía de 2026 sin los 18 M de devolución de aranceles, y cuánto cuestan en puntos los metales preciosos?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un margen EBITDA del 23,5 %; si el subyacente es menor, el BPA de 2027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planes de fabricar en otro país para volver a vender a fabricantes chinos, o se da China por perdida?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pasó de 50-60 M previstos por trimestre a 29 M; recuperar la mitad sumaría ≈4 % a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programas fuera de China han competido proveedores chinos de espejos o FDM en el último año, y con qué resultado?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que convertiría el foso en estrecho de verdad.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DMS/ICMS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programas de DMS/ICMS hay adjudicados y qué ventas suponen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por contenido del 3-4 % depende de ellos.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VOXX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se espera de audio premium y de la electrónica de consumo en 2027, y piensa vender alguna parte?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el margen del grupo y lleva a la empresa fuera de su ventaja.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a 23-25 USD en 2025-2026 y no acelerar ahora a 20-21 USD, cuando el flujo libre rinde un 11 %?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supone recompras moderadas; la velocidad cambia el BPA de 2028 en un ±3 %.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hay en los ≈135 M de inversiones de capital en tecnológicas y por qué se deterioran cada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sumamos al valor a precio de libros; un deterioro mayor restaría hasta 0,6 USD por acción.</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($GNTX)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y casi todos de compra: la ven barata y quieren entrar por debajo de 20 USD o «en la zona de 18»; aplauden las recompras. Varios la confunden con el fabricante privado de cascos militares del mismo nombre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jul-oct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artículos en tres meses: dos ven una «dominante infravalorada» que ya está lo bastante barata y dos temen el ciclo del automóvil y la presión de la base de espejos [31, 32,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rebaja de Goldman Sachs a Vender (6-oct) por costes de materias primas y poca exposición a los fabricantes chinos domina la conversación reciente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 (tras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2T26 se comentó la caída de ventas frente a lo previsto y que las acciones en circulación dejaron de bajar ese trimestre; otros resaltan el BPA récord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Está barata y recompra acciones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PER de 9-10 veces el beneficio de 2027 y 138 M recomprados en el 1S26; pero el BPA solo ha subido del 1,19 al 1,74 en nueve años y casi todo por recompras.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aranceles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ventas en China de 29 M por trimestre frente a 50-60 M previstos a principios de 2025, y cuota mundial del 91 % al 79 %.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metales preciosos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 reconoce en el 1T26 y el 2T26; la guía de margen bruto (34,5-35,5 %) ya lo incluye.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del automóvil en EE. UU. y Europa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Mobility espera producción plana en 2027 en los mercados de Gentex; Norteamérica va mejor que Europa y Japón/Corea.</w:t>
            </w:r>
          </w:p>
        </w:tc>
      </w:tr>
    </w:tbl>
    <w:p>
      <w:pPr>
        <w:spacing w:after="160" w:before="0"/>
      </w:pPr>
    </w:p>
    <w:p>
      <w:pPr>
        <w:spacing w:after="100"/>
      </w:pPr>
      <w:r>
        <w:t xml:space="preserve">El sentimiento es dividido y empeora: los particulares en Stocktwits la ven barata y esperan comprar por debajo de 20 USD, mientras la conversación profesional reciente está dominada por la rebaja de Goldman a Vender por costes y China [29, 30]. No es capitulación ni euforia: la posición corta del 9,3 % del flotante dice que hay apuestas bajistas serias [34]. Coincide con la tesis en lo esencial (barata por miedo al ciclo y a China) y añade un riesgo que el informe ya recoge: el coste de metales preciosos. No contradice al consenso de analistas, que es Mantener.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34 (16 primarias); citas distintas en el texto: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25,0 % frente a 25,1 % real: genera una variación de circulante de 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11,4 %: para comprar o ampliar hace falta motivo de negocio propio; para mantener basta la vigente. Explicación: La regla v2 (PER al cierre) da 11,4 % porque toma como base el PER de hoy (9,3x) y no supone ninguna vuelta hacia la historia; la v3 sube el base solo un 10 %. No hay motivo de negocio propio que justifique comprar sin la v2: la recomendación del informe es la de la regla vigente (Comprar), pero la acción robusta es Mantener hasta que el precio baje al límite que pasa con las dos (síntesis y diario).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3T24, 4T24, 3T25 y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trimestrales (sin flujos ni amortización); 2) 10-K 2025 (amortización solo anual); 3) derivarlo con la amortización del semestre (no se reparte por trimestre sin inventar)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publicadas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proxy 2026 (no las citan); 2) informe de sostenibilidad (no descargado por tiempo); 3) páginas públicas de MSCI y Sustainalytics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del mercado de espejos atenuables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la cuota de Gentex); 2) informes de mercado (resúmenes sin cuotas); 3) cálculo propio (no hay cuotas de los demás)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EV/EBITDA de 5-10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AAM-Dowlais (solo el rango 4,0-5,5x de las precedentes, sin desglose); 2) prensa de TI Fluid, Tenneco y Veoneer (valor empresa sin EBITDA publicado); 3) informes de compra de VOXX (EBITDA cercano a cero)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(no da ROIC); 2) Stock Analysis (solo con suscripción para varios); 3) cálculo con cuentas de cada uno (fuera del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de 2028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dos ejercicios); 2) Stock Analysis (2027-2028 de pago); 3) MarketScreener (la página no carga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las conferencias del 1T26 y el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Transcripción en Seeking Alpha (403); 2) resúmenes de MarketBeat y Nasdaq (no cargan el contenido); 3) Zacks (bloqueo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anuales auditadas, segmentos, clientes, VOXX)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https://www.sec.gov/Archives/edgar/data/355811/000035581126000010/gntx-20251231.htm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2T26 (balance a 30-jun-2026, segmentos, IEEPA, línea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https://www.sec.gov/Archives/edgar/data/355811/000035581126000048/gntx-20260630.htm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Reports Second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https://www.sec.gov/Archives/edgar/data/355811/000035581126000044/exhibit99106302026.htm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Reports First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https://www.sec.gov/Archives/edgar/data/355811/000035581126000021/exhibit99103312026.htm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Reports Fourth Quarter and Calendar 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https://www.sec.gov/Archives/edgar/data/355811/000035581126000005/exhibit99112312025.htm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Reports Third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https://www.sec.gov/Archives/edgar/data/355811/000035581125000047/exhibit99109302025.htm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Reports Second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https://www.sec.gov/Archives/edgar/data/355811/000035581125000037/exhibit99106302025.htm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Reports First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https://www.sec.gov/Archives/edgar/data/355811/000035581125000026/exhibit99103312025.htm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(segmentos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https://www.sec.gov/Archives/edgar/data/355811/000035581124000011/gntx-20231231.htm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Gentex (CIK 355811):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https://data.sec.gov/api/xbrl/companyfacts/CIK0000355811.json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Announces Closing of VOXX International Acquisition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https://www.sec.gov/Archives/edgar/data/355811/000035581125000013/exhibit991412025.htm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cuota del 91 % en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https://www.sec.gov/Archives/edgar/data/355811/000035581122000006/gntx-20211231.htm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Dimming Mirror Global Market Report (The Business Research Company): 2.310 M USD en 2025, 2.920 M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https://www.gii.tw/report/tbrc1784185-auto-dimming-mirror-global-market-report.html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Auto-Dimming Mirrors – Global Strategic Business Report: 2.100 M USD en 2025, 3.000 M en 2032 (TCAC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Industry Analysts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https://www.gii.tw/report/go2048491-auto-dimming-mirrors.html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y márgenes de Magna, Murakami, Samvardhana Motherson y Panasonic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https://finance.yahoo.com/quote/MGA/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JPY, INR)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componentes de automóvil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sectores/componentes-automovil-2026-10-15.md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https://www.sec.gov/Archives/edgar/data/355811/000035581126000016/gntx-20260406.htm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21-may-2026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https://www.sec.gov/Archives/edgar/data/355811/000035581126000028/gntx-20260521.htm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Gentex entre el 15-oct-2025 y el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https://www.sec.gov/cgi-bin/browse-edgar?action=getcompany&amp;CIK=0000355811&amp;type=4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GNTX, SPY y CARZ (precio, rango, volumen, betas, cierres de ejercicio) con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https://finance.yahoo.com/quote/GNTX/history/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analistas (earningsTrend, financialData, recommendationTrend, calendarEvents) de GNTX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https://finance.yahoo.com/quote/GNTX/analysis/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(GNTX) Stock Forecast &amp; Price Target: 9 analistas, objetivo medio 27,28 USD, BPA 2026 de 2,08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https://stockanalysis.com/stocks/gntx/forecast/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(VC, ALV, BWA, LEA, MGA, GTX, DORM): precio, capitalización, valor empresa, EBITDA, estimaciones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AAM–Dowlais: folleto de la fusión (DEFM14A): múltiplo de 4,1 veces el EBITDA ajustado de 2023 y transacciones precedentes de J.P. Morgan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Axle &amp; Manufacturing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https://www.sec.gov/Archives/edgar/data/1062231/000110465925055536/tm2512184-3_defm14a.htm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Technologies (Apollo) compra TI Fluid Systems: 200 peniques por acción, valor empresa de ≈1.830 M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Sharecast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https://sharecast.com/news/news-and-announcements/abc-secures-ti-fluid-systems-in-pound1bn-deal--18215554.html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Goldman Sachs cuts Gentex to Sell on higher input costs, low China OEM exposure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https://seekingalpha.com/symbol/GNTX/news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$GNTX (abr-oct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https://api.stocktwits.com/api/2/streams/symbol/GNTX.json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noticias de GNTX (jul-oct 2026,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https://seekingalpha.com/api/sa/combined/GNTX.xml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Shares Are Cheap Enough To Upgrade, But I Am Wary Of Automotive Woes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https://seekingalpha.com/article/4952096-gentex-stock-cheap-enough-upgrade-i-am-wary-automotive-woes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Gentex: A Leveraged Strategy For An Undervalued Dominant Auto Supplier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https://seekingalpha.com/article/4926632-gentex-a-leveraged-strategy-for-an-undervalued-dominant-auto-supplier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(9,3 % del capital flotante) y titulares institucionales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https://finance.yahoo.com/quote/GNTX/holders/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89,0 %</w:t>
      </w:r>
      <w:r>
        <w:t xml:space="preserve"> · Secciones con menos del 60 % de campos cubiertos: </w:t>
      </w:r>
      <w:r>
        <w:rPr>
          <w:b/>
          <w:bCs/>
        </w:rPr>
        <w:t xml:space="preserve">ninguna</w:t>
      </w:r>
      <w:r>
        <w:t xml:space="preserve"> · Generado el 15 oct 2026.</w:t>
      </w:r>
    </w:p>
    <w:p>
      <w:pPr>
        <w:pStyle w:val="Nota"/>
        <w:spacing w:after="100"/>
      </w:pPr>
      <w:r>
        <w:t xml:space="preserve">Cuentas del XBRL de la SEC (10-K 2016-2025) comprobadas con el 10-K 2025, el 10-Q del 2T26 y las notas de resultados trimestrales; segmentos de 2021-2022 del 10-K 2023. El precio es el cierre del 14-oct-2026 (20,78 USD): la sesión del 15-oct no había abierto a la hora del corte. Las acciones son las 210,7 M en circulación a 24-jul-2026; la caja del puente es la del 30-jun-2026 (las recompras del 3T no se conocen hasta el 23-oct). El consenso sale de Yahoo Finance (siete analistas de BPA, dos ejercicios) y Stock Analysis; no hay consenso gratuito de 2028. Los comparables son de un solo proveedor (Yahoo) y su EBITDA de los próximos 12 meses es estimación propia (ventas del consenso por el margen de los últimos 12 meses). No se pudo leer la transcripción de las conferencias (Seeking Alpha y MarketBeat no abren): la sección de resultados recientes se apoya en las notas de prensa y el 10-Q.</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Gentex Corporation (GNTX)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20,78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(20,48 – 26,99)</c:v>
                </c:pt>
                <c:pt idx="1">
                  <c:v>Precio objetivo de los analistas (20,00 – 42,00)</c:v>
                </c:pt>
                <c:pt idx="2">
                  <c:v>Comparables: PER NTM (18,63 – 23,18)</c:v>
                </c:pt>
                <c:pt idx="3">
                  <c:v>DCF (WACC y g ± 0,5) (25,74 – 31,02)</c:v>
                </c:pt>
                <c:pt idx="4">
                  <c:v>Escenarios (bajista – alcista) (21,81 – 30,82)</c:v>
                </c:pt>
                <c:pt idx="5">
                  <c:v>DCF con la prima implícita del mercado (4,2 %)</c:v>
                </c:pt>
                <c:pt idx="6">
                  <c:v>Precio actual (20,78)</c:v>
                </c:pt>
              </c:strCache>
            </c:strRef>
          </c:cat>
          <c:val>
            <c:numRef>
              <c:f>Hoja1!$B$2:$B$8</c:f>
              <c:numCache>
                <c:formatCode>#,##0.0</c:formatCode>
                <c:ptCount val="7"/>
                <c:pt idx="0">
                  <c:v>20.48</c:v>
                </c:pt>
                <c:pt idx="1">
                  <c:v>20</c:v>
                </c:pt>
                <c:pt idx="2">
                  <c:v>18.63</c:v>
                </c:pt>
                <c:pt idx="3">
                  <c:v>25.74</c:v>
                </c:pt>
                <c:pt idx="4">
                  <c:v>21.81</c:v>
                </c:pt>
                <c:pt idx="5">
                  <c:v>30.81</c:v>
                </c:pt>
                <c:pt idx="6">
                  <c:v>20.68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(20,48 – 26,99)</c:v>
                </c:pt>
                <c:pt idx="1">
                  <c:v>Precio objetivo de los analistas (20,00 – 42,00)</c:v>
                </c:pt>
                <c:pt idx="2">
                  <c:v>Comparables: PER NTM (18,63 – 23,18)</c:v>
                </c:pt>
                <c:pt idx="3">
                  <c:v>DCF (WACC y g ± 0,5) (25,74 – 31,02)</c:v>
                </c:pt>
                <c:pt idx="4">
                  <c:v>Escenarios (bajista – alcista) (21,81 – 30,82)</c:v>
                </c:pt>
                <c:pt idx="5">
                  <c:v>DCF con la prima implícita del mercado (4,2 %)</c:v>
                </c:pt>
                <c:pt idx="6">
                  <c:v>Precio actual (20,78)</c:v>
                </c:pt>
              </c:strCache>
            </c:strRef>
          </c:cat>
          <c:val>
            <c:numRef>
              <c:f>Hoja1!$C$2:$C$8</c:f>
              <c:numCache>
                <c:formatCode>#,##0.0</c:formatCode>
                <c:ptCount val="7"/>
                <c:pt idx="0">
                  <c:v>6.509999999999998</c:v>
                </c:pt>
                <c:pt idx="1">
                  <c:v>22</c:v>
                </c:pt>
                <c:pt idx="2">
                  <c:v>4.550000000000001</c:v>
                </c:pt>
                <c:pt idx="3">
                  <c:v>5.280000000000001</c:v>
                </c:pt>
                <c:pt idx="4">
                  <c:v>9.010000000000002</c:v>
                </c:pt>
                <c:pt idx="5">
                  <c:v>4.419999999999998</c:v>
                </c:pt>
                <c:pt idx="6">
                  <c:v>0.1999999999999993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Automoción</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1697.2</c:v>
                </c:pt>
                <c:pt idx="1">
                  <c:v>1874.7</c:v>
                </c:pt>
                <c:pt idx="2">
                  <c:v>2254.7</c:v>
                </c:pt>
                <c:pt idx="3">
                  <c:v>2264.7</c:v>
                </c:pt>
                <c:pt idx="4">
                  <c:v>2255.9</c:v>
                </c:pt>
              </c:numCache>
            </c:numRef>
          </c:val>
        </c:ser>
        <c:ser>
          <c:idx val="1"/>
          <c:order val="1"/>
          <c:tx>
            <c:strRef>
              <c:f>Hoja1!$C$1</c:f>
              <c:strCache>
                <c:ptCount val="1"/>
                <c:pt idx="0">
                  <c:v>Audio premium</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151.3</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34</c:v>
                </c:pt>
                <c:pt idx="1">
                  <c:v>44.2</c:v>
                </c:pt>
                <c:pt idx="2">
                  <c:v>44.6</c:v>
                </c:pt>
                <c:pt idx="3">
                  <c:v>48.6</c:v>
                </c:pt>
                <c:pt idx="4">
                  <c:v>127.1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Automoción</c:v>
                </c:pt>
                <c:pt idx="1">
                  <c:v>Audio premium</c:v>
                </c:pt>
                <c:pt idx="2">
                  <c:v>Otros</c:v>
                </c:pt>
              </c:strCache>
            </c:strRef>
          </c:cat>
          <c:val>
            <c:numRef>
              <c:f>Hoja1!$B$2:$B$4</c:f>
              <c:numCache>
                <c:formatCode>General</c:formatCode>
                <c:ptCount val="3"/>
                <c:pt idx="0">
                  <c:v>89</c:v>
                </c:pt>
                <c:pt idx="1">
                  <c:v>6</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EE. UU.</c:v>
                </c:pt>
                <c:pt idx="1">
                  <c:v>Japón</c:v>
                </c:pt>
                <c:pt idx="2">
                  <c:v>Alemania</c:v>
                </c:pt>
                <c:pt idx="3">
                  <c:v>México</c:v>
                </c:pt>
                <c:pt idx="4">
                  <c:v>Corea</c:v>
                </c:pt>
                <c:pt idx="5">
                  <c:v>China</c:v>
                </c:pt>
                <c:pt idx="6">
                  <c:v>Otros</c:v>
                </c:pt>
              </c:strCache>
            </c:strRef>
          </c:cat>
          <c:val>
            <c:numRef>
              <c:f>Hoja1!$B$2:$B$8</c:f>
              <c:numCache>
                <c:formatCode>0"%"</c:formatCode>
                <c:ptCount val="7"/>
                <c:pt idx="0">
                  <c:v>34.8</c:v>
                </c:pt>
                <c:pt idx="1">
                  <c:v>14.9</c:v>
                </c:pt>
                <c:pt idx="2">
                  <c:v>9.6</c:v>
                </c:pt>
                <c:pt idx="3">
                  <c:v>7.2</c:v>
                </c:pt>
                <c:pt idx="4">
                  <c:v>7.1</c:v>
                </c:pt>
                <c:pt idx="5">
                  <c:v>6</c:v>
                </c:pt>
                <c:pt idx="6">
                  <c:v>20.4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(espejos atenuables automáticos, mundo))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2030e</c:v>
                </c:pt>
              </c:strCache>
            </c:strRef>
          </c:cat>
          <c:val>
            <c:numRef>
              <c:f>Hoja1!$B$2:$B$4</c:f>
              <c:numCache>
                <c:formatCode>#,##0</c:formatCode>
                <c:ptCount val="3"/>
                <c:pt idx="0">
                  <c:v>2310</c:v>
                </c:pt>
                <c:pt idx="1">
                  <c:v>2410</c:v>
                </c:pt>
                <c:pt idx="2">
                  <c:v>2920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Gentex</c:v>
                </c:pt>
                <c:pt idx="1">
                  <c:v>Magna International (Magna Mirrors)</c:v>
                </c:pt>
                <c:pt idx="2">
                  <c:v>Murakami Corporation</c:v>
                </c:pt>
                <c:pt idx="3">
                  <c:v>Samvardhana Motherson (SMR)</c:v>
                </c:pt>
                <c:pt idx="4">
                  <c:v>Panasonic (retrovisor electrónico tipo FDM)</c:v>
                </c:pt>
                <c:pt idx="5">
                  <c:v>Fabricantes chinos de espejos (varios)</c:v>
                </c:pt>
              </c:strCache>
            </c:strRef>
          </c:cat>
          <c:val>
            <c:numRef>
              <c:f>Hoja1!$B$2:$B$7</c:f>
              <c:numCache>
                <c:formatCode>0.0"%"</c:formatCode>
                <c:ptCount val="6"/>
                <c:pt idx="0">
                  <c:v>19.4</c:v>
                </c:pt>
                <c:pt idx="1">
                  <c:v>5.6</c:v>
                </c:pt>
                <c:pt idx="2">
                  <c:v>6.5</c:v>
                </c:pt>
                <c:pt idx="3">
                  <c:v>5</c:v>
                </c:pt>
                <c:pt idx="4">
                  <c:v>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1678.9</c:v>
                </c:pt>
                <c:pt idx="1">
                  <c:v>1794.9</c:v>
                </c:pt>
                <c:pt idx="2">
                  <c:v>1834.1</c:v>
                </c:pt>
                <c:pt idx="3">
                  <c:v>1858.9</c:v>
                </c:pt>
                <c:pt idx="4">
                  <c:v>1688.2</c:v>
                </c:pt>
                <c:pt idx="5">
                  <c:v>1731.2</c:v>
                </c:pt>
                <c:pt idx="6">
                  <c:v>1919</c:v>
                </c:pt>
                <c:pt idx="7">
                  <c:v>2299.2</c:v>
                </c:pt>
                <c:pt idx="8">
                  <c:v>2313.3</c:v>
                </c:pt>
                <c:pt idx="9">
                  <c:v>2534.3</c:v>
                </c:pt>
                <c:pt idx="10">
                  <c:v>2681</c:v>
                </c:pt>
                <c:pt idx="11">
                  <c:v>2791</c:v>
                </c:pt>
                <c:pt idx="12">
                  <c:v>2903</c:v>
                </c:pt>
                <c:pt idx="13">
                  <c:v>3004</c:v>
                </c:pt>
                <c:pt idx="14">
                  <c:v>3095</c:v>
                </c:pt>
                <c:pt idx="15">
                  <c:v>3172</c:v>
                </c:pt>
                <c:pt idx="16">
                  <c:v>3251</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600.3</c:v>
                </c:pt>
                <c:pt idx="1">
                  <c:v>623</c:v>
                </c:pt>
                <c:pt idx="2">
                  <c:v>610.3</c:v>
                </c:pt>
                <c:pt idx="3">
                  <c:v>593.2</c:v>
                </c:pt>
                <c:pt idx="4">
                  <c:v>504.3</c:v>
                </c:pt>
                <c:pt idx="5">
                  <c:v>508.9</c:v>
                </c:pt>
                <c:pt idx="6">
                  <c:v>466.6</c:v>
                </c:pt>
                <c:pt idx="7">
                  <c:v>589</c:v>
                </c:pt>
                <c:pt idx="8">
                  <c:v>565.1999999999999</c:v>
                </c:pt>
                <c:pt idx="9">
                  <c:v>596.1999999999999</c:v>
                </c:pt>
                <c:pt idx="10">
                  <c:v>630</c:v>
                </c:pt>
                <c:pt idx="11">
                  <c:v>656</c:v>
                </c:pt>
                <c:pt idx="12">
                  <c:v>682</c:v>
                </c:pt>
                <c:pt idx="13">
                  <c:v>706</c:v>
                </c:pt>
                <c:pt idx="14">
                  <c:v>727</c:v>
                </c:pt>
                <c:pt idx="15">
                  <c:v>745</c:v>
                </c:pt>
                <c:pt idx="16">
                  <c:v>764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39.8</c:v>
                </c:pt>
                <c:pt idx="1">
                  <c:v>38.7</c:v>
                </c:pt>
                <c:pt idx="2">
                  <c:v>37.6</c:v>
                </c:pt>
                <c:pt idx="3">
                  <c:v>37</c:v>
                </c:pt>
                <c:pt idx="4">
                  <c:v>35.9</c:v>
                </c:pt>
                <c:pt idx="5">
                  <c:v>35.8</c:v>
                </c:pt>
                <c:pt idx="6">
                  <c:v>31.8</c:v>
                </c:pt>
                <c:pt idx="7">
                  <c:v>33.2</c:v>
                </c:pt>
                <c:pt idx="8">
                  <c:v>33.3</c:v>
                </c:pt>
                <c:pt idx="9">
                  <c:v>34.2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35.8</c:v>
                </c:pt>
                <c:pt idx="1">
                  <c:v>34.7</c:v>
                </c:pt>
                <c:pt idx="2">
                  <c:v>33.3</c:v>
                </c:pt>
                <c:pt idx="3">
                  <c:v>31.9</c:v>
                </c:pt>
                <c:pt idx="4">
                  <c:v>29.9</c:v>
                </c:pt>
                <c:pt idx="5">
                  <c:v>29.4</c:v>
                </c:pt>
                <c:pt idx="6">
                  <c:v>24.3</c:v>
                </c:pt>
                <c:pt idx="7">
                  <c:v>25.6</c:v>
                </c:pt>
                <c:pt idx="8">
                  <c:v>24.4</c:v>
                </c:pt>
                <c:pt idx="9">
                  <c:v>23.5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30.5</c:v>
                </c:pt>
                <c:pt idx="1">
                  <c:v>29.2</c:v>
                </c:pt>
                <c:pt idx="2">
                  <c:v>27.7</c:v>
                </c:pt>
                <c:pt idx="3">
                  <c:v>26.3</c:v>
                </c:pt>
                <c:pt idx="4">
                  <c:v>23.7</c:v>
                </c:pt>
                <c:pt idx="5">
                  <c:v>23.7</c:v>
                </c:pt>
                <c:pt idx="6">
                  <c:v>19.3</c:v>
                </c:pt>
                <c:pt idx="7">
                  <c:v>21.6</c:v>
                </c:pt>
                <c:pt idx="8">
                  <c:v>20.3</c:v>
                </c:pt>
                <c:pt idx="9">
                  <c:v>19.4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20.7</c:v>
                </c:pt>
                <c:pt idx="1">
                  <c:v>22.7</c:v>
                </c:pt>
                <c:pt idx="2">
                  <c:v>23.9</c:v>
                </c:pt>
                <c:pt idx="3">
                  <c:v>22.8</c:v>
                </c:pt>
                <c:pt idx="4">
                  <c:v>20.6</c:v>
                </c:pt>
                <c:pt idx="5">
                  <c:v>20.8</c:v>
                </c:pt>
                <c:pt idx="6">
                  <c:v>16.6</c:v>
                </c:pt>
                <c:pt idx="7">
                  <c:v>18.6</c:v>
                </c:pt>
                <c:pt idx="8">
                  <c:v>17.5</c:v>
                </c:pt>
                <c:pt idx="9">
                  <c:v>15.2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-2.3</c:v>
                </c:pt>
                <c:pt idx="3">
                  <c:v>14.8</c:v>
                </c:pt>
                <c:pt idx="4">
                  <c:v>7.7</c:v>
                </c:pt>
                <c:pt idx="5">
                  <c:v>19</c:v>
                </c:pt>
                <c:pt idx="6">
                  <c:v>17.1</c:v>
                </c:pt>
                <c:pt idx="7">
                  <c:v>-1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-2.3</c:v>
                </c:pt>
                <c:pt idx="3">
                  <c:v>1.1</c:v>
                </c:pt>
                <c:pt idx="4">
                  <c:v>-6.3</c:v>
                </c:pt>
                <c:pt idx="5">
                  <c:v>-0.1</c:v>
                </c:pt>
                <c:pt idx="6">
                  <c:v>1.7</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46</c:v>
                </c:pt>
                <c:pt idx="1">
                  <c:v>47</c:v>
                </c:pt>
                <c:pt idx="2">
                  <c:v>42</c:v>
                </c:pt>
                <c:pt idx="3">
                  <c:v>46</c:v>
                </c:pt>
                <c:pt idx="4">
                  <c:v>62</c:v>
                </c:pt>
                <c:pt idx="5">
                  <c:v>53</c:v>
                </c:pt>
                <c:pt idx="6">
                  <c:v>53</c:v>
                </c:pt>
                <c:pt idx="7">
                  <c:v>51</c:v>
                </c:pt>
                <c:pt idx="8">
                  <c:v>47</c:v>
                </c:pt>
                <c:pt idx="9">
                  <c:v>53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68</c:v>
                </c:pt>
                <c:pt idx="1">
                  <c:v>72</c:v>
                </c:pt>
                <c:pt idx="2">
                  <c:v>72</c:v>
                </c:pt>
                <c:pt idx="3">
                  <c:v>78</c:v>
                </c:pt>
                <c:pt idx="4">
                  <c:v>76</c:v>
                </c:pt>
                <c:pt idx="5">
                  <c:v>104</c:v>
                </c:pt>
                <c:pt idx="6">
                  <c:v>113</c:v>
                </c:pt>
                <c:pt idx="7">
                  <c:v>96</c:v>
                </c:pt>
                <c:pt idx="8">
                  <c:v>103</c:v>
                </c:pt>
                <c:pt idx="9">
                  <c:v>113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29</c:v>
                </c:pt>
                <c:pt idx="1">
                  <c:v>30</c:v>
                </c:pt>
                <c:pt idx="2">
                  <c:v>30</c:v>
                </c:pt>
                <c:pt idx="3">
                  <c:v>30</c:v>
                </c:pt>
                <c:pt idx="4">
                  <c:v>29</c:v>
                </c:pt>
                <c:pt idx="5">
                  <c:v>32</c:v>
                </c:pt>
                <c:pt idx="6">
                  <c:v>42</c:v>
                </c:pt>
                <c:pt idx="7">
                  <c:v>44</c:v>
                </c:pt>
                <c:pt idx="8">
                  <c:v>40</c:v>
                </c:pt>
                <c:pt idx="9">
                  <c:v>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356</c:v>
                </c:pt>
                <c:pt idx="1">
                  <c:v>397</c:v>
                </c:pt>
                <c:pt idx="2">
                  <c:v>466.4</c:v>
                </c:pt>
                <c:pt idx="3">
                  <c:v>421.4</c:v>
                </c:pt>
                <c:pt idx="4">
                  <c:v>412.8</c:v>
                </c:pt>
                <c:pt idx="5">
                  <c:v>293.4</c:v>
                </c:pt>
                <c:pt idx="6">
                  <c:v>191.79999999999998</c:v>
                </c:pt>
                <c:pt idx="7">
                  <c:v>353.50000000000006</c:v>
                </c:pt>
                <c:pt idx="8">
                  <c:v>353.5</c:v>
                </c:pt>
                <c:pt idx="9">
                  <c:v>458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347.6</c:v>
                </c:pt>
                <c:pt idx="1">
                  <c:v>406.8</c:v>
                </c:pt>
                <c:pt idx="2">
                  <c:v>437.9</c:v>
                </c:pt>
                <c:pt idx="3">
                  <c:v>424.7</c:v>
                </c:pt>
                <c:pt idx="4">
                  <c:v>347.6</c:v>
                </c:pt>
                <c:pt idx="5">
                  <c:v>360.8</c:v>
                </c:pt>
                <c:pt idx="6">
                  <c:v>318.8</c:v>
                </c:pt>
                <c:pt idx="7">
                  <c:v>428.4</c:v>
                </c:pt>
                <c:pt idx="8">
                  <c:v>404.5</c:v>
                </c:pt>
                <c:pt idx="9">
                  <c:v>384.8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25.4</c:v>
                </c:pt>
                <c:pt idx="1">
                  <c:v>27.3</c:v>
                </c:pt>
                <c:pt idx="2">
                  <c:v>26.6</c:v>
                </c:pt>
                <c:pt idx="3">
                  <c:v>25.2</c:v>
                </c:pt>
                <c:pt idx="4">
                  <c:v>21.2</c:v>
                </c:pt>
                <c:pt idx="5">
                  <c:v>22.1</c:v>
                </c:pt>
                <c:pt idx="6">
                  <c:v>18.1</c:v>
                </c:pt>
                <c:pt idx="7">
                  <c:v>21.4</c:v>
                </c:pt>
                <c:pt idx="8">
                  <c:v>18.6</c:v>
                </c:pt>
                <c:pt idx="9">
                  <c:v>17.9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10.7</c:v>
                </c:pt>
                <c:pt idx="1">
                  <c:v>10.7</c:v>
                </c:pt>
                <c:pt idx="2">
                  <c:v>10.7</c:v>
                </c:pt>
                <c:pt idx="3">
                  <c:v>10.7</c:v>
                </c:pt>
                <c:pt idx="4">
                  <c:v>10.7</c:v>
                </c:pt>
                <c:pt idx="5">
                  <c:v>10.7</c:v>
                </c:pt>
                <c:pt idx="6">
                  <c:v>10.7</c:v>
                </c:pt>
                <c:pt idx="7">
                  <c:v>10.7</c:v>
                </c:pt>
                <c:pt idx="8">
                  <c:v>10.7</c:v>
                </c:pt>
                <c:pt idx="9">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18.2</c:v>
                </c:pt>
                <c:pt idx="1">
                  <c:v>20.5</c:v>
                </c:pt>
                <c:pt idx="2">
                  <c:v>22.4</c:v>
                </c:pt>
                <c:pt idx="3">
                  <c:v>22.4</c:v>
                </c:pt>
                <c:pt idx="4">
                  <c:v>17.8</c:v>
                </c:pt>
                <c:pt idx="5">
                  <c:v>18.5</c:v>
                </c:pt>
                <c:pt idx="6">
                  <c:v>15.9</c:v>
                </c:pt>
                <c:pt idx="7">
                  <c:v>19.6</c:v>
                </c:pt>
                <c:pt idx="8">
                  <c:v>16.9</c:v>
                </c:pt>
                <c:pt idx="9">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-0.9</c:v>
                </c:pt>
                <c:pt idx="1">
                  <c:v>-0.79</c:v>
                </c:pt>
                <c:pt idx="2">
                  <c:v>-0.36</c:v>
                </c:pt>
                <c:pt idx="3">
                  <c:v>-0.5</c:v>
                </c:pt>
                <c:pt idx="4">
                  <c:v>-0.84</c:v>
                </c:pt>
                <c:pt idx="5">
                  <c:v>-0.52</c:v>
                </c:pt>
                <c:pt idx="6">
                  <c:v>-0.46</c:v>
                </c:pt>
                <c:pt idx="7">
                  <c:v>-0.38</c:v>
                </c:pt>
                <c:pt idx="8">
                  <c:v>-0.41</c:v>
                </c:pt>
                <c:pt idx="9">
                  <c:v>-0.24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2031</c:v>
                </c:pt>
              </c:strCache>
            </c:strRef>
          </c:cat>
          <c:val>
            <c:numRef>
              <c:f>Hoja1!$B$2</c:f>
              <c:numCache>
                <c:formatCode>#,##0</c:formatCode>
                <c:ptCount val="1"/>
                <c:pt idx="0">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11.2</c:v>
                </c:pt>
                <c:pt idx="5">
                  <c:v>12.1</c:v>
                </c:pt>
                <c:pt idx="6">
                  <c:v>0</c:v>
                </c:pt>
                <c:pt idx="7">
                  <c:v>18.9</c:v>
                </c:pt>
                <c:pt idx="8">
                  <c:v>2.9</c:v>
                </c:pt>
                <c:pt idx="9">
                  <c:v>156.3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101.1</c:v>
                </c:pt>
                <c:pt idx="1">
                  <c:v>108.8</c:v>
                </c:pt>
                <c:pt idx="2">
                  <c:v>116.6</c:v>
                </c:pt>
                <c:pt idx="3">
                  <c:v>116.3</c:v>
                </c:pt>
                <c:pt idx="4">
                  <c:v>117.2</c:v>
                </c:pt>
                <c:pt idx="5">
                  <c:v>115.3</c:v>
                </c:pt>
                <c:pt idx="6">
                  <c:v>113.1</c:v>
                </c:pt>
                <c:pt idx="7">
                  <c:v>112.2</c:v>
                </c:pt>
                <c:pt idx="8">
                  <c:v>110.4</c:v>
                </c:pt>
                <c:pt idx="9">
                  <c:v>106.9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163.4</c:v>
                </c:pt>
                <c:pt idx="1">
                  <c:v>231.4</c:v>
                </c:pt>
                <c:pt idx="2">
                  <c:v>591.6</c:v>
                </c:pt>
                <c:pt idx="3">
                  <c:v>331.5</c:v>
                </c:pt>
                <c:pt idx="4">
                  <c:v>288.5</c:v>
                </c:pt>
                <c:pt idx="5">
                  <c:v>324.6</c:v>
                </c:pt>
                <c:pt idx="6">
                  <c:v>112.5</c:v>
                </c:pt>
                <c:pt idx="7">
                  <c:v>147.4</c:v>
                </c:pt>
                <c:pt idx="8">
                  <c:v>206.1</c:v>
                </c:pt>
                <c:pt idx="9">
                  <c:v>315.5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 (13 personas)</c:v>
                </c:pt>
              </c:strCache>
            </c:strRef>
          </c:cat>
          <c:val>
            <c:numRef>
              <c:f>Hoja1!$B$2:$B$4</c:f>
              <c:numCache>
                <c:formatCode>0.0"%"</c:formatCode>
                <c:ptCount val="3"/>
                <c:pt idx="0">
                  <c:v>9.9</c:v>
                </c:pt>
                <c:pt idx="1">
                  <c:v>8.3</c:v>
                </c:pt>
                <c:pt idx="2">
                  <c:v>0.45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25.7</c:v>
                </c:pt>
                <c:pt idx="1">
                  <c:v>8.4</c:v>
                </c:pt>
                <c:pt idx="2">
                  <c:v>-1.6</c:v>
                </c:pt>
                <c:pt idx="3">
                  <c:v>46.3</c:v>
                </c:pt>
                <c:pt idx="4">
                  <c:v>19.2</c:v>
                </c:pt>
                <c:pt idx="5">
                  <c:v>4.2</c:v>
                </c:pt>
                <c:pt idx="6">
                  <c:v>-20.4</c:v>
                </c:pt>
                <c:pt idx="7">
                  <c:v>21.8</c:v>
                </c:pt>
                <c:pt idx="8">
                  <c:v>-10.7</c:v>
                </c:pt>
                <c:pt idx="9">
                  <c:v>-17.4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8.7</c:v>
                </c:pt>
                <c:pt idx="1">
                  <c:v>8.9</c:v>
                </c:pt>
                <c:pt idx="2">
                  <c:v>8.6</c:v>
                </c:pt>
                <c:pt idx="3">
                  <c:v>11.9</c:v>
                </c:pt>
                <c:pt idx="4">
                  <c:v>15.6</c:v>
                </c:pt>
                <c:pt idx="5">
                  <c:v>15.7</c:v>
                </c:pt>
                <c:pt idx="6">
                  <c:v>13.1</c:v>
                </c:pt>
                <c:pt idx="7">
                  <c:v>12.4</c:v>
                </c:pt>
                <c:pt idx="8">
                  <c:v>11.1</c:v>
                </c:pt>
                <c:pt idx="9">
                  <c:v>8.3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10</c:v>
                </c:pt>
                <c:pt idx="1">
                  <c:v>10</c:v>
                </c:pt>
                <c:pt idx="2">
                  <c:v>10</c:v>
                </c:pt>
                <c:pt idx="3">
                  <c:v>10</c:v>
                </c:pt>
                <c:pt idx="4">
                  <c:v>10</c:v>
                </c:pt>
                <c:pt idx="5">
                  <c:v>10</c:v>
                </c:pt>
                <c:pt idx="6">
                  <c:v>10</c:v>
                </c:pt>
                <c:pt idx="7">
                  <c:v>10</c:v>
                </c:pt>
                <c:pt idx="8">
                  <c:v>10</c:v>
                </c:pt>
                <c:pt idx="9">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Gentex</c:v>
                </c:pt>
                <c:pt idx="1">
                  <c:v>Visteon</c:v>
                </c:pt>
                <c:pt idx="2">
                  <c:v>Autoliv</c:v>
                </c:pt>
                <c:pt idx="3">
                  <c:v>BorgWarner</c:v>
                </c:pt>
                <c:pt idx="4">
                  <c:v>Lear</c:v>
                </c:pt>
                <c:pt idx="5">
                  <c:v>Magna International</c:v>
                </c:pt>
                <c:pt idx="6">
                  <c:v>Garrett Motion</c:v>
                </c:pt>
                <c:pt idx="7">
                  <c:v>Dorman Products</c:v>
                </c:pt>
              </c:strCache>
            </c:strRef>
          </c:cat>
          <c:val>
            <c:numRef>
              <c:f>Hoja1!$B$2:$B$9</c:f>
              <c:numCache>
                <c:formatCode>0.0"x"</c:formatCode>
                <c:ptCount val="8"/>
                <c:pt idx="1">
                  <c:v>5.1</c:v>
                </c:pt>
                <c:pt idx="2">
                  <c:v>6.4</c:v>
                </c:pt>
                <c:pt idx="3">
                  <c:v>6.6</c:v>
                </c:pt>
                <c:pt idx="4">
                  <c:v>5</c:v>
                </c:pt>
                <c:pt idx="5">
                  <c:v>5.3</c:v>
                </c:pt>
                <c:pt idx="6">
                  <c:v>8.7</c:v>
                </c:pt>
                <c:pt idx="7">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Visteon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7.1</c:v>
                </c:pt>
              </c:numCache>
            </c:numRef>
          </c:xVal>
          <c:yVal>
            <c:numRef>
              <c:f>Hoja1!$C$2</c:f>
              <c:numCache>
                <c:formatCode>0.0"x"</c:formatCode>
                <c:ptCount val="1"/>
                <c:pt idx="0">
                  <c:v>5.1</c:v>
                </c:pt>
              </c:numCache>
            </c:numRef>
          </c:yVal>
          <c:smooth val="0"/>
        </c:ser>
        <c:ser>
          <c:idx val="1"/>
          <c:order val="1"/>
          <c:tx>
            <c:strRef>
              <c:f>Hoja1!$A$3</c:f>
              <c:strCache>
                <c:ptCount val="1"/>
                <c:pt idx="0">
                  <c:v>Autoliv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2.2</c:v>
                </c:pt>
              </c:numCache>
            </c:numRef>
          </c:xVal>
          <c:yVal>
            <c:numRef>
              <c:f>Hoja1!$C$3</c:f>
              <c:numCache>
                <c:formatCode>0.0"x"</c:formatCode>
                <c:ptCount val="1"/>
                <c:pt idx="0">
                  <c:v>6.4</c:v>
                </c:pt>
              </c:numCache>
            </c:numRef>
          </c:yVal>
          <c:smooth val="0"/>
        </c:ser>
        <c:ser>
          <c:idx val="2"/>
          <c:order val="2"/>
          <c:tx>
            <c:strRef>
              <c:f>Hoja1!$A$4</c:f>
              <c:strCache>
                <c:ptCount val="1"/>
                <c:pt idx="0">
                  <c:v>BorgWarner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6.6</c:v>
                </c:pt>
              </c:numCache>
            </c:numRef>
          </c:yVal>
          <c:smooth val="0"/>
        </c:ser>
        <c:ser>
          <c:idx val="3"/>
          <c:order val="3"/>
          <c:tx>
            <c:strRef>
              <c:f>Hoja1!$A$5</c:f>
              <c:strCache>
                <c:ptCount val="1"/>
                <c:pt idx="0">
                  <c:v>Lear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1.3</c:v>
                </c:pt>
              </c:numCache>
            </c:numRef>
          </c:xVal>
          <c:yVal>
            <c:numRef>
              <c:f>Hoja1!$C$5</c:f>
              <c:numCache>
                <c:formatCode>0.0"x"</c:formatCode>
                <c:ptCount val="1"/>
                <c:pt idx="0">
                  <c:v>5</c:v>
                </c:pt>
              </c:numCache>
            </c:numRef>
          </c:yVal>
          <c:smooth val="0"/>
        </c:ser>
        <c:ser>
          <c:idx val="4"/>
          <c:order val="4"/>
          <c:tx>
            <c:strRef>
              <c:f>Hoja1!$A$6</c:f>
              <c:strCache>
                <c:ptCount val="1"/>
                <c:pt idx="0">
                  <c:v>Magna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-0.8</c:v>
                </c:pt>
              </c:numCache>
            </c:numRef>
          </c:xVal>
          <c:yVal>
            <c:numRef>
              <c:f>Hoja1!$C$6</c:f>
              <c:numCache>
                <c:formatCode>0.0"x"</c:formatCode>
                <c:ptCount val="1"/>
                <c:pt idx="0">
                  <c:v>5.3</c:v>
                </c:pt>
              </c:numCache>
            </c:numRef>
          </c:yVal>
          <c:smooth val="0"/>
        </c:ser>
        <c:ser>
          <c:idx val="5"/>
          <c:order val="5"/>
          <c:tx>
            <c:strRef>
              <c:f>Hoja1!$A$7</c:f>
              <c:strCache>
                <c:ptCount val="1"/>
                <c:pt idx="0">
                  <c:v>Garrett Motion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5.3</c:v>
                </c:pt>
              </c:numCache>
            </c:numRef>
          </c:xVal>
          <c:yVal>
            <c:numRef>
              <c:f>Hoja1!$C$7</c:f>
              <c:numCache>
                <c:formatCode>0.0"x"</c:formatCode>
                <c:ptCount val="1"/>
                <c:pt idx="0">
                  <c:v>8.7</c:v>
                </c:pt>
              </c:numCache>
            </c:numRef>
          </c:yVal>
          <c:smooth val="0"/>
        </c:ser>
        <c:ser>
          <c:idx val="6"/>
          <c:order val="6"/>
          <c:tx>
            <c:strRef>
              <c:f>Hoja1!$A$8</c:f>
              <c:strCache>
                <c:ptCount val="1"/>
                <c:pt idx="0">
                  <c:v>Dorman Products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6.5</c:v>
                </c:pt>
              </c:numCache>
            </c:numRef>
          </c:xVal>
          <c:yVal>
            <c:numRef>
              <c:f>Hoja1!$C$8</c:f>
              <c:numCache>
                <c:formatCode>0.0"x"</c:formatCode>
                <c:ptCount val="1"/>
                <c:pt idx="0">
                  <c:v>9</c:v>
                </c:pt>
              </c:numCache>
            </c:numRef>
          </c:yVal>
          <c:smooth val="0"/>
        </c:ser>
        <c:axId val="10"/>
        <c:axId val="20"/>
      </c:scatterChart>
      <c:valAx>
        <c:axId val="10"/>
        <c:scaling>
          <c:orientation val="minMax"/>
          <c:max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VOXX International</c:v>
                </c:pt>
                <c:pt idx="1">
                  <c:v>Dowlais (GKN Automotive y Powder Metallurgy)</c:v>
                </c:pt>
                <c:pt idx="2">
                  <c:v>TI Fluid Systems</c:v>
                </c:pt>
              </c:strCache>
            </c:strRef>
          </c:cat>
          <c:val>
            <c:numRef>
              <c:f>Hoja1!$B$2:$B$4</c:f>
              <c:numCache>
                <c:formatCode>0.0"x"</c:formatCode>
                <c:ptCount val="3"/>
                <c:pt idx="1">
                  <c:v>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388</c:v>
                </c:pt>
                <c:pt idx="1">
                  <c:v>410</c:v>
                </c:pt>
                <c:pt idx="2">
                  <c:v>430</c:v>
                </c:pt>
                <c:pt idx="3">
                  <c:v>451</c:v>
                </c:pt>
                <c:pt idx="4">
                  <c:v>472</c:v>
                </c:pt>
                <c:pt idx="5">
                  <c:v>490</c:v>
                </c:pt>
                <c:pt idx="6">
                  <c:v>506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2075</c:v>
                </c:pt>
                <c:pt idx="1">
                  <c:v>3363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20,78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21.81</c:v>
                </c:pt>
                <c:pt idx="1">
                  <c:v>28.06</c:v>
                </c:pt>
                <c:pt idx="2">
                  <c:v>30.82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20,78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(20,48 – 26,99)</c:v>
                </c:pt>
                <c:pt idx="1">
                  <c:v>Precio objetivo de los analistas (20,00 – 42,00)</c:v>
                </c:pt>
                <c:pt idx="2">
                  <c:v>Comparables: PER NTM (18,63 – 23,18)</c:v>
                </c:pt>
                <c:pt idx="3">
                  <c:v>DCF (WACC y g ± 0,5) (25,74 – 31,02)</c:v>
                </c:pt>
                <c:pt idx="4">
                  <c:v>Escenarios (bajista – alcista) (21,81 – 30,82)</c:v>
                </c:pt>
                <c:pt idx="5">
                  <c:v>DCF con la prima implícita del mercado (4,2 %)</c:v>
                </c:pt>
                <c:pt idx="6">
                  <c:v>Precio actual (20,78)</c:v>
                </c:pt>
              </c:strCache>
            </c:strRef>
          </c:cat>
          <c:val>
            <c:numRef>
              <c:f>Hoja1!$B$2:$B$8</c:f>
              <c:numCache>
                <c:formatCode>#,##0.0</c:formatCode>
                <c:ptCount val="7"/>
                <c:pt idx="0">
                  <c:v>20.48</c:v>
                </c:pt>
                <c:pt idx="1">
                  <c:v>20</c:v>
                </c:pt>
                <c:pt idx="2">
                  <c:v>18.63</c:v>
                </c:pt>
                <c:pt idx="3">
                  <c:v>25.74</c:v>
                </c:pt>
                <c:pt idx="4">
                  <c:v>21.81</c:v>
                </c:pt>
                <c:pt idx="5">
                  <c:v>30.81</c:v>
                </c:pt>
                <c:pt idx="6">
                  <c:v>20.68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(20,48 – 26,99)</c:v>
                </c:pt>
                <c:pt idx="1">
                  <c:v>Precio objetivo de los analistas (20,00 – 42,00)</c:v>
                </c:pt>
                <c:pt idx="2">
                  <c:v>Comparables: PER NTM (18,63 – 23,18)</c:v>
                </c:pt>
                <c:pt idx="3">
                  <c:v>DCF (WACC y g ± 0,5) (25,74 – 31,02)</c:v>
                </c:pt>
                <c:pt idx="4">
                  <c:v>Escenarios (bajista – alcista) (21,81 – 30,82)</c:v>
                </c:pt>
                <c:pt idx="5">
                  <c:v>DCF con la prima implícita del mercado (4,2 %)</c:v>
                </c:pt>
                <c:pt idx="6">
                  <c:v>Precio actual (20,78)</c:v>
                </c:pt>
              </c:strCache>
            </c:strRef>
          </c:cat>
          <c:val>
            <c:numRef>
              <c:f>Hoja1!$C$2:$C$8</c:f>
              <c:numCache>
                <c:formatCode>#,##0.0</c:formatCode>
                <c:ptCount val="7"/>
                <c:pt idx="0">
                  <c:v>6.509999999999998</c:v>
                </c:pt>
                <c:pt idx="1">
                  <c:v>22</c:v>
                </c:pt>
                <c:pt idx="2">
                  <c:v>4.550000000000001</c:v>
                </c:pt>
                <c:pt idx="3">
                  <c:v>5.280000000000001</c:v>
                </c:pt>
                <c:pt idx="4">
                  <c:v>9.010000000000002</c:v>
                </c:pt>
                <c:pt idx="5">
                  <c:v>4.419999999999998</c:v>
                </c:pt>
                <c:pt idx="6">
                  <c:v>0.1999999999999993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