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2A78D6"/>
          <w:spacing w:val="40"/>
          <w:sz w:val="18"/>
          <w:szCs w:val="18"/>
        </w:rPr>
        <w:t xml:space="preserve">ANÁLISIS DE INDUSTRIA O SECTOR</w:t>
      </w:r>
    </w:p>
    <w:p>
      <w:pPr>
        <w:pStyle w:val="Title"/>
      </w:pPr>
      <w:r>
        <w:t xml:space="preserve">Mantenimiento industrial externalizado</w:t>
      </w:r>
    </w:p>
    <w:p>
      <w:pPr>
        <w:spacing w:after="60"/>
        <w:rPr>
          <w:color w:val="52514E"/>
          <w:sz w:val="22"/>
          <w:szCs w:val="22"/>
        </w:rPr>
      </w:pPr>
      <w:r>
        <w:rPr>
          <w:color w:val="52514E"/>
          <w:sz w:val="22"/>
          <w:szCs w:val="22"/>
        </w:rPr>
        <w:t xml:space="preserve">Ámbito: España · CNAE 33.1 y 33.2 · NACE C33 · GICS 20201050 (aprox.)</w:t>
      </w:r>
    </w:p>
    <w:p>
      <w:pPr>
        <w:spacing w:after="360"/>
        <w:rPr>
          <w:color w:val="52514E"/>
          <w:sz w:val="18"/>
          <w:szCs w:val="18"/>
        </w:rPr>
      </w:pPr>
      <w:r>
        <w:rPr>
          <w:color w:val="52514E"/>
          <w:sz w:val="18"/>
          <w:szCs w:val="18"/>
        </w:rPr>
        <w:t xml:space="preserve">Fecha de corte de los datos: </w:t>
      </w:r>
      <w:r>
        <w:rPr>
          <w:b/>
          <w:bCs/>
          <w:color w:val="52514E"/>
          <w:sz w:val="18"/>
          <w:szCs w:val="18"/>
        </w:rPr>
        <w:t xml:space="preserve">6 oct 2026</w:t>
      </w:r>
      <w:r>
        <w:rPr>
          <w:color w:val="52514E"/>
          <w:sz w:val="18"/>
          <w:szCs w:val="18"/>
        </w:rPr>
        <w:t xml:space="preserve"> · Divisa: </w:t>
      </w:r>
      <w:r>
        <w:rPr>
          <w:b/>
          <w:bCs/>
          <w:color w:val="52514E"/>
          <w:sz w:val="18"/>
          <w:szCs w:val="18"/>
        </w:rPr>
        <w:t xml:space="preserve">EUR</w:t>
      </w:r>
      <w:r>
        <w:rPr>
          <w:color w:val="52514E"/>
          <w:sz w:val="18"/>
          <w:szCs w:val="18"/>
        </w:rPr>
        <w:t xml:space="preserve"> · Cifras en </w:t>
      </w:r>
      <w:r>
        <w:rPr>
          <w:b/>
          <w:bCs/>
          <w:color w:val="52514E"/>
          <w:sz w:val="18"/>
          <w:szCs w:val="18"/>
        </w:rPr>
        <w:t xml:space="preserve">millones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Conclusión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Atractivo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Tamaño del mercado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7.800 (2025)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Crecimiento histórico (TCAC)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4,8 %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Crecimiento previsto (TCAC)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5,5 %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Cuota de los 5 primeros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17 %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Margen EBITDA mediano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9,0 %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EV/EBITDA cotizadas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8,8x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Ciclicidad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Media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Resumen ejecutivo</w:t>
      </w:r>
    </w:p>
    <w:p>
      <w:pPr>
        <w:pStyle w:val="Confianza"/>
        <w:spacing w:after="100"/>
      </w:pPr>
      <w:r>
        <w:t xml:space="preserve">Confianza: Media</w:t>
      </w:r>
    </w:p>
    <w:p>
      <w:pPr>
        <w:spacing w:after="100"/>
      </w:pPr>
      <w:r>
        <w:rPr>
          <w:b/>
          <w:bCs/>
        </w:rPr>
        <w:t xml:space="preserve">Conclusión:</w:t>
      </w:r>
      <w:r>
        <w:t xml:space="preserve"> Atractivo</w:t>
      </w:r>
    </w:p>
    <w:p>
      <w:pPr>
        <w:spacing w:after="100"/>
      </w:pPr>
      <w:r>
        <w:t xml:space="preserve">Mercado de </w:t>
      </w:r>
      <w:r>
        <w:rPr>
          <w:b/>
        </w:rPr>
        <w:t xml:space="preserve">≈ 7.800 M EUR</w:t>
      </w:r>
      <w:r>
        <w:t xml:space="preserve"> en España que crece al 5,5 % anual porque la industria externaliza cada vez más el mantenimiento [1]. Está </w:t>
      </w:r>
      <w:r>
        <w:rPr>
          <w:b/>
        </w:rPr>
        <w:t xml:space="preserve">muy fragmentado</w:t>
      </w:r>
      <w:r>
        <w:t xml:space="preserve"> (los cinco primeros suman el 17 %), con miles de talleres locales: terreno natural para compras y consolidación.</w:t>
      </w:r>
    </w:p>
    <w:p>
      <w:pPr>
        <w:spacing w:after="100"/>
      </w:pPr>
      <w:r>
        <w:t xml:space="preserve">Los márgenes son modestos (EBITDA mediano del 9 %), pero estables y con poca necesidad de inversión, lo que da conversión de caja alta.</w:t>
      </w:r>
    </w:p>
    <w:p>
      <w:pPr>
        <w:pStyle w:val="Heading2"/>
      </w:pPr>
      <w:r>
        <w:t xml:space="preserve">A favor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Fragmentación</w:t>
      </w:r>
      <w:r>
        <w:t xml:space="preserve">: más de 4.000 empresas; el líder tiene el 5 % [2].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Recurrencia</w:t>
      </w:r>
      <w:r>
        <w:t xml:space="preserve">: el 60 % de los ingresos viene de contratos plurianuales [1].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Predictivo</w:t>
      </w:r>
      <w:r>
        <w:t xml:space="preserve">: el segmento digital crece al 14 % y mejora el margen [3].</w:t>
      </w:r>
    </w:p>
    <w:p>
      <w:pPr>
        <w:pStyle w:val="Heading2"/>
      </w:pPr>
      <w:r>
        <w:t xml:space="preserve">En contra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Mano de obra</w:t>
      </w:r>
      <w:r>
        <w:t xml:space="preserve">: escasez de técnicos cualificados; los salarios suben más que las tarifas.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Ciclo industrial</w:t>
      </w:r>
      <w:r>
        <w:t xml:space="preserve">: las paradas de planta se aplazan cuando cae la producción.</w:t>
      </w:r>
    </w:p>
    <w:p>
      <w:pPr>
        <w:pStyle w:val="Heading2"/>
      </w:pPr>
      <w:r>
        <w:t xml:space="preserve">Dónde está el valor</w:t>
      </w:r>
    </w:p>
    <w:p>
      <w:pPr>
        <w:spacing w:after="100"/>
      </w:pPr>
      <w:r>
        <w:t xml:space="preserve">En el mantenimiento predictivo y en plataformas regionales con contratos marco, que pueden comprar talleres locales a 4-5x EBITDA y cotizar el conjunto a 8-9x.</w:t>
      </w:r>
    </w:p>
    <w:p>
      <w:pPr>
        <w:pStyle w:val="Heading1"/>
      </w:pPr>
      <w:r>
        <w:t xml:space="preserve">1. Definición y perímetro</w:t>
      </w:r>
    </w:p>
    <w:p>
      <w:pPr>
        <w:pStyle w:val="Confianza"/>
        <w:spacing w:after="100"/>
      </w:pPr>
      <w:r>
        <w:t xml:space="preserve">Confianza: Alta</w:t>
      </w:r>
    </w:p>
    <w:p>
      <w:pPr>
        <w:spacing w:after="100"/>
      </w:pPr>
      <w:r>
        <w:t xml:space="preserve">Empresas que reparan, mantienen e instalan maquinaria y equipos industriales por cuenta de terceros: mantenimiento preventivo y correctivo, paradas programadas y servicios de ingeniería asociados.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rPr>
          <w:cantSplit/>
        </w:trPr>
        <w:tc>
          <w:tcPr>
            <w:tcW w:type="dxa" w:w="404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Códigos de clasificación</w:t>
            </w:r>
          </w:p>
        </w:tc>
        <w:tc>
          <w:tcPr>
            <w:tcW w:type="dxa" w:w="559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CNAE 33.1 y 33.2 · NACE C33 · GICS 20201050 (aprox.)</w:t>
            </w:r>
          </w:p>
        </w:tc>
      </w:tr>
      <w:tr>
        <w:trPr>
          <w:cantSplit/>
        </w:trPr>
        <w:tc>
          <w:tcPr>
            <w:tcW w:type="dxa" w:w="404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Ámbito geográfico</w:t>
            </w:r>
          </w:p>
        </w:tc>
        <w:tc>
          <w:tcPr>
            <w:tcW w:type="dxa" w:w="559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España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Subsectores incluidos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Mantenimiento mecánico y eléctrico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Paradas de planta y grandes revisiones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Mantenimiento predictivo y monitorización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Instalación y montaje industrial</w:t>
      </w:r>
    </w:p>
    <w:p>
      <w:pPr>
        <w:pStyle w:val="Heading2"/>
      </w:pPr>
      <w:r>
        <w:t xml:space="preserve">Qué queda fuera</w:t>
      </w:r>
    </w:p>
    <w:p>
      <w:pPr>
        <w:spacing w:after="100"/>
      </w:pPr>
      <w:r>
        <w:t xml:space="preserve">El mantenimiento de edificios (facility management) y el que hacen los propios fabricantes de equipos como servicio posventa.</w:t>
      </w:r>
    </w:p>
    <w:p>
      <w:pPr>
        <w:pStyle w:val="Heading1"/>
      </w:pPr>
      <w:r>
        <w:t xml:space="preserve">2. Tamaño y crecimiento del mercado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Tamaño (2025)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7.800 millones EUR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Medida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Ingresos de los proveedores externos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TCAC histórico (2020-2025)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4,8 %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TCAC previsto (2025-2030)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5,5 %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520000"/>
            <wp:effectExtent l="0" t="0" r="0" b="0"/>
            <wp:docPr id="1001" name="Gráfico 1" descr="Tamaño del mercado (EUR, millones) · años con «e» son previsiones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1"/>
              </a:graphicData>
            </a:graphic>
          </wp:inline>
        </w:drawing>
      </w:r>
    </w:p>
    <w:p>
      <w:pPr>
        <w:pStyle w:val="Heading2"/>
      </w:pPr>
      <w:r>
        <w:t xml:space="preserve">Cómo de fiables son las cifras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4"/>
        <w:gridCol w:w="1220"/>
        <w:gridCol w:w="853"/>
        <w:gridCol w:w="1220"/>
        <w:gridCol w:w="3661"/>
      </w:tblGrid>
      <w:tr>
        <w:trPr>
          <w:cantSplit/>
          <w:tblHeader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Tamaño</w:t>
            </w:r>
          </w:p>
        </w:tc>
        <w:tc>
          <w:tcPr>
            <w:tcW w:type="dxa" w:w="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TCAC previsto</w:t>
            </w:r>
          </w:p>
        </w:tc>
        <w:tc>
          <w:tcPr>
            <w:tcW w:type="dxa" w:w="36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Perímetro</w:t>
            </w:r>
          </w:p>
        </w:tc>
      </w:tr>
      <w:tr>
        <w:trPr>
          <w:cantSplit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Estadística oficial (ficticia)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7.800</w:t>
            </w:r>
          </w:p>
        </w:tc>
        <w:tc>
          <w:tcPr>
            <w:tcW w:type="dxa" w:w="85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2025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–</w:t>
            </w:r>
          </w:p>
        </w:tc>
        <w:tc>
          <w:tcPr>
            <w:tcW w:type="dxa" w:w="366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Solo CNAE 33.</w:t>
            </w:r>
          </w:p>
        </w:tc>
      </w:tr>
      <w:tr>
        <w:trPr>
          <w:cantSplit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Consultora A (ficticia)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8.900</w:t>
            </w:r>
          </w:p>
        </w:tc>
        <w:tc>
          <w:tcPr>
            <w:tcW w:type="dxa" w:w="85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2025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5,5 %</w:t>
            </w:r>
          </w:p>
        </w:tc>
        <w:tc>
          <w:tcPr>
            <w:tcW w:type="dxa" w:w="366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Incluye instalación y montaje.</w:t>
            </w:r>
          </w:p>
        </w:tc>
      </w:tr>
      <w:tr>
        <w:trPr>
          <w:cantSplit/>
        </w:trPr>
        <w:tc>
          <w:tcPr>
            <w:tcW w:type="dxa" w:w="268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Asociación sectorial (ficticia)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7.200</w:t>
            </w:r>
          </w:p>
        </w:tc>
        <w:tc>
          <w:tcPr>
            <w:tcW w:type="dxa" w:w="85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2024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5,0 %</w:t>
            </w:r>
          </w:p>
        </w:tc>
        <w:tc>
          <w:tcPr>
            <w:tcW w:type="dxa" w:w="366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Solo socios.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Las fuentes difieren hasta un 14 % por el perímetro. Usamos la estadística oficial como base y el crecimiento de la consultora.</w:t>
      </w:r>
    </w:p>
    <w:p>
      <w:pPr>
        <w:pStyle w:val="Heading1"/>
      </w:pPr>
      <w:r>
        <w:t xml:space="preserve">3. Segmentación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8"/>
        <w:gridCol w:w="1235"/>
        <w:gridCol w:w="1235"/>
        <w:gridCol w:w="4450"/>
      </w:tblGrid>
      <w:tr>
        <w:trPr>
          <w:cantSplit/>
          <w:tblHeader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Segmento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del mercado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Crecimiento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Mecánico y eléctrico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52,0 %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+3,8 %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Núcleo maduro; compite en precio.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Paradas de planta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21,0 %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+4,5 %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Ligado a química y refino.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Instalación y montaje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18,0 %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+6,0 %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Tirado por la inversión industrial.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Predictivo y digital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9,0 %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+14,0 %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Sensores y analítica; mejor margen.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340000"/>
            <wp:effectExtent l="0" t="0" r="0" b="0"/>
            <wp:docPr id="1002" name="Gráfico 2" descr="Peso de cada segmento (% del mercado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2"/>
              </a:graphicData>
            </a:graphic>
          </wp:inline>
        </w:drawing>
      </w: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160000"/>
            <wp:effectExtent l="0" t="0" r="0" b="0"/>
            <wp:docPr id="1003" name="Gráfico 3" descr="Crecimiento anual previsto por segmento (%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3"/>
              </a:graphicData>
            </a:graphic>
          </wp:inline>
        </w:drawing>
      </w: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160000"/>
            <wp:effectExtent l="0" t="0" r="0" b="0"/>
            <wp:docPr id="1004" name="Gráfico 4" descr="Peso por geografía (% del mercado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4"/>
              </a:graphicData>
            </a:graphic>
          </wp:inline>
        </w:drawing>
      </w:r>
    </w:p>
    <w:p>
      <w:pPr>
        <w:pStyle w:val="Heading2"/>
      </w:pPr>
      <w:r>
        <w:t xml:space="preserve">Clientes</w:t>
      </w:r>
    </w:p>
    <w:p>
      <w:pPr>
        <w:spacing w:after="100"/>
      </w:pPr>
      <w:r>
        <w:t xml:space="preserve">Industria química y petroquímica (24 %), alimentación (19 %), automoción (14 %), energía (13 %) y metal (11 %). Los grandes clientes licitan contratos de 3-5 años.</w:t>
      </w:r>
    </w:p>
    <w:p>
      <w:pPr>
        <w:pStyle w:val="Heading1"/>
      </w:pPr>
      <w:r>
        <w:t xml:space="preserve">4. Cadena de valor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"/>
        <w:gridCol w:w="2017"/>
        <w:gridCol w:w="3362"/>
        <w:gridCol w:w="1120"/>
        <w:gridCol w:w="2691"/>
      </w:tblGrid>
      <w:tr>
        <w:trPr>
          <w:cantSplit/>
          <w:tblHeader/>
        </w:trPr>
        <w:tc>
          <w:tcPr>
            <w:tcW w:type="dxa" w:w="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Eslabón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Margen EBITDA</w:t>
            </w:r>
          </w:p>
        </w:tc>
        <w:tc>
          <w:tcPr>
            <w:tcW w:type="dxa" w:w="2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Actores representativos</w:t>
            </w:r>
          </w:p>
        </w:tc>
      </w:tr>
      <w:tr>
        <w:trPr>
          <w:cantSplit/>
        </w:trPr>
        <w:tc>
          <w:tcPr>
            <w:tcW w:type="dxa" w:w="44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</w:t>
            </w:r>
          </w:p>
        </w:tc>
        <w:tc>
          <w:tcPr>
            <w:tcW w:type="dxa" w:w="201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Fabricantes de equipos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Venden la máquina y el mantenimiento en garantía.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15,0 %</w:t>
            </w:r>
          </w:p>
        </w:tc>
        <w:tc>
          <w:tcPr>
            <w:tcW w:type="dxa" w:w="269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Fabricantes globales</w:t>
            </w:r>
          </w:p>
        </w:tc>
      </w:tr>
      <w:tr>
        <w:trPr>
          <w:cantSplit/>
        </w:trPr>
        <w:tc>
          <w:tcPr>
            <w:tcW w:type="dxa" w:w="44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</w:t>
            </w:r>
          </w:p>
        </w:tc>
        <w:tc>
          <w:tcPr>
            <w:tcW w:type="dxa" w:w="201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Integradores multitécnicos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Contratos globales de planta.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9,0 %</w:t>
            </w:r>
          </w:p>
        </w:tc>
        <w:tc>
          <w:tcPr>
            <w:tcW w:type="dxa" w:w="269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Grupos nacionales</w:t>
            </w:r>
          </w:p>
        </w:tc>
      </w:tr>
      <w:tr>
        <w:trPr>
          <w:cantSplit/>
        </w:trPr>
        <w:tc>
          <w:tcPr>
            <w:tcW w:type="dxa" w:w="44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</w:t>
            </w:r>
          </w:p>
        </w:tc>
        <w:tc>
          <w:tcPr>
            <w:tcW w:type="dxa" w:w="201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Especialistas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Una técnica concreta (predictivo, soldadura, calderería).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13,0 %</w:t>
            </w:r>
          </w:p>
        </w:tc>
        <w:tc>
          <w:tcPr>
            <w:tcW w:type="dxa" w:w="269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Pymes especializadas</w:t>
            </w:r>
          </w:p>
        </w:tc>
      </w:tr>
      <w:tr>
        <w:trPr>
          <w:cantSplit/>
        </w:trPr>
        <w:tc>
          <w:tcPr>
            <w:tcW w:type="dxa" w:w="44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4</w:t>
            </w:r>
          </w:p>
        </w:tc>
        <w:tc>
          <w:tcPr>
            <w:tcW w:type="dxa" w:w="201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Talleres locales</w:t>
            </w:r>
          </w:p>
        </w:tc>
        <w:tc>
          <w:tcPr>
            <w:tcW w:type="dxa" w:w="336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Correctivo en un radio de 100 km.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7,0 %</w:t>
            </w:r>
          </w:p>
        </w:tc>
        <w:tc>
          <w:tcPr>
            <w:tcW w:type="dxa" w:w="269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Miles de micropymes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160000"/>
            <wp:effectExtent l="0" t="0" r="0" b="0"/>
            <wp:docPr id="1005" name="Gráfico 5" descr="Margen EBITDA típico de cada eslabón (%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5"/>
              </a:graphicData>
            </a:graphic>
          </wp:inline>
        </w:drawing>
      </w:r>
    </w:p>
    <w:p>
      <w:pPr>
        <w:spacing w:after="100"/>
      </w:pPr>
      <w:r>
        <w:t xml:space="preserve">El margen está en los extremos: el fabricante, por la tecnología, y el especialista, por la escasez de conocimiento. El integrador gana por volumen y por la relación con el cliente.</w:t>
      </w:r>
    </w:p>
    <w:p>
      <w:pPr>
        <w:pStyle w:val="Heading1"/>
      </w:pPr>
      <w:r>
        <w:t xml:space="preserve">5. Motores de la demanda y tendencias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1098"/>
        <w:gridCol w:w="1220"/>
        <w:gridCol w:w="4880"/>
      </w:tblGrid>
      <w:tr>
        <w:trPr>
          <w:cantSplit/>
          <w:tblHeader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Motor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Efecto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Horizonte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Externalización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Estructural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La cuota externalizada pasa del 38 % al 46 % en diez años.</w:t>
            </w:r>
          </w:p>
        </w:tc>
      </w:tr>
      <w:tr>
        <w:trPr>
          <w:cantSplit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Envejecimiento del parque industrial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Estructural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Edad media de los equipos de 17 años.</w:t>
            </w:r>
          </w:p>
        </w:tc>
      </w:tr>
      <w:tr>
        <w:trPr>
          <w:cantSplit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Producción industrial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+/-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Cíclico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Elasticidad de ≈ 0,6 con el índice de producción industrial.</w:t>
            </w:r>
          </w:p>
        </w:tc>
      </w:tr>
      <w:tr>
        <w:trPr>
          <w:cantSplit/>
        </w:trPr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Escasez de técnicos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-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Estructural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Vacantes sin cubrir del 7 %.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La digitalización convierte parte del correctivo en predictivo: menos horas de taller y más contratos con pago por disponibilidad.</w:t>
      </w:r>
    </w:p>
    <w:p>
      <w:pPr>
        <w:pStyle w:val="Heading1"/>
      </w:pPr>
      <w:r>
        <w:t xml:space="preserve">6. Estructura competitiva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Estructura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Muy fragmentada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Cuota de los 5 primeros (CR5)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17 %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Índice Herfindahl (HHI)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120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Número aproximado de empresas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≈ 4.200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2"/>
        <w:gridCol w:w="1422"/>
        <w:gridCol w:w="1580"/>
        <w:gridCol w:w="2844"/>
      </w:tblGrid>
      <w:tr>
        <w:trPr>
          <w:cantSplit/>
          <w:tblHeader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Empresa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Cuota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País</w:t>
            </w:r>
          </w:p>
        </w:tc>
        <w:tc>
          <w:tcPr>
            <w:tcW w:type="dxa" w:w="28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Propiedad</w:t>
            </w:r>
          </w:p>
        </w:tc>
      </w:tr>
      <w:tr>
        <w:trPr>
          <w:cantSplit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Integrador A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5,1 %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España</w:t>
            </w:r>
          </w:p>
        </w:tc>
        <w:tc>
          <w:tcPr>
            <w:tcW w:type="dxa" w:w="284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Cotizada</w:t>
            </w:r>
          </w:p>
        </w:tc>
      </w:tr>
      <w:tr>
        <w:trPr>
          <w:cantSplit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Integrador B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3,9 %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Francia</w:t>
            </w:r>
          </w:p>
        </w:tc>
        <w:tc>
          <w:tcPr>
            <w:tcW w:type="dxa" w:w="284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Cotizada (filial)</w:t>
            </w:r>
          </w:p>
        </w:tc>
      </w:tr>
      <w:tr>
        <w:trPr>
          <w:cantSplit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Plataforma C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3,2 %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España</w:t>
            </w:r>
          </w:p>
        </w:tc>
        <w:tc>
          <w:tcPr>
            <w:tcW w:type="dxa" w:w="284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Capital privado</w:t>
            </w:r>
          </w:p>
        </w:tc>
      </w:tr>
      <w:tr>
        <w:trPr>
          <w:cantSplit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Grupo D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2,6 %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España</w:t>
            </w:r>
          </w:p>
        </w:tc>
        <w:tc>
          <w:tcPr>
            <w:tcW w:type="dxa" w:w="284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Familiar</w:t>
            </w:r>
          </w:p>
        </w:tc>
      </w:tr>
      <w:tr>
        <w:trPr>
          <w:cantSplit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Plataforma E</w:t>
            </w:r>
          </w:p>
        </w:tc>
        <w:tc>
          <w:tcPr>
            <w:tcW w:type="dxa" w:w="142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2,2 %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España</w:t>
            </w:r>
          </w:p>
        </w:tc>
        <w:tc>
          <w:tcPr>
            <w:tcW w:type="dxa" w:w="284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Capital privado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520000"/>
            <wp:effectExtent l="0" t="0" r="0" b="0"/>
            <wp:docPr id="1006" name="Gráfico 6" descr="Cuotas de mercado (%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6"/>
              </a:graphicData>
            </a:graphic>
          </wp:inline>
        </w:drawing>
      </w:r>
    </w:p>
    <w:p>
      <w:pPr>
        <w:pStyle w:val="Heading2"/>
      </w:pPr>
      <w:r>
        <w:t xml:space="preserve">Barreras de entrada</w:t>
      </w:r>
    </w:p>
    <w:p>
      <w:pPr>
        <w:spacing w:after="100"/>
      </w:pPr>
      <w:r>
        <w:t xml:space="preserve">Bajas para el correctivo local; medias para paradas de planta (homologaciones, seguridad) y altas para el predictivo (datos y software).</w:t>
      </w:r>
    </w:p>
    <w:p>
      <w:pPr>
        <w:pStyle w:val="Heading2"/>
      </w:pPr>
      <w:r>
        <w:t xml:space="preserve">Dinámica competitiva</w:t>
      </w:r>
    </w:p>
    <w:p>
      <w:pPr>
        <w:spacing w:after="100"/>
      </w:pPr>
      <w:r>
        <w:t xml:space="preserve">Los integradores grandes ganan los contratos globales; los fondos montan plataformas comprando especialistas regionales.</w:t>
      </w:r>
    </w:p>
    <w:p>
      <w:pPr>
        <w:pStyle w:val="Heading1"/>
      </w:pPr>
      <w:r>
        <w:t xml:space="preserve">7. Las cinco fuerzas</w:t>
      </w:r>
    </w:p>
    <w:p>
      <w:pPr>
        <w:pStyle w:val="Confianza"/>
        <w:spacing w:after="100"/>
      </w:pPr>
      <w:r>
        <w:t xml:space="preserve">Confianza: Media</w:t>
      </w: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880000"/>
            <wp:effectExtent l="0" t="0" r="0" b="0"/>
            <wp:docPr id="1007" name="Gráfico 7" descr="Intensidad de las cinco fuerzas (1 = favorable, 5 = desfavorable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7"/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6025"/>
      </w:tblGrid>
      <w:tr>
        <w:trPr>
          <w:cantSplit/>
          <w:tblHeader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Fuerza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Intensidad (1-5)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Rivalidad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4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Muchos competidores y servicio poco diferenciado en el correctivo.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Poder de los clientes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4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Grandes industriales licitan y comparan precio.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Poder de los proveedores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El proveedor clave es el técnico cualificado, escaso.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Amenaza de entrada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Fácil en local, difícil en contratos grandes.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Amenaza de sustitutos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La alternativa es internalizar, y la tendencia va al revés.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Sector de rentabilidad media: la presión de clientes y la rivalidad limitan el margen, pero la sustitución juega a favor.</w:t>
      </w:r>
    </w:p>
    <w:p>
      <w:pPr>
        <w:pStyle w:val="Heading1"/>
      </w:pPr>
      <w:r>
        <w:t xml:space="preserve">8. Economía del negocio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8"/>
        <w:gridCol w:w="1235"/>
        <w:gridCol w:w="1235"/>
        <w:gridCol w:w="4450"/>
      </w:tblGrid>
      <w:tr>
        <w:trPr>
          <w:cantSplit/>
          <w:tblHeader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Métrica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Mediana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Cuartil superior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Margen EBITDA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9 %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13 %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Los especialistas están arriba.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Capex / ventas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1,5 %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1,0 %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Negocio de personas, poco intensivo en capital.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Capital circulante / ventas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12 %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6 %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Cobro a 75-90 días a la industria.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Conversión de caja (FCF / EBITDA)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70 %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85 %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Alta por el bajo capex.</w:t>
            </w:r>
          </w:p>
        </w:tc>
      </w:tr>
      <w:tr>
        <w:trPr>
          <w:cantSplit/>
        </w:trPr>
        <w:tc>
          <w:tcPr>
            <w:tcW w:type="dxa" w:w="27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ROIC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14 %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22 %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Pocos activos.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Modelo de ingresos y poder de precios</w:t>
      </w:r>
    </w:p>
    <w:p>
      <w:pPr>
        <w:spacing w:after="100"/>
      </w:pPr>
      <w:r>
        <w:t xml:space="preserve">El 60 % de los ingresos es recurrente (contratos de mantenimiento); el resto, proyectos y correctivo. Las revisiones de precio suelen ir ligadas al IPC con 6-12 meses de retraso.</w:t>
      </w:r>
    </w:p>
    <w:p>
      <w:pPr>
        <w:pStyle w:val="Heading1"/>
      </w:pPr>
      <w:r>
        <w:t xml:space="preserve">9. Ciclo y sensibilidad macroeconómica</w:t>
      </w:r>
    </w:p>
    <w:p>
      <w:pPr>
        <w:pStyle w:val="Confianza"/>
        <w:spacing w:after="100"/>
      </w:pPr>
      <w:r>
        <w:t xml:space="preserve">Confianza: Media</w:t>
      </w:r>
    </w:p>
    <w:p>
      <w:pPr>
        <w:spacing w:after="100"/>
      </w:pPr>
      <w:r>
        <w:rPr>
          <w:b/>
          <w:bCs/>
        </w:rPr>
        <w:t xml:space="preserve">Ciclicidad:</w:t>
      </w:r>
      <w:r>
        <w:t xml:space="preserve"> Media</w:t>
      </w: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700000"/>
            <wp:effectExtent l="0" t="0" r="0" b="0"/>
            <wp:docPr id="1008" name="Gráfico 8" descr="Crecimiento del sector frente al PIB (% anual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8"/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8"/>
        <w:gridCol w:w="1445"/>
        <w:gridCol w:w="6025"/>
      </w:tblGrid>
      <w:tr>
        <w:trPr>
          <w:cantSplit/>
          <w:tblHeader/>
        </w:trPr>
        <w:tc>
          <w:tcPr>
            <w:tcW w:type="dxa" w:w="2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Efecto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Explicación</w:t>
            </w:r>
          </w:p>
        </w:tc>
      </w:tr>
      <w:tr>
        <w:trPr>
          <w:cantSplit/>
        </w:trPr>
        <w:tc>
          <w:tcPr>
            <w:tcW w:type="dxa" w:w="21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Producción industrial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Alta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Cuando cae, se aplazan paradas e instalaciones.</w:t>
            </w:r>
          </w:p>
        </w:tc>
      </w:tr>
      <w:tr>
        <w:trPr>
          <w:cantSplit/>
        </w:trPr>
        <w:tc>
          <w:tcPr>
            <w:tcW w:type="dxa" w:w="21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Costes laborales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Alta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Son el 55-60 % de los costes.</w:t>
            </w:r>
          </w:p>
        </w:tc>
      </w:tr>
      <w:tr>
        <w:trPr>
          <w:cantSplit/>
        </w:trPr>
        <w:tc>
          <w:tcPr>
            <w:tcW w:type="dxa" w:w="21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Tipos de interés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Baja</w:t>
            </w:r>
          </w:p>
        </w:tc>
        <w:tc>
          <w:tcPr>
            <w:tcW w:type="dxa" w:w="602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Poca deuda en el sector; afecta a la inversión de los clientes.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Comportamiento en crisis anteriores</w:t>
      </w:r>
    </w:p>
    <w:p>
      <w:pPr>
        <w:spacing w:after="100"/>
      </w:pPr>
      <w:r>
        <w:t xml:space="preserve">En 2020 cayó la mitad que el PIB: el mantenimiento obligatorio se mantuvo y solo se aplazaron las paradas.</w:t>
      </w:r>
    </w:p>
    <w:p>
      <w:pPr>
        <w:pStyle w:val="Heading1"/>
      </w:pPr>
      <w:r>
        <w:t xml:space="preserve">10. Regulación</w:t>
      </w:r>
    </w:p>
    <w:p>
      <w:pPr>
        <w:pStyle w:val="Confianza"/>
        <w:spacing w:after="100"/>
      </w:pPr>
      <w:r>
        <w:t xml:space="preserve">Confianza: Baja</w:t>
      </w:r>
    </w:p>
    <w:p>
      <w:pPr>
        <w:spacing w:after="100"/>
      </w:pPr>
      <w:r>
        <w:t xml:space="preserve">Normativa de seguridad industrial y prevención de riesgos laborales; habilitaciones profesionales por especialidad.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3"/>
        <w:gridCol w:w="1376"/>
        <w:gridCol w:w="1147"/>
        <w:gridCol w:w="4132"/>
      </w:tblGrid>
      <w:tr>
        <w:trPr>
          <w:cantSplit/>
          <w:tblHeader/>
        </w:trPr>
        <w:tc>
          <w:tcPr>
            <w:tcW w:type="dxa" w:w="29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Norma o cambio</w:t>
            </w:r>
          </w:p>
        </w:tc>
        <w:tc>
          <w:tcPr>
            <w:tcW w:type="dxa" w:w="1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1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41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Impacto en el sector</w:t>
            </w:r>
          </w:p>
        </w:tc>
      </w:tr>
      <w:tr>
        <w:trPr>
          <w:cantSplit/>
        </w:trPr>
        <w:tc>
          <w:tcPr>
            <w:tcW w:type="dxa" w:w="298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Reforma de habilitaciones de técnicos (ficticia)</w:t>
            </w:r>
          </w:p>
        </w:tc>
        <w:tc>
          <w:tcPr>
            <w:tcW w:type="dxa" w:w="137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En tramitación</w:t>
            </w:r>
          </w:p>
        </w:tc>
        <w:tc>
          <w:tcPr>
            <w:tcW w:type="dxa" w:w="114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2027</w:t>
            </w:r>
          </w:p>
        </w:tc>
        <w:tc>
          <w:tcPr>
            <w:tcW w:type="dxa" w:w="413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Encarece la formación; favorece a los grandes.</w:t>
            </w:r>
          </w:p>
        </w:tc>
      </w:tr>
      <w:tr>
        <w:trPr>
          <w:cantSplit/>
        </w:trPr>
        <w:tc>
          <w:tcPr>
            <w:tcW w:type="dxa" w:w="298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Directiva de eficiencia energética industrial</w:t>
            </w:r>
          </w:p>
        </w:tc>
        <w:tc>
          <w:tcPr>
            <w:tcW w:type="dxa" w:w="137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En vigor</w:t>
            </w:r>
          </w:p>
        </w:tc>
        <w:tc>
          <w:tcPr>
            <w:tcW w:type="dxa" w:w="114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2024</w:t>
            </w:r>
          </w:p>
        </w:tc>
        <w:tc>
          <w:tcPr>
            <w:tcW w:type="dxa" w:w="413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Más auditorías y mantenimiento de equipos energéticos.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11. Tecnología y disrupción</w:t>
      </w:r>
    </w:p>
    <w:p>
      <w:pPr>
        <w:pStyle w:val="Confianza"/>
        <w:spacing w:after="100"/>
      </w:pPr>
      <w:r>
        <w:t xml:space="preserve">Confianza: Baja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1095"/>
        <w:gridCol w:w="985"/>
        <w:gridCol w:w="985"/>
        <w:gridCol w:w="4383"/>
      </w:tblGrid>
      <w:tr>
        <w:trPr>
          <w:cantSplit/>
          <w:tblHeader/>
        </w:trPr>
        <w:tc>
          <w:tcPr>
            <w:tcW w:type="dxa" w:w="21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Tecnología</w:t>
            </w:r>
          </w:p>
        </w:tc>
        <w:tc>
          <w:tcPr>
            <w:tcW w:type="dxa" w:w="1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Madurez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Plazo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43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Quién gana y quién pierde</w:t>
            </w:r>
          </w:p>
        </w:tc>
      </w:tr>
      <w:tr>
        <w:trPr>
          <w:cantSplit/>
        </w:trPr>
        <w:tc>
          <w:tcPr>
            <w:tcW w:type="dxa" w:w="219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Mantenimiento predictivo con sensores</w:t>
            </w:r>
          </w:p>
        </w:tc>
        <w:tc>
          <w:tcPr>
            <w:tcW w:type="dxa" w:w="1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Adopción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1-3 años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Alto</w:t>
            </w:r>
          </w:p>
        </w:tc>
        <w:tc>
          <w:tcPr>
            <w:tcW w:type="dxa" w:w="438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Gana quien tenga datos de muchas plantas; pierden los talleres de correctivo.</w:t>
            </w:r>
          </w:p>
        </w:tc>
      </w:tr>
      <w:tr>
        <w:trPr>
          <w:cantSplit/>
        </w:trPr>
        <w:tc>
          <w:tcPr>
            <w:tcW w:type="dxa" w:w="219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Gemelos digitales</w:t>
            </w:r>
          </w:p>
        </w:tc>
        <w:tc>
          <w:tcPr>
            <w:tcW w:type="dxa" w:w="1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Temprana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5+ años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Medio</w:t>
            </w:r>
          </w:p>
        </w:tc>
        <w:tc>
          <w:tcPr>
            <w:tcW w:type="dxa" w:w="438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Favorece a los fabricantes de equipos.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La tecnología no elimina el trabajo de campo, pero sí desplaza margen hacia quien interpreta los datos.</w:t>
      </w:r>
    </w:p>
    <w:p>
      <w:pPr>
        <w:pStyle w:val="Heading1"/>
      </w:pPr>
      <w:r>
        <w:t xml:space="preserve">12. Operaciones corporativas y capital privado</w:t>
      </w:r>
    </w:p>
    <w:p>
      <w:pPr>
        <w:pStyle w:val="Confianza"/>
        <w:spacing w:after="100"/>
      </w:pPr>
      <w:r>
        <w:t xml:space="preserve">Confianza: Media</w:t>
      </w: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160000"/>
            <wp:effectExtent l="0" t="0" r="0" b="0"/>
            <wp:docPr id="1009" name="Gráfico 9" descr="Número de operaciones corporativas por año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9"/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1949"/>
        <w:gridCol w:w="1949"/>
        <w:gridCol w:w="974"/>
        <w:gridCol w:w="974"/>
        <w:gridCol w:w="2818"/>
      </w:tblGrid>
      <w:tr>
        <w:trPr>
          <w:cantSplit/>
          <w:tblHeader/>
        </w:trPr>
        <w:tc>
          <w:tcPr>
            <w:tcW w:type="dxa" w:w="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Comprador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 (M)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EV/EBITDA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2025-11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Especialista predictivo X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Plataforma C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85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9,5x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Añade software propio.</w:t>
            </w:r>
          </w:p>
        </w:tc>
      </w:tr>
      <w:tr>
        <w:trPr>
          <w:cantSplit/>
        </w:trPr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2025-06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Plataforma E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Fondo de capital privado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260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8,2x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Segunda vuelta de capital privado.</w:t>
            </w:r>
          </w:p>
        </w:tc>
      </w:tr>
      <w:tr>
        <w:trPr>
          <w:cantSplit/>
        </w:trPr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2024-03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Taller regional Y</w:t>
            </w:r>
          </w:p>
        </w:tc>
        <w:tc>
          <w:tcPr>
            <w:tcW w:type="dxa" w:w="194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Integrador A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18</w:t>
            </w:r>
          </w:p>
        </w:tc>
        <w:tc>
          <w:tcPr>
            <w:tcW w:type="dxa" w:w="9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4,6x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Compra pequeña típica.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Múltiplos pagados</w:t>
      </w:r>
    </w:p>
    <w:p>
      <w:pPr>
        <w:spacing w:after="100"/>
      </w:pPr>
      <w:r>
        <w:t xml:space="preserve">Pymes locales: 4-6x EBITDA. Plataformas con más de 15 M de EBITDA: 8-10x. Especialistas digitales: 9-12x.</w:t>
      </w:r>
    </w:p>
    <w:p>
      <w:pPr>
        <w:pStyle w:val="Heading2"/>
      </w:pPr>
      <w:r>
        <w:t xml:space="preserve">Capital privado en el sector</w:t>
      </w:r>
    </w:p>
    <w:p>
      <w:pPr>
        <w:spacing w:after="100"/>
      </w:pPr>
      <w:r>
        <w:t xml:space="preserve">Al menos seis fondos tienen plataformas en el sector en España, casi todas con estrategia de compra y agregación.</w:t>
      </w:r>
    </w:p>
    <w:p>
      <w:pPr>
        <w:pStyle w:val="Heading2"/>
      </w:pPr>
      <w:r>
        <w:t xml:space="preserve">Consolidación</w:t>
      </w:r>
    </w:p>
    <w:p>
      <w:pPr>
        <w:spacing w:after="100"/>
      </w:pPr>
      <w:r>
        <w:t xml:space="preserve">El número de empresas baja un 2 % al año; los cinco primeros han ganado 4 puntos de cuota desde 2020.</w:t>
      </w:r>
    </w:p>
    <w:p>
      <w:pPr>
        <w:pStyle w:val="Heading1"/>
      </w:pPr>
      <w:r>
        <w:t xml:space="preserve">13. Compañías cotizadas y valoración del sector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924"/>
        <w:gridCol w:w="1452"/>
        <w:gridCol w:w="1188"/>
        <w:gridCol w:w="1188"/>
        <w:gridCol w:w="1188"/>
        <w:gridCol w:w="1058"/>
      </w:tblGrid>
      <w:tr>
        <w:trPr>
          <w:cantSplit/>
          <w:tblHeader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Empresa</w:t>
            </w:r>
          </w:p>
        </w:tc>
        <w:tc>
          <w:tcPr>
            <w:tcW w:type="dxa" w:w="9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País</w:t>
            </w:r>
          </w:p>
        </w:tc>
        <w:tc>
          <w:tcPr>
            <w:tcW w:type="dxa" w:w="14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Capitalización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Crec. ingr.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M. EBITDA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EV/EBITDA</w:t>
            </w:r>
          </w:p>
        </w:tc>
        <w:tc>
          <w:tcPr>
            <w:tcW w:type="dxa" w:w="1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Integrador A</w:t>
            </w:r>
          </w:p>
        </w:tc>
        <w:tc>
          <w:tcPr>
            <w:tcW w:type="dxa" w:w="92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</w:t>
            </w:r>
          </w:p>
        </w:tc>
        <w:tc>
          <w:tcPr>
            <w:tcW w:type="dxa" w:w="14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1.450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+6,2 %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9,4 %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8,6x</w:t>
            </w:r>
          </w:p>
        </w:tc>
        <w:tc>
          <w:tcPr>
            <w:tcW w:type="dxa" w:w="105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15,1x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Integrador B (matriz)</w:t>
            </w:r>
          </w:p>
        </w:tc>
        <w:tc>
          <w:tcPr>
            <w:tcW w:type="dxa" w:w="92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FR</w:t>
            </w:r>
          </w:p>
        </w:tc>
        <w:tc>
          <w:tcPr>
            <w:tcW w:type="dxa" w:w="14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6.200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+5,1 %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8,1 %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8,9x</w:t>
            </w:r>
          </w:p>
        </w:tc>
        <w:tc>
          <w:tcPr>
            <w:tcW w:type="dxa" w:w="105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16,4x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Servicios técnicos G</w:t>
            </w:r>
          </w:p>
        </w:tc>
        <w:tc>
          <w:tcPr>
            <w:tcW w:type="dxa" w:w="92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DE</w:t>
            </w:r>
          </w:p>
        </w:tc>
        <w:tc>
          <w:tcPr>
            <w:tcW w:type="dxa" w:w="14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3.800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+7,8 %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11,2 %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10,4x</w:t>
            </w:r>
          </w:p>
        </w:tc>
        <w:tc>
          <w:tcPr>
            <w:tcW w:type="dxa" w:w="105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19,0x</w:t>
            </w:r>
          </w:p>
        </w:tc>
      </w:tr>
      <w:tr>
        <w:trPr>
          <w:cantSplit/>
        </w:trP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Ingeniería H</w:t>
            </w:r>
          </w:p>
        </w:tc>
        <w:tc>
          <w:tcPr>
            <w:tcW w:type="dxa" w:w="92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IT</w:t>
            </w:r>
          </w:p>
        </w:tc>
        <w:tc>
          <w:tcPr>
            <w:tcW w:type="dxa" w:w="14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900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+3,2 %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7,4 %</w:t>
            </w:r>
          </w:p>
        </w:tc>
        <w:tc>
          <w:tcPr>
            <w:tcW w:type="dxa" w:w="11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6,9x</w:t>
            </w:r>
          </w:p>
        </w:tc>
        <w:tc>
          <w:tcPr>
            <w:tcW w:type="dxa" w:w="105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12,2x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880000"/>
            <wp:effectExtent l="0" t="0" r="0" b="0"/>
            <wp:docPr id="1010" name="Gráfico 10" descr="Cotizadas: crecimiento frente a múltiplo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10"/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7"/>
        <w:gridCol w:w="1927"/>
        <w:gridCol w:w="1929"/>
      </w:tblGrid>
      <w:tr>
        <w:trPr>
          <w:cantSplit/>
          <w:tblHeader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Múltiplo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Sector hoy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Media 10 años</w:t>
            </w:r>
          </w:p>
        </w:tc>
        <w:tc>
          <w:tcPr>
            <w:tcW w:type="dxa" w:w="19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Mercado amplio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EV/EBITDA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8,8x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8,1x</w:t>
            </w:r>
          </w:p>
        </w:tc>
        <w:tc>
          <w:tcPr>
            <w:tcW w:type="dxa" w:w="192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10,5x</w:t>
            </w:r>
          </w:p>
        </w:tc>
      </w:tr>
      <w:tr>
        <w:trPr>
          <w:cantSplit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PER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15,8x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15,0x</w:t>
            </w:r>
          </w:p>
        </w:tc>
        <w:tc>
          <w:tcPr>
            <w:tcW w:type="dxa" w:w="192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16,9x</w:t>
            </w:r>
          </w:p>
        </w:tc>
      </w:tr>
      <w:tr>
        <w:trPr>
          <w:cantSplit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EV/Ventas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0,8x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0,7x</w:t>
            </w:r>
          </w:p>
        </w:tc>
        <w:tc>
          <w:tcPr>
            <w:tcW w:type="dxa" w:w="192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1,9x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700000"/>
            <wp:effectExtent l="0" t="0" r="0" b="0"/>
            <wp:docPr id="1011" name="Gráfico 11" descr="Múltiplos del sector: hoy, su media de 10 años y el mercado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11"/>
              </a:graphicData>
            </a:graphic>
          </wp:inline>
        </w:drawing>
      </w:r>
    </w:p>
    <w:p>
      <w:pPr>
        <w:spacing w:after="100"/>
      </w:pPr>
      <w:r>
        <w:t xml:space="preserve">Pocas cotizadas puras. El sector cotiza con descuento frente al mercado y algo por encima de su media histórica.</w:t>
      </w:r>
    </w:p>
    <w:p>
      <w:pPr>
        <w:pStyle w:val="Heading1"/>
      </w:pPr>
      <w:r>
        <w:t xml:space="preserve">14. ESG y sostenibilidad</w:t>
      </w:r>
    </w:p>
    <w:p>
      <w:pPr>
        <w:pStyle w:val="Confianza"/>
        <w:spacing w:after="100"/>
      </w:pPr>
      <w:r>
        <w:t xml:space="preserve">Confianza: Baja</w:t>
      </w:r>
    </w:p>
    <w:p>
      <w:pPr>
        <w:pStyle w:val="Heading2"/>
      </w:pPr>
      <w:r>
        <w:t xml:space="preserve">Riesgos</w:t>
      </w:r>
    </w:p>
    <w:p>
      <w:pPr>
        <w:spacing w:after="100"/>
      </w:pPr>
      <w:r>
        <w:t xml:space="preserve">Siniestralidad laboral (trabajo en altura, espacios confinados) y dependencia de clientes de industrias intensivas en emisiones.</w:t>
      </w:r>
    </w:p>
    <w:p>
      <w:pPr>
        <w:pStyle w:val="Heading2"/>
      </w:pPr>
      <w:r>
        <w:t xml:space="preserve">Oportunidades</w:t>
      </w:r>
    </w:p>
    <w:p>
      <w:pPr>
        <w:spacing w:after="100"/>
      </w:pPr>
      <w:r>
        <w:t xml:space="preserve">El mantenimiento alarga la vida de los equipos y mejora su eficiencia energética: encaja en la economía circular.</w:t>
      </w:r>
    </w:p>
    <w:p>
      <w:pPr>
        <w:pStyle w:val="Heading2"/>
      </w:pPr>
      <w:r>
        <w:t xml:space="preserve">Marco regulatorio de sostenibilidad</w:t>
      </w:r>
    </w:p>
    <w:p>
      <w:pPr>
        <w:spacing w:after="100"/>
      </w:pPr>
      <w:r>
        <w:t xml:space="preserve">Las empresas grandes ya reportan con la directiva europea de información de sostenibilidad; los clientes piden datos de emisiones a sus proveedores.</w:t>
      </w:r>
    </w:p>
    <w:p>
      <w:pPr>
        <w:pStyle w:val="Heading1"/>
      </w:pPr>
      <w:r>
        <w:t xml:space="preserve">15. Riesgos del sector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"/>
        <w:gridCol w:w="2409"/>
        <w:gridCol w:w="803"/>
        <w:gridCol w:w="803"/>
        <w:gridCol w:w="3212"/>
        <w:gridCol w:w="2010"/>
      </w:tblGrid>
      <w:tr>
        <w:trPr>
          <w:cantSplit/>
          <w:tblHeader/>
        </w:trPr>
        <w:tc>
          <w:tcPr>
            <w:tcW w:type="dxa" w:w="4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Prob.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Explicación</w:t>
            </w:r>
          </w:p>
        </w:tc>
        <w:tc>
          <w:tcPr>
            <w:tcW w:type="dxa" w:w="2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Señal de alerta</w:t>
            </w:r>
          </w:p>
        </w:tc>
      </w:tr>
      <w:tr>
        <w:trPr>
          <w:cantSplit/>
        </w:trPr>
        <w:tc>
          <w:tcPr>
            <w:tcW w:type="dxa" w:w="40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Escasez de técnicos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Alta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Alto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Limita el crecimiento y presiona salarios.</w:t>
            </w:r>
          </w:p>
        </w:tc>
        <w:tc>
          <w:tcPr>
            <w:tcW w:type="dxa" w:w="201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Rotación &gt; 20 %</w:t>
            </w:r>
          </w:p>
        </w:tc>
      </w:tr>
      <w:tr>
        <w:trPr>
          <w:cantSplit/>
        </w:trPr>
        <w:tc>
          <w:tcPr>
            <w:tcW w:type="dxa" w:w="40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Recesión industrial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Media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Medio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Aplaza paradas y proyectos.</w:t>
            </w:r>
          </w:p>
        </w:tc>
        <w:tc>
          <w:tcPr>
            <w:tcW w:type="dxa" w:w="201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Producción industrial &lt; -3 %</w:t>
            </w:r>
          </w:p>
        </w:tc>
      </w:tr>
      <w:tr>
        <w:trPr>
          <w:cantSplit/>
        </w:trPr>
        <w:tc>
          <w:tcPr>
            <w:tcW w:type="dxa" w:w="40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Sobreprecio en compras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Media</w:t>
            </w:r>
          </w:p>
        </w:tc>
        <w:tc>
          <w:tcPr>
            <w:tcW w:type="dxa" w:w="8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Medio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La competencia de fondos sube los múltiplos.</w:t>
            </w:r>
          </w:p>
        </w:tc>
        <w:tc>
          <w:tcPr>
            <w:tcW w:type="dxa" w:w="201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Pymes &gt; 7x EBITDA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16. Oportunidades de inversión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"/>
        <w:gridCol w:w="2255"/>
        <w:gridCol w:w="1845"/>
        <w:gridCol w:w="1640"/>
        <w:gridCol w:w="3488"/>
      </w:tblGrid>
      <w:tr>
        <w:trPr>
          <w:cantSplit/>
          <w:tblHeader/>
        </w:trPr>
        <w:tc>
          <w:tcPr>
            <w:tcW w:type="dxa" w:w="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Oportunidad</w:t>
            </w:r>
          </w:p>
        </w:tc>
        <w:tc>
          <w:tcPr>
            <w:tcW w:type="dxa" w:w="1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Dónde (eslabón / segmento)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Vehículo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Por qué ahora</w:t>
            </w:r>
          </w:p>
        </w:tc>
      </w:tr>
      <w:tr>
        <w:trPr>
          <w:cantSplit/>
        </w:trPr>
        <w:tc>
          <w:tcPr>
            <w:tcW w:type="dxa" w:w="41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</w:t>
            </w:r>
          </w:p>
        </w:tc>
        <w:tc>
          <w:tcPr>
            <w:tcW w:type="dxa" w:w="225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Plataforma de compra y agregación regional</w:t>
            </w:r>
          </w:p>
        </w:tc>
        <w:tc>
          <w:tcPr>
            <w:tcW w:type="dxa" w:w="18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Integradores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Capital privado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Diferencial de múltiplo de 4x entre compra y salida.</w:t>
            </w:r>
          </w:p>
        </w:tc>
      </w:tr>
      <w:tr>
        <w:trPr>
          <w:cantSplit/>
        </w:trPr>
        <w:tc>
          <w:tcPr>
            <w:tcW w:type="dxa" w:w="41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</w:t>
            </w:r>
          </w:p>
        </w:tc>
        <w:tc>
          <w:tcPr>
            <w:tcW w:type="dxa" w:w="225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Especialista predictivo</w:t>
            </w:r>
          </w:p>
        </w:tc>
        <w:tc>
          <w:tcPr>
            <w:tcW w:type="dxa" w:w="18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Predictivo y digital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Capital privado / capital riesgo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Crece al 14 % y los integradores pagan por la tecnología.</w:t>
            </w:r>
          </w:p>
        </w:tc>
      </w:tr>
      <w:tr>
        <w:trPr>
          <w:cantSplit/>
        </w:trPr>
        <w:tc>
          <w:tcPr>
            <w:tcW w:type="dxa" w:w="41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</w:t>
            </w:r>
          </w:p>
        </w:tc>
        <w:tc>
          <w:tcPr>
            <w:tcW w:type="dxa" w:w="225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Integrador cotizado con descuento</w:t>
            </w:r>
          </w:p>
        </w:tc>
        <w:tc>
          <w:tcPr>
            <w:tcW w:type="dxa" w:w="18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Integradores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Bolsa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Cotiza a 8,6x frente a 10,5x del mercado.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17. Indicadores a vigilar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445"/>
        <w:gridCol w:w="1204"/>
        <w:gridCol w:w="1204"/>
        <w:gridCol w:w="3135"/>
      </w:tblGrid>
      <w:tr>
        <w:trPr>
          <w:cantSplit/>
          <w:tblHeader/>
        </w:trPr>
        <w:tc>
          <w:tcPr>
            <w:tcW w:type="dxa" w:w="2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Último dato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Tendencia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Frecuencia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Dónde se publica</w:t>
            </w:r>
          </w:p>
        </w:tc>
      </w:tr>
      <w:tr>
        <w:trPr>
          <w:cantSplit/>
        </w:trPr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Índice de producción industrial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+1,2 % interanual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↗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Mensual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Estadística oficial</w:t>
            </w:r>
          </w:p>
        </w:tc>
      </w:tr>
      <w:tr>
        <w:trPr>
          <w:cantSplit/>
        </w:trPr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Afiliados en CNAE 33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112.400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↗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Mensual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Seguridad Social</w:t>
            </w:r>
          </w:p>
        </w:tc>
      </w:tr>
      <w:tr>
        <w:trPr>
          <w:cantSplit/>
        </w:trPr>
        <w:tc>
          <w:tcPr>
            <w:tcW w:type="dxa" w:w="265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Múltiplo medio de operaciones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8,2x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→</w:t>
            </w:r>
          </w:p>
        </w:tc>
        <w:tc>
          <w:tcPr>
            <w:tcW w:type="dxa" w:w="12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Trimestral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Bases de datos de operaciones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Fuentes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3706"/>
        <w:gridCol w:w="1482"/>
        <w:gridCol w:w="1019"/>
        <w:gridCol w:w="2968"/>
      </w:tblGrid>
      <w:tr>
        <w:trPr>
          <w:cantSplit/>
          <w:tblHeader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Ref.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Editor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1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Encuesta de servicios (ficticia)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Estadística oficial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30 jun 2026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https://example.com/ine</w:t>
            </w:r>
          </w:p>
        </w:tc>
      </w:tr>
      <w:tr>
        <w:trPr>
          <w:cantSplit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Informe de mercado (ficticio)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Consultora A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15 mar 2026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https://example.com/consultora</w:t>
            </w:r>
          </w:p>
        </w:tc>
      </w:tr>
      <w:tr>
        <w:trPr>
          <w:cantSplit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3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Anuario del sector (ficticio)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Asociación sectorial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20 may 2026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https://example.com/asociacion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Control de calidad del informe</w:t>
      </w:r>
    </w:p>
    <w:p>
      <w:pPr>
        <w:pStyle w:val="Nota"/>
        <w:spacing w:after="100"/>
      </w:pPr>
      <w:r>
        <w:t xml:space="preserve">Campos con dato: </w:t>
      </w:r>
      <w:r>
        <w:rPr>
          <w:b/>
          <w:bCs/>
        </w:rPr>
        <w:t xml:space="preserve">100,0 %</w:t>
      </w:r>
      <w:r>
        <w:t xml:space="preserve"> · Secciones con menos del 60 % de campos cubiertos: </w:t>
      </w:r>
      <w:r>
        <w:rPr>
          <w:b/>
          <w:bCs/>
        </w:rPr>
        <w:t xml:space="preserve">ninguna</w:t>
      </w:r>
      <w:r>
        <w:t xml:space="preserve"> · Generado el 16 oct 2026.</w:t>
      </w:r>
    </w:p>
    <w:p>
      <w:pPr>
        <w:pStyle w:val="Nota"/>
        <w:spacing w:after="100"/>
      </w:pPr>
      <w:r>
        <w:t xml:space="preserve">EJEMPLO FICTICIO para probar la plantilla: el sector existe, pero las empresas y todas las cifras son inventadas.</w:t>
      </w:r>
    </w:p>
    <w:p>
      <w:pPr>
        <w:pStyle w:val="Nota"/>
        <w:spacing w:after="100"/>
      </w:pPr>
      <w:r>
        <w:t xml:space="preserve">Este documento es un análisis elaborado de forma automatizada a partir de fuentes públicas. No constituye una recomendación personalizada de inversión ni una oferta de compra o venta. Las cifras marcadas como estimación y los escenarios son hipótesis de trabajo y deben verificarse antes de tomar cualquier decisión.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A8984"/>
        <w:sz w:val="15"/>
        <w:szCs w:val="15"/>
      </w:rPr>
      <w:t xml:space="preserve">Datos a 6 oct 2026 · No constituye recomendación de inversión</w:t>
    </w:r>
    <w:r>
      <w:rPr>
        <w:color w:val="8A8984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A8984"/>
        <w:sz w:val="15"/>
        <w:szCs w:val="15"/>
      </w:rPr>
      <w:t xml:space="preserve">No constituye recomendación de inversión.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color w:val="8A8984"/>
        <w:sz w:val="16"/>
        <w:szCs w:val="16"/>
      </w:rPr>
      <w:t xml:space="preserve">Mantenimiento industrial externalizado · España</w:t>
    </w:r>
    <w:r>
      <w:rPr>
        <w:color w:val="8A8984"/>
        <w:sz w:val="16"/>
        <w:szCs w:val="16"/>
      </w:rPr>
      <w:t xml:space="preserve">	Análisis de industria o sector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A78D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docVars>
    <w:docVar w:name="graficos" w:val="eyJtZXJjYWRvIjp7InRpcG8iOiJjb2x1bW5hcyIsInRpdHVsbyI6IlRhbWHDsW8gZGVsIG1lcmNhZG8gKHt7bWV0YS5kaXZpc2F9fSwge3ttZXRhLnVuaWRhZGVzfX0pIMK3IGHDsW9zIGNvbiDCq2XCuyBzb24gcHJldmlzaW9uZXMiLCJkYXRvcyI6Im1lcmNhZG8uc2VyaWUiLCJjYXRlZ29yaWEiOiJhbmlvIiwic2VyaWVzIjpbeyJjYW1wbyI6InRhbWFubyIsIm5vbWJyZSI6IlRhbWHDsW8gZGVsIG1lcmNhZG8ifV0sImZvcm1hdG8iOiIjLCMjMCIsImV0aXF1ZXRhcyI6dHJ1ZSwiYWx0b19jbSI6N30sInNlZ21lbnRvcyI6eyJ0aXBvIjoiZG9udXQiLCJ0aXR1bG8iOiJQZXNvIGRlIGNhZGEgc2VnbWVudG8gKCUgZGVsIG1lcmNhZG8pIiwiZGF0b3MiOiJzZWdtZW50YWNpb24uc2VnbWVudG9zIiwiY2F0ZWdvcmlhIjoibm9tYnJlIiwic2VyaWVzIjpbeyJjYW1wbyI6InBlc29fcGN0Iiwibm9tYnJlIjoiJSBkZWwgbWVyY2FkbyJ9XSwiYWx0b19jbSI6Ni41fSwiY3JlY2ltaWVudG9fc2VnbWVudG9zIjp7InRpcG8iOiJiYXJyYXMiLCJ0aXR1bG8iOiJDcmVjaW1pZW50byBhbnVhbCBwcmV2aXN0byBwb3Igc2VnbWVudG8gKCUpIiwiZGF0b3MiOiJzZWdtZW50YWNpb24uc2VnbWVudG9zIiwiY2F0ZWdvcmlhIjoibm9tYnJlIiwic2VyaWVzIjpbeyJjYW1wbyI6ImNyZWNpbWllbnRvX3BjdCIsIm5vbWJyZSI6IkNyZWNpbWllbnRvIn1dLCJmb3JtYXRvIjoiMC4wXCIlXCIiLCJldGlxdWV0YXMiOnRydWUsImFsdG9fY20iOjZ9LCJnZW9ncmFmaWFzIjp7InRpcG8iOiJiYXJyYXMiLCJ0aXR1bG8iOiJQZXNvIHBvciBnZW9ncmFmw61hICglIGRlbCBtZXJjYWRvKSIsImRhdG9zIjoic2VnbWVudGFjaW9uLmdlb2dyYWZpYXMiLCJjYXRlZ29yaWEiOiJub21icmUiLCJzZXJpZXMiOlt7ImNhbXBvIjoicGVzb19wY3QiLCJub21icmUiOiIlIGRlbCBtZXJjYWRvIn1dLCJmb3JtYXRvIjoiMFwiJVwiIiwiZXRpcXVldGFzIjp0cnVlLCJhbHRvX2NtIjo2fSwiY2FkZW5hIjp7InRpcG8iOiJiYXJyYXMiLCJ0aXR1bG8iOiJNYXJnZW4gRUJJVERBIHTDrXBpY28gZGUgY2FkYSBlc2xhYsOzbiAoJSkiLCJkYXRvcyI6ImNhZGVuYV92YWxvci5lc2xhYm9uZXMiLCJjYXRlZ29yaWEiOiJlc2xhYm9uIiwic2VyaWVzIjpbeyJjYW1wbyI6Im1hcmdlbl9lYml0ZGFfcGN0Iiwibm9tYnJlIjoiTWFyZ2VuIEVCSVREQSJ9XSwiZm9ybWF0byI6IjBcIiVcIiIsImV0aXF1ZXRhcyI6dHJ1ZSwiYWx0b19jbSI6Nn0sImN1b3RhcyI6eyJ0aXBvIjoiYmFycmFzIiwidGl0dWxvIjoiQ3VvdGFzIGRlIG1lcmNhZG8gKCUpIiwiZGF0b3MiOiJjb21wZXRlbmNpYS5jdW90YXMiLCJjYXRlZ29yaWEiOiJlbXByZXNhIiwic2VyaWVzIjpbeyJjYW1wbyI6ImN1b3RhX3BjdCIsIm5vbWJyZSI6IkN1b3RhIn1dLCJmb3JtYXRvIjoiMC4wXCIlXCIiLCJldGlxdWV0YXMiOnRydWUsImFsdG9fY20iOjd9LCJwb3J0ZXIiOnsidGlwbyI6InJhZGFyIiwidGl0dWxvIjoiSW50ZW5zaWRhZCBkZSBsYXMgY2luY28gZnVlcnphcyAoMSA9IGZhdm9yYWJsZSwgNSA9IGRlc2Zhdm9yYWJsZSkiLCJkYXRvcyI6InBvcnRlci5mdWVyemFzIiwiY2F0ZWdvcmlhIjoiZnVlcnphIiwic2VyaWVzIjpbeyJjYW1wbyI6ImludGVuc2lkYWQiLCJub21icmUiOiJJbnRlbnNpZGFkIn1dLCJtaW4iOjAsIm1heCI6NSwiYWx0b19jbSI6OH0sImNpY2xvIjp7InRpcG8iOiJsaW5lYXMiLCJ0aXR1bG8iOiJDcmVjaW1pZW50byBkZWwgc2VjdG9yIGZyZW50ZSBhbCBQSUIgKCUgYW51YWwpIiwiZGF0b3MiOiJjaWNsby5zZXJpZSIsImNhdGVnb3JpYSI6ImFuaW8iLCJzZXJpZXMiOlt7ImNhbXBvIjoic2VjdG9yX3BjdCIsIm5vbWJyZSI6IlNlY3RvciJ9LHsiY2FtcG8iOiJwaWJfcGN0Iiwibm9tYnJlIjoiUElCIn1dLCJmb3JtYXRvIjoiMFwiJVwiIn0sImFjdGl2aWRhZCI6eyJ0aXBvIjoiY29sdW1uYXMiLCJ0aXR1bG8iOiJOw7ptZXJvIGRlIG9wZXJhY2lvbmVzIGNvcnBvcmF0aXZhcyBwb3IgYcOxbyIsImRhdG9zIjoib3BlcmFjaW9uZXMuYWN0aXZpZGFkIiwiY2F0ZWdvcmlhIjoiYW5pbyIsInNlcmllcyI6W3siY2FtcG8iOiJudW1lcm8iLCJub21icmUiOiJPcGVyYWNpb25lcyJ9XSwiZm9ybWF0byI6IjAiLCJldGlxdWV0YXMiOnRydWUsImFsdG9fY20iOjZ9LCJjb3RpemFkYXNfbWFwYSI6eyJ0aXBvIjoiZGlzcGVyc2lvbiIsInRpdHVsbyI6IkNvdGl6YWRhczogY3JlY2ltaWVudG8gZnJlbnRlIGEgbcO6bHRpcGxvIiwiZGF0b3MiOiJjb3RpemFkYXMuZW1wcmVzYXMiLCJldGlxdWV0YSI6Im5vbWJyZSIsImRlc3RhY2FyX3ByaW1lcm8iOmZhbHNlLCJ4Ijp7ImNhbXBvIjoiY3JlY2ltaWVudG9fcGN0Iiwibm9tYnJlIjoiQ3JlY2ltaWVudG8gZGUgaW5ncmVzb3MgKCUpIiwiZm9ybWF0byI6IjBcIiVcIiJ9LCJ5Ijp7ImNhbXBvIjoiZXZfZWJpdGRhIiwibm9tYnJlIjoiRVYvRUJJVERBICh4KSIsImZvcm1hdG8iOiIwLjBcInhcIiJ9LCJhbHRvX2NtIjo4fSwibXVsdGlwbG9zIjp7InRpcG8iOiJjb2x1bW5hcyIsInRpdHVsbyI6Ik3Dumx0aXBsb3MgZGVsIHNlY3RvcjogaG95LCBzdSBtZWRpYSBkZSAxMCBhw7FvcyB5IGVsIG1lcmNhZG8iLCJkYXRvcyI6ImNvdGl6YWRhcy5tdWx0aXBsb3MiLCJjYXRlZ29yaWEiOiJtZXRyaWNhIiwic2VyaWVzIjpbeyJjYW1wbyI6ImFjdHVhbCIsIm5vbWJyZSI6IlNlY3RvciBob3kifSx7ImNhbXBvIjoibWVkaWFfMTBhIiwibm9tYnJlIjoiTWVkaWEgMTAgYcOxb3MifSx7ImNhbXBvIjoibWVyY2FkbyIsIm5vbWJyZSI6Ik1lcmNhZG8gYW1wbGlvIn1dLCJmb3JtYXRvIjoiMC4wXCJ4XCIifX0=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C"/>
        <w:sz w:val="20"/>
        <w:szCs w:val="20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A78D6" w:sz="6" w:space="4"/>
      </w:pBdr>
      <w:spacing w:after="6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Calibri" w:cs="Calibri" w:eastAsia="Calibri" w:hAnsi="Calibri"/>
      <w:b/>
      <w:bCs/>
      <w:color w:val="1F3A5F"/>
      <w:sz w:val="23"/>
      <w:szCs w:val="23"/>
    </w:rPr>
  </w:style>
  <w:style w:type="paragraph" w:styleId="Parte">
    <w:name w:val="Parte"/>
    <w:basedOn w:val="Normal"/>
    <w:next w:val="Normal"/>
    <w:pPr>
      <w:keepNext/>
      <w:pBdr>
        <w:bottom w:val="single" w:color="2A78D6" w:sz="12" w:space="6"/>
      </w:pBdr>
      <w:spacing w:after="400" w:before="2400"/>
      <w:outlineLvl w:val="0"/>
    </w:pPr>
    <w:rPr>
      <w:rFonts w:ascii="Calibri" w:cs="Calibri" w:eastAsia="Calibri" w:hAnsi="Calibri"/>
      <w:b/>
      <w:bCs/>
      <w:color w:val="2A78D6"/>
      <w:sz w:val="40"/>
      <w:szCs w:val="40"/>
    </w:rPr>
  </w:style>
  <w:style w:type="paragraph" w:styleId="Aviso">
    <w:name w:val="Aviso"/>
    <w:basedOn w:val="Normal"/>
    <w:next w:val="Normal"/>
    <w:pPr>
      <w:pBdr>
        <w:left w:val="single" w:color="D9772E" w:sz="24" w:space="8"/>
      </w:pBdr>
      <w:spacing w:after="200" w:before="120"/>
      <w:ind w:left="200"/>
    </w:pPr>
    <w:rPr>
      <w:b/>
      <w:bCs/>
      <w:color w:val="A3470F"/>
      <w:sz w:val="19"/>
      <w:szCs w:val="19"/>
    </w:rPr>
  </w:style>
  <w:style w:type="paragraph" w:styleId="Confianza">
    <w:name w:val="Confianza"/>
    <w:basedOn w:val="Normal"/>
    <w:next w:val="Normal"/>
    <w:pPr>
      <w:keepNext/>
      <w:spacing w:after="160" w:before="0"/>
    </w:pPr>
    <w:rPr>
      <w:i/>
      <w:iCs/>
      <w:color w:val="8A8984"/>
      <w:sz w:val="16"/>
      <w:szCs w:val="16"/>
    </w:rPr>
  </w:style>
  <w:style w:type="paragraph" w:styleId="Nota">
    <w:name w:val="Nota"/>
    <w:basedOn w:val="Normal"/>
    <w:next w:val="Normal"/>
    <w:pPr>
      <w:spacing w:after="80"/>
    </w:pPr>
    <w:rPr>
      <w:color w:val="52514E"/>
      <w:sz w:val="16"/>
      <w:szCs w:val="1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Grafico1" Type="http://schemas.openxmlformats.org/officeDocument/2006/relationships/chart" Target="charts/chart1.xml"/><Relationship Id="rIdGrafico2" Type="http://schemas.openxmlformats.org/officeDocument/2006/relationships/chart" Target="charts/chart2.xml"/><Relationship Id="rIdGrafico3" Type="http://schemas.openxmlformats.org/officeDocument/2006/relationships/chart" Target="charts/chart3.xml"/><Relationship Id="rIdGrafico4" Type="http://schemas.openxmlformats.org/officeDocument/2006/relationships/chart" Target="charts/chart4.xml"/><Relationship Id="rIdGrafico5" Type="http://schemas.openxmlformats.org/officeDocument/2006/relationships/chart" Target="charts/chart5.xml"/><Relationship Id="rIdGrafico6" Type="http://schemas.openxmlformats.org/officeDocument/2006/relationships/chart" Target="charts/chart6.xml"/><Relationship Id="rIdGrafico7" Type="http://schemas.openxmlformats.org/officeDocument/2006/relationships/chart" Target="charts/chart7.xml"/><Relationship Id="rIdGrafico8" Type="http://schemas.openxmlformats.org/officeDocument/2006/relationships/chart" Target="charts/chart8.xml"/><Relationship Id="rIdGrafico9" Type="http://schemas.openxmlformats.org/officeDocument/2006/relationships/chart" Target="charts/chart9.xml"/><Relationship Id="rIdGrafico10" Type="http://schemas.openxmlformats.org/officeDocument/2006/relationships/chart" Target="charts/chart10.xml"/><Relationship Id="rIdGrafico11" Type="http://schemas.openxmlformats.org/officeDocument/2006/relationships/chart" Target="charts/chart1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3.xlsx"/></Relationships>
</file>

<file path=word/charts/_rels/chart4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4.xlsx"/></Relationships>
</file>

<file path=word/charts/_rels/chart5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5.xlsx"/></Relationships>
</file>

<file path=word/charts/_rels/chart6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6.xlsx"/></Relationships>
</file>

<file path=word/charts/_rels/chart7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7.xlsx"/></Relationships>
</file>

<file path=word/charts/_rels/chart8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8.xlsx"/></Relationships>
</file>

<file path=word/charts/_rels/chart9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9.xlsx"/></Relationships>
</file>

<file path=word/charts/_rels/chart10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10.xlsx"/></Relationships>
</file>

<file path=word/charts/_rels/chart11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1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Tamaño del mercado (EUR, millones) · años con «e» son previsiones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Tamaño del mercado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Hoja1!$A$2:$A$9</c:f>
              <c:strCache>
                <c:ptCount val="8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  <c:pt idx="6">
                  <c:v>2027e</c:v>
                </c:pt>
                <c:pt idx="7">
                  <c:v>2030e</c:v>
                </c:pt>
              </c:strCache>
            </c:strRef>
          </c:cat>
          <c:val>
            <c:numRef>
              <c:f>Hoja1!$B$2:$B$9</c:f>
              <c:numCache>
                <c:formatCode>#,##0</c:formatCode>
                <c:ptCount val="8"/>
                <c:pt idx="0">
                  <c:v>6170</c:v>
                </c:pt>
                <c:pt idx="1">
                  <c:v>6620</c:v>
                </c:pt>
                <c:pt idx="2">
                  <c:v>7020</c:v>
                </c:pt>
                <c:pt idx="3">
                  <c:v>7310</c:v>
                </c:pt>
                <c:pt idx="4">
                  <c:v>7540</c:v>
                </c:pt>
                <c:pt idx="5">
                  <c:v>7800</c:v>
                </c:pt>
                <c:pt idx="6">
                  <c:v>8680</c:v>
                </c:pt>
                <c:pt idx="7">
                  <c:v>10190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ln w="6350">
              <a:solidFill>
                <a:srgbClr val="E4E3DF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autoZero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Peso de cada segmento (% del mercado)</a:t>
            </a:r>
          </a:p>
        </c:rich>
      </c:tx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% del mercado</c:v>
                </c:pt>
              </c:strCache>
            </c:strRef>
          </c:tx>
          <c:dPt>
            <c:idx val="0"/>
            <c:bubble3D val="0"/>
            <c:spPr>
              <a:solidFill>
                <a:srgbClr val="2A78D6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B6834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1BAF7A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EDA100"/>
              </a:solidFill>
              <a:ln w="19050">
                <a:solidFill>
                  <a:srgbClr val="FFFFFF"/>
                </a:solidFill>
              </a:ln>
            </c:spPr>
          </c:dPt>
          <c:dLbls>
            <c:numFmt formatCode="0.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1F2A3C"/>
                    </a:solidFill>
                  </a:defRPr>
                </a:pPr>
                <a:endParaRPr lang="es-E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Hoja1!$A$2:$A$5</c:f>
              <c:strCache>
                <c:ptCount val="4"/>
                <c:pt idx="0">
                  <c:v>Mecánico y eléctrico</c:v>
                </c:pt>
                <c:pt idx="1">
                  <c:v>Paradas de planta</c:v>
                </c:pt>
                <c:pt idx="2">
                  <c:v>Instalación y montaje</c:v>
                </c:pt>
                <c:pt idx="3">
                  <c:v>Predictivo y digital</c:v>
                </c:pt>
              </c:strCache>
            </c:strRef>
          </c:cat>
          <c:val>
            <c:numRef>
              <c:f>Hoja1!$B$2:$B$5</c:f>
              <c:numCache>
                <c:formatCode>General</c:formatCode>
                <c:ptCount val="4"/>
                <c:pt idx="0">
                  <c:v>52</c:v>
                </c:pt>
                <c:pt idx="1">
                  <c:v>21</c:v>
                </c:pt>
                <c:pt idx="2">
                  <c:v>18</c:v>
                </c:pt>
                <c:pt idx="3">
                  <c:v>9</c:v>
                </c:pt>
              </c:numCache>
            </c:numRef>
          </c:val>
        </c:ser>
        <c:firstSliceAng val="0"/>
        <c:holeSize val="55"/>
      </c:doughnutChart>
    </c:plotArea>
    <c:legend>
      <c:legendPos val="r"/>
      <c:overlay val="0"/>
      <c:txPr>
        <a:bodyPr/>
        <a:lstStyle/>
        <a:p>
          <a:pPr>
            <a:defRPr sz="850">
              <a:solidFill>
                <a:srgbClr val="52514E"/>
              </a:solidFill>
            </a:defRPr>
          </a:pPr>
          <a:endParaRPr lang="es-ES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Crecimiento anual previsto por segmento (%)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Crecimiento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.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Hoja1!$A$2:$A$5</c:f>
              <c:strCache>
                <c:ptCount val="4"/>
                <c:pt idx="0">
                  <c:v>Mecánico y eléctrico</c:v>
                </c:pt>
                <c:pt idx="1">
                  <c:v>Paradas de planta</c:v>
                </c:pt>
                <c:pt idx="2">
                  <c:v>Instalación y montaje</c:v>
                </c:pt>
                <c:pt idx="3">
                  <c:v>Predictivo y digital</c:v>
                </c:pt>
              </c:strCache>
            </c:strRef>
          </c:cat>
          <c:val>
            <c:numRef>
              <c:f>Hoja1!$B$2:$B$5</c:f>
              <c:numCache>
                <c:formatCode>0.0"%"</c:formatCode>
                <c:ptCount val="4"/>
                <c:pt idx="0">
                  <c:v>3.8</c:v>
                </c:pt>
                <c:pt idx="1">
                  <c:v>4.5</c:v>
                </c:pt>
                <c:pt idx="2">
                  <c:v>6</c:v>
                </c:pt>
                <c:pt idx="3">
                  <c:v>14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0.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max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Peso por geografía (% del mercado)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% del mercado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Hoja1!$A$2:$A$6</c:f>
              <c:strCache>
                <c:ptCount val="5"/>
                <c:pt idx="0">
                  <c:v>Cataluña</c:v>
                </c:pt>
                <c:pt idx="1">
                  <c:v>País Vasco y Navarra</c:v>
                </c:pt>
                <c:pt idx="2">
                  <c:v>Madrid</c:v>
                </c:pt>
                <c:pt idx="3">
                  <c:v>Andalucía</c:v>
                </c:pt>
                <c:pt idx="4">
                  <c:v>Resto</c:v>
                </c:pt>
              </c:strCache>
            </c:strRef>
          </c:cat>
          <c:val>
            <c:numRef>
              <c:f>Hoja1!$B$2:$B$6</c:f>
              <c:numCache>
                <c:formatCode>0"%"</c:formatCode>
                <c:ptCount val="5"/>
                <c:pt idx="0">
                  <c:v>24</c:v>
                </c:pt>
                <c:pt idx="1">
                  <c:v>17</c:v>
                </c:pt>
                <c:pt idx="2">
                  <c:v>13</c:v>
                </c:pt>
                <c:pt idx="3">
                  <c:v>12</c:v>
                </c:pt>
                <c:pt idx="4">
                  <c:v>34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max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Margen EBITDA típico de cada eslabón (%)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Margen EBITDA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Hoja1!$A$2:$A$5</c:f>
              <c:strCache>
                <c:ptCount val="4"/>
                <c:pt idx="0">
                  <c:v>Fabricantes de equipos</c:v>
                </c:pt>
                <c:pt idx="1">
                  <c:v>Integradores multitécnicos</c:v>
                </c:pt>
                <c:pt idx="2">
                  <c:v>Especialistas</c:v>
                </c:pt>
                <c:pt idx="3">
                  <c:v>Talleres locales</c:v>
                </c:pt>
              </c:strCache>
            </c:strRef>
          </c:cat>
          <c:val>
            <c:numRef>
              <c:f>Hoja1!$B$2:$B$5</c:f>
              <c:numCache>
                <c:formatCode>0"%"</c:formatCode>
                <c:ptCount val="4"/>
                <c:pt idx="0">
                  <c:v>15</c:v>
                </c:pt>
                <c:pt idx="1">
                  <c:v>9</c:v>
                </c:pt>
                <c:pt idx="2">
                  <c:v>13</c:v>
                </c:pt>
                <c:pt idx="3">
                  <c:v>7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max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Cuotas de mercado (%)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Cuota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.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Hoja1!$A$2:$A$6</c:f>
              <c:strCache>
                <c:ptCount val="5"/>
                <c:pt idx="0">
                  <c:v>Integrador A</c:v>
                </c:pt>
                <c:pt idx="1">
                  <c:v>Integrador B</c:v>
                </c:pt>
                <c:pt idx="2">
                  <c:v>Plataforma C</c:v>
                </c:pt>
                <c:pt idx="3">
                  <c:v>Grupo D</c:v>
                </c:pt>
                <c:pt idx="4">
                  <c:v>Plataforma E</c:v>
                </c:pt>
              </c:strCache>
            </c:strRef>
          </c:cat>
          <c:val>
            <c:numRef>
              <c:f>Hoja1!$B$2:$B$6</c:f>
              <c:numCache>
                <c:formatCode>0.0"%"</c:formatCode>
                <c:ptCount val="5"/>
                <c:pt idx="0">
                  <c:v>5.1</c:v>
                </c:pt>
                <c:pt idx="1">
                  <c:v>3.9</c:v>
                </c:pt>
                <c:pt idx="2">
                  <c:v>3.2</c:v>
                </c:pt>
                <c:pt idx="3">
                  <c:v>2.6</c:v>
                </c:pt>
                <c:pt idx="4">
                  <c:v>2.2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0.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max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Intensidad de las cinco fuerzas (1 = favorable, 5 = desfavorable)</a:t>
            </a:r>
          </a:p>
        </c:rich>
      </c:tx>
      <c:overlay val="0"/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Intensidad</c:v>
                </c:pt>
              </c:strCache>
            </c:strRef>
          </c:tx>
          <c:spPr>
            <a:ln w="25400">
              <a:solidFill>
                <a:srgbClr val="2A78D6"/>
              </a:solidFill>
            </a:ln>
          </c:spPr>
          <c:marker>
            <c:symbol val="circle"/>
            <c:size val="6"/>
            <c:spPr>
              <a:solidFill>
                <a:srgbClr val="2A78D6"/>
              </a:solidFill>
            </c:spPr>
          </c:marker>
          <c:cat>
            <c:strRef>
              <c:f>Hoja1!$A$2:$A$6</c:f>
              <c:strCache>
                <c:ptCount val="5"/>
                <c:pt idx="0">
                  <c:v>Rivalidad</c:v>
                </c:pt>
                <c:pt idx="1">
                  <c:v>Poder de los clientes</c:v>
                </c:pt>
                <c:pt idx="2">
                  <c:v>Poder de los proveedores</c:v>
                </c:pt>
                <c:pt idx="3">
                  <c:v>Amenaza de entrada</c:v>
                </c:pt>
                <c:pt idx="4">
                  <c:v>Amenaza de sustitutos</c:v>
                </c:pt>
              </c:strCache>
            </c:strRef>
          </c:cat>
          <c:val>
            <c:numRef>
              <c:f>Hoja1!$B$2:$B$6</c:f>
              <c:numCache>
                <c:formatCode>General</c:formatCode>
                <c:ptCount val="5"/>
                <c:pt idx="0">
                  <c:v>4</c:v>
                </c:pt>
                <c:pt idx="1">
                  <c:v>4</c:v>
                </c:pt>
                <c:pt idx="2">
                  <c:v>3</c:v>
                </c:pt>
                <c:pt idx="3">
                  <c:v>3</c:v>
                </c:pt>
                <c:pt idx="4">
                  <c:v>2</c:v>
                </c:pt>
              </c:numCache>
            </c:numRef>
          </c:val>
        </c:ser>
        <c:axId val="10"/>
        <c:axId val="20"/>
      </c:radarChart>
      <c:catAx>
        <c:axId val="1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General" sourceLinked="0"/>
        <c:majorTickMark val="none"/>
        <c:minorTickMark val="none"/>
        <c:tickLblPos val="nextTo"/>
        <c:spPr>
          <a:ln w="6350">
            <a:solidFill>
              <a:srgbClr val="E4E3DF"/>
            </a:solidFill>
          </a:ln>
        </c:spPr>
        <c:txPr>
          <a:bodyPr/>
          <a:lstStyle/>
          <a:p>
            <a:pPr>
              <a:defRPr sz="850">
                <a:solidFill>
                  <a:srgbClr val="1F2A3C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  <c:max val="5"/>
          <c:min val="0"/>
        </c:scaling>
        <c:delete val="0"/>
        <c:axPos val="l"/>
        <c:majorGridlines>
          <c:spPr>
            <a:ln w="6350">
              <a:solidFill>
                <a:srgbClr val="E4E3DF"/>
              </a:solidFill>
            </a:ln>
          </c:spPr>
        </c:majorGridlines>
        <c:numFmt formatCode="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7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autoZero"/>
        <c:crossBetween val="between"/>
        <c:majorUnit val="1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Crecimiento del sector frente al PIB (% anual)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Sector</c:v>
                </c:pt>
              </c:strCache>
            </c:strRef>
          </c:tx>
          <c:spPr>
            <a:ln w="25400" cap="rnd">
              <a:solidFill>
                <a:srgbClr val="2A78D6"/>
              </a:solidFill>
              <a:round/>
            </a:ln>
          </c:spPr>
          <c:marker>
            <c:symbol val="circle"/>
            <c:size val="6"/>
            <c:spPr>
              <a:solidFill>
                <a:srgbClr val="2A78D6"/>
              </a:solidFill>
              <a:ln w="9525">
                <a:solidFill>
                  <a:srgbClr val="FFFFFF"/>
                </a:solidFill>
              </a:ln>
            </c:spPr>
          </c:marker>
          <c:cat>
            <c:strRef>
              <c:f>Hoja1!$A$2:$A$8</c:f>
              <c:strCach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strCache>
            </c:strRef>
          </c:cat>
          <c:val>
            <c:numRef>
              <c:f>Hoja1!$B$2:$B$8</c:f>
              <c:numCache>
                <c:formatCode>0"%"</c:formatCode>
                <c:ptCount val="7"/>
                <c:pt idx="0">
                  <c:v>3.1</c:v>
                </c:pt>
                <c:pt idx="1">
                  <c:v>-6.5</c:v>
                </c:pt>
                <c:pt idx="2">
                  <c:v>7.3</c:v>
                </c:pt>
                <c:pt idx="3">
                  <c:v>6</c:v>
                </c:pt>
                <c:pt idx="4">
                  <c:v>4.1</c:v>
                </c:pt>
                <c:pt idx="5">
                  <c:v>3.1</c:v>
                </c:pt>
                <c:pt idx="6">
                  <c:v>3.4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PIB</c:v>
                </c:pt>
              </c:strCache>
            </c:strRef>
          </c:tx>
          <c:spPr>
            <a:ln w="25400" cap="rnd">
              <a:solidFill>
                <a:srgbClr val="EB6834"/>
              </a:solidFill>
              <a:round/>
            </a:ln>
          </c:spPr>
          <c:marker>
            <c:symbol val="circle"/>
            <c:size val="6"/>
            <c:spPr>
              <a:solidFill>
                <a:srgbClr val="EB6834"/>
              </a:solidFill>
              <a:ln w="9525">
                <a:solidFill>
                  <a:srgbClr val="FFFFFF"/>
                </a:solidFill>
              </a:ln>
            </c:spPr>
          </c:marker>
          <c:cat>
            <c:strRef>
              <c:f>Hoja1!$A$2:$A$8</c:f>
              <c:strCach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strCache>
            </c:strRef>
          </c:cat>
          <c:val>
            <c:numRef>
              <c:f>Hoja1!$C$2:$C$8</c:f>
              <c:numCache>
                <c:formatCode>0"%"</c:formatCode>
                <c:ptCount val="7"/>
                <c:pt idx="0">
                  <c:v>2</c:v>
                </c:pt>
                <c:pt idx="1">
                  <c:v>-10.9</c:v>
                </c:pt>
                <c:pt idx="2">
                  <c:v>6.7</c:v>
                </c:pt>
                <c:pt idx="3">
                  <c:v>6.2</c:v>
                </c:pt>
                <c:pt idx="4">
                  <c:v>2.7</c:v>
                </c:pt>
                <c:pt idx="5">
                  <c:v>3.2</c:v>
                </c:pt>
                <c:pt idx="6">
                  <c:v>2.6</c:v>
                </c:pt>
              </c:numCache>
            </c:numRef>
          </c:val>
          <c:smooth val="0"/>
        </c:ser>
        <c:marker val="1"/>
        <c:axId val="10"/>
        <c:axId val="20"/>
      </c:lineChart>
      <c:catAx>
        <c:axId val="1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ln w="6350">
              <a:solidFill>
                <a:srgbClr val="E4E3DF"/>
              </a:solidFill>
            </a:ln>
          </c:spPr>
        </c:majorGridlines>
        <c:numFmt formatCode="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850">
              <a:solidFill>
                <a:srgbClr val="52514E"/>
              </a:solidFill>
            </a:defRPr>
          </a:pPr>
          <a:endParaRPr lang="es-ES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Número de operaciones corporativas por año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Operaciones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Hoja1!$B$2:$B$6</c:f>
              <c:numCache>
                <c:formatCode>0</c:formatCode>
                <c:ptCount val="5"/>
                <c:pt idx="0">
                  <c:v>9</c:v>
                </c:pt>
                <c:pt idx="1">
                  <c:v>14</c:v>
                </c:pt>
                <c:pt idx="2">
                  <c:v>11</c:v>
                </c:pt>
                <c:pt idx="3">
                  <c:v>16</c:v>
                </c:pt>
                <c:pt idx="4">
                  <c:v>19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ln w="6350">
              <a:solidFill>
                <a:srgbClr val="E4E3DF"/>
              </a:solidFill>
            </a:ln>
          </c:spPr>
        </c:majorGridlines>
        <c:numFmt formatCode="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autoZero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Cotizadas: crecimiento frente a múltiplo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Hoja1!$A$2</c:f>
              <c:strCache>
                <c:ptCount val="1"/>
                <c:pt idx="0">
                  <c:v>Integrador A</c:v>
                </c:pt>
              </c:strCache>
            </c:strRef>
          </c:tx>
          <c:spPr>
            <a:ln w="19050">
              <a:noFill/>
            </a:ln>
          </c:spPr>
          <c:marker>
            <c:symbol val="circle"/>
            <c:size val="8"/>
            <c:spPr>
              <a:solidFill>
                <a:srgbClr val="8A8984"/>
              </a:solidFill>
              <a:ln w="9525">
                <a:solidFill>
                  <a:srgbClr val="FFFFFF"/>
                </a:solidFill>
              </a:ln>
            </c:spPr>
          </c:marker>
          <c:dLbls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1F2A3C"/>
                    </a:solidFill>
                  </a:defRPr>
                </a:pPr>
                <a:endParaRPr lang="es-ES"/>
              </a:p>
            </c:txPr>
            <c:dLblPos val="r"/>
            <c:showLegendKey val="0"/>
            <c:showVal val="0"/>
            <c:showCatName val="0"/>
            <c:showSerName val="1"/>
            <c:showPercent val="0"/>
            <c:showBubbleSize val="0"/>
          </c:dLbls>
          <c:xVal>
            <c:numRef>
              <c:f>Hoja1!$B$2</c:f>
              <c:numCache>
                <c:formatCode>0"%"</c:formatCode>
                <c:ptCount val="1"/>
                <c:pt idx="0">
                  <c:v>6.2</c:v>
                </c:pt>
              </c:numCache>
            </c:numRef>
          </c:xVal>
          <c:yVal>
            <c:numRef>
              <c:f>Hoja1!$C$2</c:f>
              <c:numCache>
                <c:formatCode>0.0"x"</c:formatCode>
                <c:ptCount val="1"/>
                <c:pt idx="0">
                  <c:v>8.6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Hoja1!$A$3</c:f>
              <c:strCache>
                <c:ptCount val="1"/>
                <c:pt idx="0">
                  <c:v>Integrador B (matriz)</c:v>
                </c:pt>
              </c:strCache>
            </c:strRef>
          </c:tx>
          <c:spPr>
            <a:ln w="19050">
              <a:noFill/>
            </a:ln>
          </c:spPr>
          <c:marker>
            <c:symbol val="circle"/>
            <c:size val="8"/>
            <c:spPr>
              <a:solidFill>
                <a:srgbClr val="8A8984"/>
              </a:solidFill>
              <a:ln w="9525">
                <a:solidFill>
                  <a:srgbClr val="FFFFFF"/>
                </a:solidFill>
              </a:ln>
            </c:spPr>
          </c:marker>
          <c:dLbls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r"/>
            <c:showLegendKey val="0"/>
            <c:showVal val="0"/>
            <c:showCatName val="0"/>
            <c:showSerName val="1"/>
            <c:showPercent val="0"/>
            <c:showBubbleSize val="0"/>
          </c:dLbls>
          <c:xVal>
            <c:numRef>
              <c:f>Hoja1!$B$3</c:f>
              <c:numCache>
                <c:formatCode>0"%"</c:formatCode>
                <c:ptCount val="1"/>
                <c:pt idx="0">
                  <c:v>5.1</c:v>
                </c:pt>
              </c:numCache>
            </c:numRef>
          </c:xVal>
          <c:yVal>
            <c:numRef>
              <c:f>Hoja1!$C$3</c:f>
              <c:numCache>
                <c:formatCode>0.0"x"</c:formatCode>
                <c:ptCount val="1"/>
                <c:pt idx="0">
                  <c:v>8.9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Hoja1!$A$4</c:f>
              <c:strCache>
                <c:ptCount val="1"/>
                <c:pt idx="0">
                  <c:v>Servicios técnicos G</c:v>
                </c:pt>
              </c:strCache>
            </c:strRef>
          </c:tx>
          <c:spPr>
            <a:ln w="19050">
              <a:noFill/>
            </a:ln>
          </c:spPr>
          <c:marker>
            <c:symbol val="circle"/>
            <c:size val="8"/>
            <c:spPr>
              <a:solidFill>
                <a:srgbClr val="8A8984"/>
              </a:solidFill>
              <a:ln w="9525">
                <a:solidFill>
                  <a:srgbClr val="FFFFFF"/>
                </a:solidFill>
              </a:ln>
            </c:spPr>
          </c:marker>
          <c:dLbls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r"/>
            <c:showLegendKey val="0"/>
            <c:showVal val="0"/>
            <c:showCatName val="0"/>
            <c:showSerName val="1"/>
            <c:showPercent val="0"/>
            <c:showBubbleSize val="0"/>
          </c:dLbls>
          <c:xVal>
            <c:numRef>
              <c:f>Hoja1!$B$4</c:f>
              <c:numCache>
                <c:formatCode>0"%"</c:formatCode>
                <c:ptCount val="1"/>
                <c:pt idx="0">
                  <c:v>7.8</c:v>
                </c:pt>
              </c:numCache>
            </c:numRef>
          </c:xVal>
          <c:yVal>
            <c:numRef>
              <c:f>Hoja1!$C$4</c:f>
              <c:numCache>
                <c:formatCode>0.0"x"</c:formatCode>
                <c:ptCount val="1"/>
                <c:pt idx="0">
                  <c:v>10.4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Hoja1!$A$5</c:f>
              <c:strCache>
                <c:ptCount val="1"/>
                <c:pt idx="0">
                  <c:v>Ingeniería H</c:v>
                </c:pt>
              </c:strCache>
            </c:strRef>
          </c:tx>
          <c:spPr>
            <a:ln w="19050">
              <a:noFill/>
            </a:ln>
          </c:spPr>
          <c:marker>
            <c:symbol val="circle"/>
            <c:size val="8"/>
            <c:spPr>
              <a:solidFill>
                <a:srgbClr val="8A8984"/>
              </a:solidFill>
              <a:ln w="9525">
                <a:solidFill>
                  <a:srgbClr val="FFFFFF"/>
                </a:solidFill>
              </a:ln>
            </c:spPr>
          </c:marker>
          <c:dLbls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r"/>
            <c:showLegendKey val="0"/>
            <c:showVal val="0"/>
            <c:showCatName val="0"/>
            <c:showSerName val="1"/>
            <c:showPercent val="0"/>
            <c:showBubbleSize val="0"/>
          </c:dLbls>
          <c:xVal>
            <c:numRef>
              <c:f>Hoja1!$B$5</c:f>
              <c:numCache>
                <c:formatCode>0"%"</c:formatCode>
                <c:ptCount val="1"/>
                <c:pt idx="0">
                  <c:v>3.2</c:v>
                </c:pt>
              </c:numCache>
            </c:numRef>
          </c:xVal>
          <c:yVal>
            <c:numRef>
              <c:f>Hoja1!$C$5</c:f>
              <c:numCache>
                <c:formatCode>0.0"x"</c:formatCode>
                <c:ptCount val="1"/>
                <c:pt idx="0">
                  <c:v>6.9</c:v>
                </c:pt>
              </c:numCache>
            </c:numRef>
          </c:yVal>
          <c:smooth val="0"/>
        </c:ser>
        <c:axId val="10"/>
        <c:axId val="20"/>
      </c:scatterChart>
      <c:valAx>
        <c:axId val="10"/>
        <c:scaling>
          <c:orientation val="minMax"/>
          <c:max val="9"/>
          <c:min val="2"/>
        </c:scaling>
        <c:delete val="0"/>
        <c:axPos val="b"/>
        <c:title>
          <c:tx>
            <c:rich>
              <a:bodyPr/>
              <a:lstStyle/>
              <a:p>
                <a:pPr>
                  <a:defRPr sz="850" b="0">
                    <a:solidFill>
                      <a:srgbClr val="52514E"/>
                    </a:solidFill>
                  </a:defRPr>
                </a:pPr>
                <a:r>
                  <a:rPr lang="es-ES" sz="850" b="0">
                    <a:solidFill>
                      <a:srgbClr val="52514E"/>
                    </a:solidFill>
                  </a:rPr>
                  <a:t>Crecimiento de ingresos (%)</a:t>
                </a:r>
              </a:p>
            </c:rich>
          </c:tx>
          <c:overlay val="0"/>
        </c:title>
        <c:numFmt formatCode="0&quot;%&quot;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crossBetween val="midCat"/>
      </c:valAx>
      <c:valAx>
        <c:axId val="20"/>
        <c:scaling>
          <c:orientation val="minMax"/>
          <c:min val="6"/>
        </c:scaling>
        <c:delete val="0"/>
        <c:axPos val="l"/>
        <c:majorGridlines>
          <c:spPr>
            <a:ln w="6350">
              <a:solidFill>
                <a:srgbClr val="E4E3DF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850" b="0">
                    <a:solidFill>
                      <a:srgbClr val="52514E"/>
                    </a:solidFill>
                  </a:defRPr>
                </a:pPr>
                <a:r>
                  <a:rPr lang="es-ES" sz="850" b="0">
                    <a:solidFill>
                      <a:srgbClr val="52514E"/>
                    </a:solidFill>
                  </a:rPr>
                  <a:t>EV/EBITDA (x)</a:t>
                </a:r>
              </a:p>
            </c:rich>
          </c:tx>
          <c:overlay val="0"/>
        </c:title>
        <c:numFmt formatCode="0.0&quot;x&quot;" sourceLinked="0"/>
        <c:majorTickMark val="none"/>
        <c:minorTickMark val="none"/>
        <c:tickLblPos val="low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autoZero"/>
        <c:crossBetween val="midCat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Múltiplos del sector: hoy, su media de 10 años y el mercado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Sector hoy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cat>
            <c:strRef>
              <c:f>Hoja1!$A$2:$A$4</c:f>
              <c:strCache>
                <c:ptCount val="3"/>
                <c:pt idx="0">
                  <c:v>EV/EBITDA</c:v>
                </c:pt>
                <c:pt idx="1">
                  <c:v>PER</c:v>
                </c:pt>
                <c:pt idx="2">
                  <c:v>EV/Ventas</c:v>
                </c:pt>
              </c:strCache>
            </c:strRef>
          </c:cat>
          <c:val>
            <c:numRef>
              <c:f>Hoja1!$B$2:$B$4</c:f>
              <c:numCache>
                <c:formatCode>0.0"x"</c:formatCode>
                <c:ptCount val="3"/>
                <c:pt idx="0">
                  <c:v>8.8</c:v>
                </c:pt>
                <c:pt idx="1">
                  <c:v>15.8</c:v>
                </c:pt>
                <c:pt idx="2">
                  <c:v>0.8</c:v>
                </c:pt>
              </c:numCache>
            </c:numRef>
          </c:val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Media 10 años</c:v>
                </c:pt>
              </c:strCache>
            </c:strRef>
          </c:tx>
          <c:spPr>
            <a:solidFill>
              <a:srgbClr val="EB6834"/>
            </a:solidFill>
            <a:ln w="9525">
              <a:noFill/>
            </a:ln>
          </c:spPr>
          <c:invertIfNegative val="0"/>
          <c:cat>
            <c:strRef>
              <c:f>Hoja1!$A$2:$A$4</c:f>
              <c:strCache>
                <c:ptCount val="3"/>
                <c:pt idx="0">
                  <c:v>EV/EBITDA</c:v>
                </c:pt>
                <c:pt idx="1">
                  <c:v>PER</c:v>
                </c:pt>
                <c:pt idx="2">
                  <c:v>EV/Ventas</c:v>
                </c:pt>
              </c:strCache>
            </c:strRef>
          </c:cat>
          <c:val>
            <c:numRef>
              <c:f>Hoja1!$C$2:$C$4</c:f>
              <c:numCache>
                <c:formatCode>0.0"x"</c:formatCode>
                <c:ptCount val="3"/>
                <c:pt idx="0">
                  <c:v>8.1</c:v>
                </c:pt>
                <c:pt idx="1">
                  <c:v>15</c:v>
                </c:pt>
                <c:pt idx="2">
                  <c:v>0.7</c:v>
                </c:pt>
              </c:numCache>
            </c:numRef>
          </c:val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Mercado amplio</c:v>
                </c:pt>
              </c:strCache>
            </c:strRef>
          </c:tx>
          <c:spPr>
            <a:solidFill>
              <a:srgbClr val="1BAF7A"/>
            </a:solidFill>
            <a:ln w="9525">
              <a:noFill/>
            </a:ln>
          </c:spPr>
          <c:invertIfNegative val="0"/>
          <c:cat>
            <c:strRef>
              <c:f>Hoja1!$A$2:$A$4</c:f>
              <c:strCache>
                <c:ptCount val="3"/>
                <c:pt idx="0">
                  <c:v>EV/EBITDA</c:v>
                </c:pt>
                <c:pt idx="1">
                  <c:v>PER</c:v>
                </c:pt>
                <c:pt idx="2">
                  <c:v>EV/Ventas</c:v>
                </c:pt>
              </c:strCache>
            </c:strRef>
          </c:cat>
          <c:val>
            <c:numRef>
              <c:f>Hoja1!$D$2:$D$4</c:f>
              <c:numCache>
                <c:formatCode>0.0"x"</c:formatCode>
                <c:ptCount val="3"/>
                <c:pt idx="0">
                  <c:v>10.5</c:v>
                </c:pt>
                <c:pt idx="1">
                  <c:v>16.9</c:v>
                </c:pt>
                <c:pt idx="2">
                  <c:v>1.9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ln w="6350">
              <a:solidFill>
                <a:srgbClr val="E4E3DF"/>
              </a:solidFill>
            </a:ln>
          </c:spPr>
        </c:majorGridlines>
        <c:numFmt formatCode="0.0&quot;x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850">
              <a:solidFill>
                <a:srgbClr val="52514E"/>
              </a:solidFill>
            </a:defRPr>
          </a:pPr>
          <a:endParaRPr lang="es-ES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industria o sector — plantilla</dc:title>
  <dc:creator>analisis-inversion</dc:creator>
  <cp:lastModifiedBy>Un-named</cp:lastModifiedBy>
  <cp:revision>1</cp:revision>
  <dcterms:created xsi:type="dcterms:W3CDTF">2026-10-14T17:04:42.785Z</dcterms:created>
  <dcterms:modified xsi:type="dcterms:W3CDTF">2026-10-14T17:04:42.785Z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