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Gaztransport &amp; Technigaz SA</w:t>
      </w:r>
    </w:p>
    <w:p>
      <w:pPr>
        <w:spacing w:after="60"/>
        <w:rPr>
          <w:color w:val="52514E"/>
          <w:sz w:val="22"/>
          <w:szCs w:val="22"/>
        </w:rPr>
      </w:pPr>
      <w:r>
        <w:rPr>
          <w:color w:val="52514E"/>
          <w:sz w:val="22"/>
          <w:szCs w:val="22"/>
        </w:rPr>
        <w:t xml:space="preserve">GTT · Euronext París (compartimento A) · ISIN FR0011726835 · Energía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16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207,00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195,98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-1,0 % (base +3,7 %)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176,98 EUR · mercado 205,19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7.676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13,6x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Gaztransport &amp; Technigaz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GTT / FR0011726835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 (compartimento 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STOXX Europe 600 (SBF 120, CAC Next 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Energía / Equipos y servicios de petróleo y gas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Saint-Rémy-lès-Chevreuse (Francia) · 1994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https://www.gtt.fr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207,00 (15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153,80 – 227,00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7.676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7.389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18,5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195,98 EUR</w:t>
      </w:r>
      <w:r>
        <w:t xml:space="preserve"> frente a 207,00 · Rentabilidad a 12 meses </w:t>
      </w:r>
      <w:r>
        <w:rPr>
          <w:b/>
          <w:bCs/>
        </w:rPr>
        <w:t xml:space="preserve">-1,0 % (base +3,7 %)</w:t>
      </w:r>
      <w:r>
        <w:t xml:space="preserve"> · Valor intrínseco 176,98 EUR · con la prima implícita del mercado: 205,19 (-0,9 %) · Alcista / bajista +0,1 % / -29,9 %</w:t>
      </w:r>
    </w:p>
    <w:p>
      <w:pPr>
        <w:spacing w:after="100"/>
      </w:pPr>
      <w:r>
        <w:rPr>
          <w:b/>
        </w:rPr>
        <w:t xml:space="preserve">La recomendación y por qué.</w:t>
      </w:r>
      <w:r>
        <w:t xml:space="preserve"> Mantener, con convicción baja. El objetivo a 12 meses es de 195,98 EUR (15,7 veces nuestro BPA de 2028 de 13,10 EUR en el base), frente a un precio de 207,00: la rentabilidad ponderada es del −1,0 % y la del base del +3,7 %, con dividendo. El valor intrínseco es de 176,98 EUR (−14,5 %) y el objetivo medio de los 12 analistas, de 234,25, un 12,2 % por encima de nuestro base. La razón principal es el precio: GTT es una de las empresas de más calidad de Europa, pero el mercado ya paga 17,3 veces un beneficio cercano al pico del ciclo. La convicción es baja porque las dos reglas discrepan (con la prima del mercado el valor sería de 215,19 EUR y la regla relativa daría Mantener; la absoluta, Vender).</w:t>
      </w:r>
    </w:p>
    <w:p>
      <w:pPr>
        <w:spacing w:after="100"/>
      </w:pPr>
      <w:r>
        <w:rPr>
          <w:b/>
        </w:rPr>
        <w:t xml:space="preserve">El negocio.</w:t>
      </w:r>
      <w:r>
        <w:t xml:space="preserve"> GTT licencia las membranas criogénicas de todos los metaneros grandes encargados desde 2015; cobra un canon por buque, no necesita capital y gana un margen EBITDA del 67,5 % [1, 2]. ROIC del 177,5 % frente a un WACC del 8,55 %: el veredicto de calidad es </w:t>
      </w:r>
      <w:r>
        <w:rPr>
          <w:b/>
        </w:rPr>
        <w:t xml:space="preserve">Sí</w:t>
      </w:r>
      <w:r>
        <w:t xml:space="preserve">, y la prueba de sostenibilidad también da </w:t>
      </w:r>
      <w:r>
        <w:rPr>
          <w:b/>
        </w:rPr>
        <w:t xml:space="preserve">Sí</w:t>
      </w:r>
      <w:r>
        <w:t xml:space="preserve"> (crecimiento proyectado del 1,5 % anual, muy por debajo del histórico del 15,2 %, sin inversión neta). El punto débil es la diversificación: Elogen costó 48,7 M en 2025.</w:t>
      </w:r>
    </w:p>
    <w:p>
      <w:pPr>
        <w:spacing w:after="100"/>
      </w:pPr>
      <w:r>
        <w:rPr>
          <w:b/>
        </w:rPr>
        <w:t xml:space="preserve">Sector y ciclo.</w:t>
      </w:r>
      <w:r>
        <w:t xml:space="preserve"> Los pedidos de metaneros son cíclicos: 162 en 2022, 37 en 2025 y 56 en el 1S26 [1, 3]. La ola de licuefacción en EE. UU. y Qatar sostiene el repunte; la cartera asegura 655 M en 2027 y 603 M en 2028, pero solo 295 M después [3].</w:t>
      </w:r>
    </w:p>
    <w:p>
      <w:pPr>
        <w:spacing w:after="100"/>
      </w:pPr>
      <w:r>
        <w:rPr>
          <w:b/>
        </w:rPr>
        <w:t xml:space="preserve">Finanzas.</w:t>
      </w:r>
      <w:r>
        <w:t xml:space="preserve"> Caja neta de unos 277 M a junio de 2026 tras pagar Danelec con un préstamo de 120 M; reparto del 80 % del beneficio (4,3 % de rentabilidad) [3].</w:t>
      </w:r>
    </w:p>
    <w:p>
      <w:pPr>
        <w:spacing w:after="100"/>
      </w:pPr>
      <w:r>
        <w:rPr>
          <w:b/>
        </w:rPr>
        <w:t xml:space="preserve">Equipo y gobierno.</w:t>
      </w:r>
      <w:r>
        <w:t xml:space="preserve"> La dirección cumplió la guía de 2022-2025, pero el consejero delegado ha cambiado dos veces en 24 meses: François Michel llegó en enero de 2026 sin plan presentado [1, 17]. Sin accionista de control y con el 70 % del consejo independiente.</w:t>
      </w:r>
    </w:p>
    <w:p>
      <w:pPr>
        <w:spacing w:after="100"/>
      </w:pPr>
      <w:r>
        <w:rPr>
          <w:b/>
        </w:rPr>
        <w:t xml:space="preserve">Valoración.</w:t>
      </w:r>
      <w:r>
        <w:t xml:space="preserve"> El DCF da 181,76 EUR; el inverso dice que el precio descuenta un 5,4 % de crecimiento anual hasta 2032 (nuestro base: 2,6 %, con valle en 2030-2031). Los comparables por PER valen 156,35 y las transacciones 206,13. Discrepamos de los analistas en el múltiplo y en la duración del ciclo, no en el beneficio de 2028 (un 2,3 % por debajo del suyo).</w:t>
      </w:r>
    </w:p>
    <w:p>
      <w:pPr>
        <w:spacing w:after="100"/>
      </w:pPr>
      <w:r>
        <w:rPr>
          <w:b/>
        </w:rPr>
        <w:t xml:space="preserve">Riesgos y catalizadores.</w:t>
      </w:r>
      <w:r>
        <w:t xml:space="preserve"> El riesgo mayor es el fin del ciclo de pedidos: el bajista a 12 meses vale 135,60 EUR con el PER de 11,6 veces de 2024. Después, sistemas propios de astilleros coreanos o chinos y un cambio del régimen fiscal de patentes (−13 % del beneficio). El riesgo de que la IA se coma el negocio es bajo: exposición baja y efecto mixto (±3 %), porque la barrera es la validación en servicio y no el diseño. El foro es positivo, sin euforia. Catalizador próximo: actividad del 3T el 23-oct-2026.</w:t>
      </w:r>
    </w:p>
    <w:p>
      <w:pPr>
        <w:spacing w:after="100"/>
      </w:pPr>
      <w:r>
        <w:rPr>
          <w:b/>
        </w:rPr>
        <w:t xml:space="preserve">Qué cambiaría la decisión.</w:t>
      </w:r>
      <w:r>
        <w:t xml:space="preserve"> Compraríamos por debajo de 176,98 EUR y venderíamos por encima de 227,69. Revisaríamos al alza si los pedidos de 2026 superan los 80 metaneros y a la baja si un fletador acepta una tecnología no GTT.</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195,98 EUR</w:t>
      </w:r>
      <w:r>
        <w:t xml:space="preserve"> (rentabilidad -1,0 % (base +3,7 %)) · Valor intrínseco: 176,98 EUR (-14,5 % sobre 207,00) · con la prima implícita del mercado: 205,19 (-0,9 %)</w:t>
      </w:r>
    </w:p>
    <w:p>
      <w:pPr>
        <w:spacing w:after="100"/>
      </w:pPr>
      <w:r>
        <w:t xml:space="preserve">GTT es el licenciador casi único de los sistemas de contención por membrana del GNL: desde 2015 todos los metaneros grandes encargados en el mundo llevan su tecnología. Cobra un canon por buque, no necesita capital y tiene un margen EBITDA del 67,5 % y un ROIC del 177,5 % frente a un WACC del 8,55 % [1, 2]. La cartera asegura 1.853 M de ingresos hasta 2029 y los pedidos de metaneros repuntaron a 56 en el 1S26 [3].</w:t>
      </w:r>
    </w:p>
    <w:p>
      <w:pPr>
        <w:spacing w:after="100"/>
      </w:pPr>
      <w:r>
        <w:t xml:space="preserve">A 207,00 EUR el precio descuenta un crecimiento del 5,4 % anual en 2027-2032, el doble del 2,6 % que proyectamos con un valle del ciclo en 2030-2031. Cotiza a 17,3 veces nuestro BPA de 2027, por encima de su mediana adelantada (13,9 veces), que es lo que el mercado ha pagado cuando el beneficio estaba en máximos, como ahora.</w:t>
      </w:r>
    </w:p>
    <w:p>
      <w:pPr>
        <w:spacing w:after="100"/>
      </w:pPr>
      <w:r>
        <w:t xml:space="preserve">Es una empresa excelente a un precio que ya supone que este ciclo de pedidos será más largo que los anteriores. Para invertir hay que creer eso; los pedidos de 2026 lo apoyan pero no lo prueban. El valor intrínseco (176,98) queda por debajo del precio y la rentabilidad a 12 meses es casi nula.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 × 11,69 = 135,60 · 15,7x × 13,10 = 205,67 · 17,0x × 13,94 = 236,98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 / 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234,25 (nuestro base -12,2 %)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176,98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 / -29,9 %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 frente a 8,6 % y 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205,19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 frente a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176,98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176,98 y 227,69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227,69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Un precio por debajo de 176,98 EUR: con la calidad y el valor intrínseco por encima del precio, la regla daría Comprar si la rentabilidad a 12 meses llega al umbral.</w:t>
      </w:r>
    </w:p>
    <w:p>
      <w:pPr>
        <w:pStyle w:val="ListParagraph"/>
        <w:numPr>
          <w:ilvl w:val="0"/>
          <w:numId w:val="2"/>
        </w:numPr>
        <w:spacing w:after="60"/>
      </w:pPr>
      <w:r>
        <w:t xml:space="preserve">Por encima de 227,69 EUR pasaríamos a Vender.</w:t>
      </w:r>
    </w:p>
    <w:p>
      <w:pPr>
        <w:pStyle w:val="ListParagraph"/>
        <w:numPr>
          <w:ilvl w:val="0"/>
          <w:numId w:val="2"/>
        </w:numPr>
        <w:spacing w:after="60"/>
      </w:pPr>
      <w:r>
        <w:t xml:space="preserve">Si los pedidos del 3T26 (23-oct) y de 2026 superan los 80 metaneros, revisaríamos al alza los ingresos de 2029-2030 y el DCF.</w:t>
      </w:r>
    </w:p>
    <w:p>
      <w:pPr>
        <w:pStyle w:val="ListParagraph"/>
        <w:numPr>
          <w:ilvl w:val="0"/>
          <w:numId w:val="2"/>
        </w:numPr>
        <w:spacing w:after="60"/>
      </w:pPr>
      <w:r>
        <w:t xml:space="preserve">Si un fletador encarga un metanero grande con tecnología no GTT, revisaríamos a la baja el valor terminal.</w:t>
      </w:r>
    </w:p>
    <w:p>
      <w:pPr>
        <w:pStyle w:val="ListParagraph"/>
        <w:numPr>
          <w:ilvl w:val="0"/>
          <w:numId w:val="2"/>
        </w:numPr>
        <w:spacing w:after="60"/>
      </w:pPr>
      <w:r>
        <w:t xml:space="preserve">Si el plan del nuevo consejero delegado (febrero de 2027) incluye una compra grande fuera del núcleo.</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5,4 % anual hasta 2032 sin valle de pedidos, por la ola de licuefacción en EE. UU. y Qatar. Los analistas son aún más optimistas: objetivo medio de 234,25 EUR, unas 19 veces el BPA de 2027.</w:t>
      </w:r>
    </w:p>
    <w:p>
      <w:pPr>
        <w:keepNext/>
        <w:spacing w:after="100"/>
      </w:pPr>
      <w:r>
        <w:rPr>
          <w:b/>
          <w:bCs/>
        </w:rPr>
        <w:t xml:space="preserve">Lo que creemos nosotros.</w:t>
      </w:r>
    </w:p>
    <w:p>
      <w:pPr>
        <w:spacing w:after="100"/>
      </w:pPr>
      <w:r>
        <w:t xml:space="preserve">Coincidimos en el beneficio hasta 2028 (BPA de 13,10 frente a 13,41 del consenso), pero creemos que el mercado no paga el pico del ciclo al múltiplo de hoy: el PER adelantado tenderá hacia 14-16 veces. Objetivo a 12 meses de 195,98 EUR, algo por debajo del precio.</w:t>
      </w:r>
    </w:p>
    <w:p>
      <w:pPr>
        <w:keepNext/>
        <w:spacing w:after="100"/>
      </w:pPr>
      <w:r>
        <w:rPr>
          <w:b/>
          <w:bCs/>
        </w:rPr>
        <w:t xml:space="preserve">Por qué podemos tener razón.</w:t>
      </w:r>
    </w:p>
    <w:p>
      <w:pPr>
        <w:spacing w:after="100"/>
      </w:pPr>
      <w:r>
        <w:t xml:space="preserve">La historia del PER de GTT es cíclica e inversa al beneficio (23,8 veces en el valle de 2021, 11,6 en el pico de 2024) y la cartera asegurada ya cae a 295 M para 2029. No tenemos una visión distinta del negocio: la diferencia es de múltiplo y de duración del ciclo.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07,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Monopolio de hecho</w:t>
      </w:r>
      <w:r>
        <w:t xml:space="preserve">: el 100 % de los metaneros grandes encargados desde 2015 llevan tecnología de GTT [1].</w:t>
      </w:r>
    </w:p>
    <w:p>
      <w:pPr>
        <w:pStyle w:val="ListParagraph"/>
        <w:numPr>
          <w:ilvl w:val="0"/>
          <w:numId w:val="2"/>
        </w:numPr>
        <w:spacing w:after="60"/>
      </w:pPr>
      <w:r>
        <w:rPr>
          <w:b/>
        </w:rPr>
        <w:t xml:space="preserve">Calidad excepcional</w:t>
      </w:r>
      <w:r>
        <w:t xml:space="preserve">: ROIC del 177,5 % frente a un WACC del 8,55 % y margen EBITDA del 67,5 % [2].</w:t>
      </w:r>
    </w:p>
    <w:p>
      <w:pPr>
        <w:pStyle w:val="ListParagraph"/>
        <w:numPr>
          <w:ilvl w:val="0"/>
          <w:numId w:val="2"/>
        </w:numPr>
        <w:spacing w:after="60"/>
      </w:pPr>
      <w:r>
        <w:rPr>
          <w:b/>
        </w:rPr>
        <w:t xml:space="preserve">Visibilidad</w:t>
      </w:r>
      <w:r>
        <w:t xml:space="preserve">: cartera de 1.853 M de ingresos asegurados y 56 pedidos de metaneros en el 1S26 [3].</w:t>
      </w:r>
    </w:p>
    <w:p>
      <w:pPr>
        <w:pStyle w:val="ListParagraph"/>
        <w:numPr>
          <w:ilvl w:val="0"/>
          <w:numId w:val="2"/>
        </w:numPr>
        <w:spacing w:after="60"/>
      </w:pPr>
      <w:r>
        <w:rPr>
          <w:b/>
        </w:rPr>
        <w:t xml:space="preserve">Dividendo</w:t>
      </w:r>
      <w:r>
        <w:t xml:space="preserve">: reparto del 80 % del beneficio, rentabilidad del 4,3 %, y caja neta sin deuda relevante [2].</w:t>
      </w:r>
    </w:p>
    <w:p>
      <w:pPr>
        <w:pStyle w:val="ListParagraph"/>
        <w:numPr>
          <w:ilvl w:val="0"/>
          <w:numId w:val="2"/>
        </w:numPr>
        <w:spacing w:after="60"/>
      </w:pPr>
      <w:r>
        <w:rPr>
          <w:b/>
        </w:rPr>
        <w:t xml:space="preserve">Dirección que cumple</w:t>
      </w:r>
      <w:r>
        <w:t xml:space="preserve">: guía cumplida o superada en 2022-2025 [4].</w:t>
      </w:r>
    </w:p>
    <w:p>
      <w:pPr>
        <w:pStyle w:val="Heading2"/>
      </w:pPr>
      <w:r>
        <w:t xml:space="preserve">En contra</w:t>
      </w:r>
    </w:p>
    <w:p>
      <w:pPr>
        <w:pStyle w:val="ListParagraph"/>
        <w:numPr>
          <w:ilvl w:val="0"/>
          <w:numId w:val="2"/>
        </w:numPr>
        <w:spacing w:after="60"/>
      </w:pPr>
      <w:r>
        <w:rPr>
          <w:b/>
        </w:rPr>
        <w:t xml:space="preserve">Ciclo</w:t>
      </w:r>
      <w:r>
        <w:t xml:space="preserve">: la cartera asegurada cae a 295 M para 2029 y el negocio depende de que sigan los pedidos [3].</w:t>
      </w:r>
    </w:p>
    <w:p>
      <w:pPr>
        <w:pStyle w:val="ListParagraph"/>
        <w:numPr>
          <w:ilvl w:val="0"/>
          <w:numId w:val="2"/>
        </w:numPr>
        <w:spacing w:after="60"/>
      </w:pPr>
      <w:r>
        <w:rPr>
          <w:b/>
        </w:rPr>
        <w:t xml:space="preserve">Precio exigente</w:t>
      </w:r>
      <w:r>
        <w:t xml:space="preserve">: el DCF inverso pide un 5,4 % anual frente al 2,6 % que proyectamos; valor intrínseco de 176,98 EUR (−14,5 %).</w:t>
      </w:r>
    </w:p>
    <w:p>
      <w:pPr>
        <w:pStyle w:val="ListParagraph"/>
        <w:numPr>
          <w:ilvl w:val="0"/>
          <w:numId w:val="2"/>
        </w:numPr>
        <w:spacing w:after="60"/>
      </w:pPr>
      <w:r>
        <w:rPr>
          <w:b/>
        </w:rPr>
        <w:t xml:space="preserve">Múltiplo en lo alto</w:t>
      </w:r>
      <w:r>
        <w:t xml:space="preserve">: 17,3 veces el BPA de 2027 con el beneficio cerca de máximos, frente a 11,6-13,9 veces en 2024-2025.</w:t>
      </w:r>
    </w:p>
    <w:p>
      <w:pPr>
        <w:pStyle w:val="ListParagraph"/>
        <w:numPr>
          <w:ilvl w:val="0"/>
          <w:numId w:val="2"/>
        </w:numPr>
        <w:spacing w:after="60"/>
      </w:pPr>
      <w:r>
        <w:rPr>
          <w:b/>
        </w:rPr>
        <w:t xml:space="preserve">Concentración</w:t>
      </w:r>
      <w:r>
        <w:t xml:space="preserve">: tres astilleros coreanos y un solo producto; China, el 25 % de los ingresos, con riesgo de copia [1].</w:t>
      </w:r>
    </w:p>
    <w:p>
      <w:pPr>
        <w:pStyle w:val="ListParagraph"/>
        <w:numPr>
          <w:ilvl w:val="0"/>
          <w:numId w:val="2"/>
        </w:numPr>
        <w:spacing w:after="60"/>
      </w:pPr>
      <w:r>
        <w:rPr>
          <w:b/>
        </w:rPr>
        <w:t xml:space="preserve">Cúpula nueva</w:t>
      </w:r>
      <w:r>
        <w:t xml:space="preserve">: dos cambios de consejero delegado en 24 meses y un plan estratégico pendiente [1, 17].</w:t>
      </w:r>
    </w:p>
    <w:p>
      <w:pPr>
        <w:pStyle w:val="Heading2"/>
      </w:pPr>
      <w:r>
        <w:t xml:space="preserve">Qué tiene que pasar para que la tesis funcione</w:t>
      </w:r>
    </w:p>
    <w:p>
      <w:pPr>
        <w:spacing w:after="100"/>
      </w:pPr>
      <w:r>
        <w:t xml:space="preserve">La tesis depende de que los pedidos de metaneros se mantengan por encima de 50-60 al año en 2027-2028 para que no haya valle en 2030 y de que ningún fletador acepte un sistema de contención no GTT. La señal de que no se cumple sería un año con menos de 40 pedidos, una cartera de ingresos por debajo de 1.500 M o una compra grande fuera del núcleo en el plan del nuevo consejero delegado.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metaneros (año)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(1S26); 37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40 en un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2029-2031.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asegurados por la cartera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 M (jun-2026)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Visibilidad del ciclo.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BPA.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con tecnología no GTT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Ninguno en metaneros grandes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Uno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monopolio.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adelantado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20x sin subida del BPA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que descuenta un ciclo sin fin.</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13,7x / 13,6x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17,3x / 17,3x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 · -0,5x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GTT nace en 1994 de la fusión de Gaztransport (tecnología NO96) y Technigaz (tecnología Mark III), dos ingenierías francesas de los años sesenta, con Gaz de France (40 %), Total (30 %) y Bouygues Offshore (30 %) como accionistas [1]. Desde entonces vive de licenciar sus membranas criogénicas a los astilleros. Salió a bolsa en febrero de 2014; Engie, heredera de Gaz de France, bajó del 10 % en diciembre de 2022 y vendió el resto en mayo de 2025, y hoy el capital flota casi entero [1]. Desde 2015 todos los metaneros de más de 100.000 m3 encargados en el mundo usan su tecnología [1]. La diversificación ha ido por dos vías: soluciones digitales para la flota (Ascenz, Marorka, VPS y Danelec, hoy GTT Marine) e hidrógeno (Elogen, comprada en 2020 y reducida a I+D en 2025) [1,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Gaztransport y Technigaz en GTT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Mark III Flex, la tecnología más vendida hoy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Euronext París (compartimento 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ese año, el 100 % de los metaneros grandes encargados usan tecnología de GTT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Areva H2Gen (Elogen), Marorka y OSE Engineering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de pedidos: 162 metaneros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KFTC coreana gana en el Supremo: los astilleros coreanos pueden pedir separar licencia y asistencia técnica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Danelec (194 M EUR), reestructuración de Elogen y salida definitiva de Engie del capital [1,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François Michel, consejero delegado desde el 5-ene; primeros pedidos de metaneros de tres tanques [3]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GTT es una ingeniería francesa que diseña los sistemas de contención por membrana criogénica (Mark III y NO96) en los que se transporta y almacena el gas natural licuado a −163 °C. No fabrica: licencia su tecnología a los astilleros que construyen metaneros, etaneros, unidades flotantes de regasificación (FSRU) y licuefacción (FLNG), tanques en tierra y buques que usan GNL como combustible, y les presta asistencia técnica durante la construcción [1]. Los cánones de nuevas construcciones fueron el 92 % de los ingresos de 2025 (739 M de 803 M); los servicios a la flota en operación y GTT Marine (soluciones digitales, con Danelec desde agosto de 2025), el 7 % (59 M); y el hidrógeno (Elogen), reducido a I+D, menos del 1 % [1, 2]. Tiene 862 empleados, casi todos ingenieros, en Saint-Rémy-lès-Chevreuse [25].</w:t>
      </w:r>
    </w:p>
    <w:p>
      <w:pPr>
        <w:pStyle w:val="Heading2"/>
      </w:pPr>
      <w:r>
        <w:t xml:space="preserve">Cómo gana dinero</w:t>
      </w:r>
    </w:p>
    <w:p>
      <w:pPr>
        <w:spacing w:after="100"/>
      </w:pPr>
      <w:r>
        <w:t xml:space="preserve">Cobra un canon por buque (la empresa no publica el importe unitario) y lo factura por hitos de la construcción (corte del acero, quilla, botadura y entrega) a lo largo de dos o tres años; el ingreso se reconoce según avance la obra [1]. Por eso la cartera da visibilidad: a 30-jun-2026 tenía 306 unidades y 1.853 M de ingresos asegurados (300 M en el 2S26, 655 M en 2027, 603 M en 2028 y 295 M después) [3, 12]. Los costes son casi fijos (ingenieros e I+D), y el margen EBITDA sube con el volumen: del 52 % en 2022 al 67,5 % en 2025 [2, 6]. No necesita capital: el capex fue de 40 M en 2025 y los astilleros pagan por adelantado.</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Sistemas de contención (cánones de nuevas construcciones)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y soluciones marinas y digitales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Electrolizadores (Elogen)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Sistemas de contención (cánones de nuevas construcciones)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y soluciones marinas y digitales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Electrolizadores (Elogen)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Los clientes directos son una docena de astilleros: los coreanos (Samsung Heavy, Hanwha Ocean y HD Hyundai) suponen el 68 % de los ingresos y los chinos (Hudong-Zhonghua, Jiangnan, Dalian y los nuevos licenciatarios) el 25 % [1]. Pero quien elige la tecnología es el armador o el fletador (Qatar Energy, Shell, TotalEnergies, Venture Global), que exige un sistema probado: desde 2015 todos los metaneros grandes encargados en el mundo llevan membranas de GTT [1, 13, 16]. El poder de precios es alto, aunque la empresa no publica el canon por buque, y la autoridad de competencia coreana (KFTC) obligó en 2020 a ofrecer la asistencia técnica por separado [1]. La concentración es el riesgo: tres astilleros coreanos dominan la facturación.</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metaneros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(2025); 56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1S26 ya supera todo 2025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del negocio principal (unidades, sin GNL como combustible)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(dic-2025)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272 metaneros, 22 etaneros, 3 FSRU, 4 FLNG y 5 tanques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futuros asegurados por la cartera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1.592 M EUR (dic-2025)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 M EUR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300 M en el 2S26, 655 M en 2027, 603 M en 2028 y 295 M en 2029 y después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 (2025); 68,1 %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operativo sobre una base de costes casi fija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GTT Marine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M EUR (2025); 31,8 M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Danelec desde el 1-ago-2025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Cartera de buques propulsados por GNL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(dic-2025)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Competencia de tanques tipo C chinos [2,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los sistemas de contención de gas licuado para nuevas construcciones: sobre todo metaneros de gran tamaño, y además etaneros, unidades flotantes (FSRU y FLNG), tanques en tierra y buques que usan GNL como combustible [1]. Se mide en pedidos de unidades al año, porque GTT cobra un canon por cada buque (en torno al 5 % de su precio, estimación propia a partir de los ingresos por buque) y su cuota en metaneros grandes es del 100 % desde 2015 [1]. La demanda final es el comercio de GNL: 431 Mtpa de producción en 2025 y un crecimiento del 5 % anual previsto para 2026-2035 en los escenarios centrales de Shell y Wood Mackenzie [12]. La serie usa los pedidos de metaneros a GTT, que coinciden con los del mercado (Clarksons y GTT)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metaneros encargados en 2025 (575 entre 2016 y 2025) y 56 en el primer semestre de 2026 [1, 3]; producción mundial de GNL de 431 Mtpa en 2025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etaneros encargados al año (unidade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Decisiones de inversión en licuefacción (FID)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84 Mtpa decididas en 2025 (récord) y 37 Mtpa más en el 1S26, sobre todo en EE. UU.; cada FID lleva a encargar metaneros 1-2 años después [2,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 demanda de GNL en Asia y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previsto del 5 % anual en 2026-2035; el 80 % del aumento, en Asia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Renovación de la flota (metaneros de vapor antiguos)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GTT estima unos 550 metaneros encargados en 2026-2035 (antes, 450 o más) [2,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construcción y fletes spot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Fletes spot por debajo de 40.000 USD/día en 2025 y precios de construcción altos frenaron los pedidos del 1S25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Geopolítica (Oriente Medio, China-EE.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temporal de plantas en Qatar y Emiratos en 2026 sin impacto en los pedidos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Capacidad de los astilleros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Huecos de metaneros de unos 55 al año en 2020 a más de 100 previstos en 2028 [12]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del 100 % en metaneros grandes desde 2015; las alternativas (Moss, SPB, KC-1) no se han vuelto a encargar para metaneros estándar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astilleros suman el 80 % de las ventas y el mayor, el 21 %; los coreanos ganaron a GTT ante la KFTC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Modelo de licencia: GTT no fabrica; las compras son el 2,5 % de las ventas (20,2 M en 2025)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Astilleros coreanos y chinos (Samsung, Hyundai, Hanwha, Jiangnan) desarrollan sistemas propios; sin pedidos de metaneros grandes hasta hoy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Gasoductos, renovables y, a largo plazo, un pico de la demanda de gas; en GNL como combustible ya ganan los tanques tipo C [1, 2]</w:t>
            </w:r>
          </w:p>
        </w:tc>
      </w:tr>
    </w:tbl>
    <w:p>
      <w:pPr>
        <w:spacing w:after="160" w:before="0"/>
      </w:pPr>
    </w:p>
    <w:p>
      <w:pPr>
        <w:pStyle w:val="Heading2"/>
      </w:pPr>
      <w:r>
        <w:t xml:space="preserve">Ciclo</w:t>
      </w:r>
    </w:p>
    <w:p>
      <w:pPr>
        <w:spacing w:after="100"/>
      </w:pPr>
      <w:r>
        <w:t xml:space="preserve">Los pedidos de metaneros son muy cíclicos: 5 en 2016, 162 en 2022 y 37 en 2025 [1]. Tras el bache del 1S25 (aranceles, precio de construcción y fletes bajos), los pedidos repuntaron desde el 4T25 (18) y el 1S26 sumó 56, empujados por las 84 Mtpa de FID de 2025 [2, 3]. En 2008-09 los pedidos cayeron por la crisis y el gas de esquisto; en 2020 bajaron a 41 sin dañar los ingresos, que reflejan pedidos de 2-3 años antes; en 2022 hubo récord por la crisis energética europea [1]. Los ingresos de 2026 bajan un 4-5 % por el valle de pedidos de 2025 y vuelven a crecer con la cartera en 2027-2028 [3].</w:t>
      </w:r>
    </w:p>
    <w:p>
      <w:pPr>
        <w:pStyle w:val="Heading2"/>
      </w:pPr>
      <w:r>
        <w:t xml:space="preserve">Regulación</w:t>
      </w:r>
    </w:p>
    <w:p>
      <w:pPr>
        <w:spacing w:after="100"/>
      </w:pPr>
      <w:r>
        <w:t xml:space="preserve">Las normas de la OMI sobre emisiones (EEXI, CII) y el sistema europeo de comercio de emisiones (EU ETS, con el transporte marítimo desde 2024, y FuelEU Maritime desde 2025) favorecen buques más eficientes y la venta de soluciones digitales de GTT Marine [1]. Las normas de conexión eléctrica en puerto (cold ironing) impulsan el diseño de tanques de 1 barg [2]. En competencia, la KFTC coreana obliga a separar licencia y asistencia si un astillero lo pide (firme desde abril de 2023) [1]. En Francia, GTT tributa a un tipo reducido sobre los cánones de patentes (régimen de propiedad industrial), que podría cambiar [1].</w:t>
      </w:r>
    </w:p>
    <w:p>
      <w:pPr>
        <w:pStyle w:val="Heading2"/>
      </w:pPr>
      <w:r>
        <w:t xml:space="preserve">Tendencias y disrupción</w:t>
      </w:r>
    </w:p>
    <w:p>
      <w:pPr>
        <w:spacing w:after="100"/>
      </w:pPr>
      <w:r>
        <w:t xml:space="preserve">Metaneros más grandes y eficientes (tres tanques, 177.000 m3, un 6 % menos de evaporación) y unidades flotantes de licuefacción, donde GTT ganó el primer FLNG de EE. UU. (Delfin) [3]. Los astilleros chinos ganan peso: el 25 % de los ingresos de GTT en 2025 frente al 21 % en 2024 [1]. Riesgo tecnológico: Samsung, Hyundai, Hanwha y Jiangnan tienen sistemas propios aprobados, y en GNL como combustible los tanques tipo C chinos han restado cuota (ingresos −36 % en 2025) [1, 2]. A largo plazo, el amoniaco y el etano abren mercados donde las membranas aún no dominan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sistemas de contención de metaneros grandes (100 % de los encargados desde 2015 y el 86 % de la flota mundial) [1]; en GNL como combustible compite con tanques tipo C y pierde cuota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Moss Maritime (grupo Saipem)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Noruega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Tanques esféricos; el 14 % de la flota, sin pedidos de metaneros desde 2015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KC LNG Tech (Kogas y astilleros coreanos), KC-1 y KC-2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 del Sur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dos metaneros KC-1 de 2018 tuvieron que repararse y no operan; KC-2 solo en buques de bunkering pequeños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IHI (SPB, tipo B prismático)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7013</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Usado en un FLNG de ENI en el astillero chino Wison (2025)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Samsung Heavy Industries, Hyundai Heavy Industries, Hanwha Ocean y Jiangnan (sistemas propios)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 del Sur y 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a la vez clientes y competidores potenciales con tecnologías aprobadas y sin pedidos de metaneros estándar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Wärtsilä</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Finlandia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WRT1V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Compite con GTT Marine en soluciones digitales y de eficiencia para buques [14]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Navieras, fletadores, sociedades de clasificación y terminales están acostumbrados a sus membranas: el 86 % de la flota las usa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metanero cuesta más de 200 M USD y su contenedor no admite fallos: los KC-1 coreanos no han vuelto a operar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 patentes en 2025, 1.º entre las medianas empresas francesas del INPI; 60 años de historial operativo [3,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metanero Moss cuesta un 10-15 % más que uno con membrana GTT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unos 50-60 buques al año: no caben dos licenciadores con su base de I+D (47,6 M en 2025) [1]</w:t>
            </w:r>
          </w:p>
        </w:tc>
      </w:tr>
    </w:tbl>
    <w:p>
      <w:pPr>
        <w:spacing w:after="160" w:before="0"/>
      </w:pPr>
    </w:p>
    <w:p>
      <w:pPr>
        <w:pStyle w:val="Heading2"/>
      </w:pPr>
      <w:r>
        <w:t xml:space="preserve">Amenazas</w:t>
      </w:r>
    </w:p>
    <w:p>
      <w:pPr>
        <w:spacing w:after="100"/>
      </w:pPr>
      <w:r>
        <w:t xml:space="preserve">La amenaza principal es que un astillero coreano o chino imponga su propio sistema con el apoyo de su gobierno: Samsung, Hyundai, Hanwha y Jiangnan tienen sistemas aprobados, y China (25 % de los ingresos) añade riesgo de copia y de tensiones con EE. UU. [1]. Probabilidad baja a cinco años, porque las navieras y los fletadores eligen la tecnología y el fiasco del KC-1 pesa; mayor a diez [1]. Segunda amenaza: el precedente de la KFTC, que podría repetirse en otras jurisdicciones y presionar el canon [1]. En GNL como combustible la erosión ya ocurre: −36 % de ingresos en 2025 por los tanques tipo C chinos [2].</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p>
      <w:pPr>
        <w:spacing w:after="100"/>
      </w:pPr>
      <w:r>
        <w:t xml:space="preserve">Crecimiento anual compuesto 2020-2025: ingresos </w:t>
      </w:r>
      <w:r>
        <w:rPr>
          <w:b/>
          <w:bCs/>
        </w:rPr>
        <w:t xml:space="preserve">15,2 %</w:t>
      </w:r>
      <w:r>
        <w:t xml:space="preserve">, EBITDA </w:t>
      </w:r>
      <w:r>
        <w:rPr>
          <w:b/>
          <w:bCs/>
        </w:rPr>
        <w:t xml:space="preserve">17,4 %</w:t>
      </w:r>
      <w:r>
        <w:t xml:space="preserve">, BPA </w:t>
      </w:r>
      <w:r>
        <w:rPr>
          <w:b/>
          <w:bCs/>
        </w:rPr>
        <w:t xml:space="preserve">15,8 %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307 M en 2022 a 803 M en 2025 (+38 % anual en tres años) por los pedidos récord de metaneros de 2022 (162 buques) y 2023-2024 (73 y 72), que se facturan con dos o tres años de retraso [1, 2, 4, 5]. En 2026 caen ligeramente (guía de 740-780 M) porque 2025 solo trajo 37 pedidos; el repunte de 2026 (56 metaneros en el 1S) se verá en 2027-2028 [3]. El margen EBITDA recurrente subió del 52,4 % en 2022 al 67,5 % en 2025 y al 68,1 % en el 1S26: la base de costes es casi fija [3]. El beneficio publicado de 2025 (413,6 M) lleva 48,7 M de gastos no corrientes por la reestructuración de Elogen; 2023 y 2024 incluyen 8,9 y 21,0 M de ingresos no corrientes (reversión de un deterioro de una indemnización por uso no autorizado de patentes) [1, 4]. El motor los devuelve al EBITDA. El tipo impositivo efectivo es bajo (13,9 % en 2025) por el régimen francés de rentas de patentes [1].</w:t>
      </w:r>
    </w:p>
    <w:p>
      <w:pPr>
        <w:pStyle w:val="Heading2"/>
      </w:pPr>
      <w:r>
        <w:t xml:space="preserve">Ajustes y partidas no recurrentes</w:t>
      </w:r>
    </w:p>
    <w:p>
      <w:pPr>
        <w:spacing w:after="100"/>
      </w:pPr>
      <w:r>
        <w:t xml:space="preserve">GTT publica EBITDA y beneficio neto sin un BPA «ajustado»; usamos el BPA publicado para el objetivo a 12 meses y su historia, con la salvedad de 2025 (11,12 EUR), que sin Elogen habría sido de unos 12,4 EUR. El EBITDA recurrente de la empresa excluye el resultado no corriente: 541,8 M en 2025 frente a 493,1 M publicados con Elogen [2]. La compra de Danelec (194 M, agosto de 2025) añade unos 25 M de ingresos anuales y amortización de los activos de la compra; el LTM a junio de 2026 la incluye en su totalidad [3]. El régimen de patentes (tipo reducido del 10 % sobre las rentas de licencias) explica casi toda la diferencia entre el tipo efectivo y el general del 25,8 %; un cambio de ese régimen es un riesgo [1].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los resultados del 1S26 (28-jul-2026) la dirección, con François Michel en su primer semestre como consejero delegado, destacó el repunte comercial: 56 pedidos de metaneros en seis meses frente a 37 en todo 2025, el primer FLNG de EE. UU. (Delfin) y una cartera de 1.853 M de ingresos (+16 % en seis meses) [3, 12, 15]. Tras un primer trimestre de 193 M [11], los ingresos del semestre cayeron un 0,4 % (387,3 M frente a 388,7 M en el 1S25 [8]) y el EBITDA (263,6 M, margen del 68,1 %) quedó estable; el beneficio subió a 211 M por los ingresos financieros [3]. Confirmó la guía de 2026 (ingresos de 740-780 M, EBITDA de 490-530 M) y el dividendo del 80 % [3]. Frente a la presentación anual de febrero, el discurso pasó de «año de transición» a «nuevo ciclo», apoyado en las decisiones finales de inversión de licuefacción en EE. UU. y Qatar (84 Mtpa en diez proyectos decididos en 2025) [12]. Las preguntas repetidas fueron la competencia china en GNL como combustible, la capacidad de los astilleros para absorber pedidos y el plan estratégico del nuevo consejero delegado, que no dio cifras a medio plazo. Próxima cita: actividad del 3T26 el 23-oct-2026 tras el cierre [39].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(2025: Danelec, consolidada desde el 1-ago-2025 (194,1 M EUR en caja): entra entera en el balance y cinco meses en la cuenta (16,1 M de ingresos)).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GTT trabaja con circulante negativo o casi nulo: factura los cánones por hitos de construcción (corte del acero, quilla, botadura, entrega), y cuando entran muchos pedidos la facturación va por delante del ingreso reconocido (pasivos por contrato de 219,2 M en 2024) [1]. Al acercarse las entregas de los pedidos récord de 2022-2023 esos pasivos bajan (180,1 M en 2025) y la cuenta de clientes con activos por contrato sube: es el mismo ciclo, no un deterioro del cobro [1]. La deuda apareció en 2025 por primera vez desde la salida a bolsa: un préstamo de 120 M para comprar Danelec, del que quedan 90 M a 30-jun-2026 [2, 3]. Los años 2020-2023 se presentan sin el desglose de activos y pasivos por contrato, que el XBRL no publica por separado [9].</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1.313</w:t>
      </w:r>
      <w:r>
        <w:t xml:space="preserve">, conversión </w:t>
      </w:r>
      <w:r>
        <w:rPr>
          <w:b/>
          <w:bCs/>
        </w:rPr>
        <w:t xml:space="preserve">92 %</w:t>
      </w:r>
      <w:r>
        <w:t xml:space="preserve"> del beneficio neto; adquisiciones 220, dividendos 1.040, recompras 3.</w:t>
      </w:r>
    </w:p>
    <w:p>
      <w:pPr>
        <w:spacing w:after="100"/>
      </w:pPr>
      <w:r>
        <w:t xml:space="preserve">La conversión de beneficio en caja es alta y depende del calendario de facturación: el flujo operativo superó al beneficio neto en 2021 (212,9 frente a 134,1 M) por el cobro anticipado de los pedidos de 2021 y quedó por debajo en 2022 (138,9 frente a 128,3 M, con el circulante absorbiendo caja) [6, 7]. En 2025, 423,2 M de flujo operativo con 413,6 M de beneficio [2]. El capex es pequeño (40,3 M en 2025, 5 % de las ventas) y en 2023-2024 subió por la reforma de la sede y la gigafactoría de Elogen, ya parada; en 2024 se presenta neto de 17,3 M de subvenciones [2, 4]. Estimación propia: el capex de mantenimiento ronda las amortizaciones (unos 20-30 M). Los intereses cobrados por la caja (11,3 M en 2025) se clasifican en financiación y no entran en el FCF del informe [2].</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Audit y Cailliau Dedouit et Associés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auditadas por EY y Cailliau Dedouit con opinión favorable [1]. Lo que más conviene vigilar es el reconocimiento de ingresos por grado de avance: depende del calendario de construcción que comunican los astilleros, y un retraso en las entregas desplaza ingresos de un año a otro sin cambiar el total. Los activos por contrato (59,1 M) y los pasivos por contrato (180,1 M) recogen ese desfase [1]. Los indicadores: Altman Z de 13,68 (zona segura, sin deuda neta); Piotroski de 5 sobre 9 en 2025, con fallos en ROA, endeudamiento, liquidez y rotación por la compra de Danelec con deuda y la caída del margen publicado por Elogen, no por deterioro del negocio; Beneish de −1,73, poco fiable aquí porque el salto del índice de calidad del activo (2,99) es el fondo de comercio de Danelec. Los no recurrentes se explican uno a uno y la conversión del beneficio en caja es alta (flujo operativo de 423 M frente a 414 M de beneficio en 2025)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de 5 sobre 9</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de la compra de Danelec con un préstamo de 120 M y del cargo de Elogen; el margen recurrente sube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por encima de −1,78</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índice de calidad del activo salta por el fondo de comercio de Danelec (de 19 a 105 M); no es un indicio de manipulación.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por grado de avance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Dependen del calendario de los astilleros; los pasivos por contrato bajan de 219 a 180 M al acercarse las entregas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105 M en 2025 (el 24 % del capital invertido medio); ha subido más de un 5 % en 2 de 5 años: compra única grande. ROIC publicado 177,5 %; sin fondo de comercio, 235,0 %.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173,6 % · </w:t>
      </w:r>
      <w:r>
        <w:rPr>
          <w:b/>
          <w:bCs/>
        </w:rPr>
        <w:t xml:space="preserve">WACC</w:t>
      </w:r>
      <w:r>
        <w:t xml:space="preserve">: 8,6 %.</w:t>
      </w:r>
    </w:p>
    <w:p>
      <w:pPr>
        <w:spacing w:after="100"/>
      </w:pPr>
      <w:r>
        <w:t xml:space="preserve">GTT crea muchísimo valor: el ROIC fue del 177,5 % en 2025 frente a un WACC del 8,55 %, y del 170-303 % en 2020-2024. El capital invertido es minúsculo (unos 230 M en 2025, de los que 105 M son fondo de comercio de Danelec) porque el negocio es de licencias, sin fábricas ni existencias relevantes, y los astilleros prefinancian la obra. El ROIC incremental de 2020-2025 es del 173,6 %: el crecimiento de los ingresos no ha necesitado capital. La bajada de 2024 a 2025 (del 303 % al 178 %) es la compra de Danelec, que dobla el capital invertido con un negocio de margen mucho menor; la diversificación es la que diluye el rendimiento. El motor del ROIC es el margen (67,5 % de EBITDA), no la rotación. Ningún comparable se acerca: Alfa Laval rinde un 14,2 % y los astilleros coreanos un 14-21 % [31, 32, 33]. El dato es tan alto que la diferencia ROIC − WACC no discrimina; lo que importa es si el canon se mantiene.</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381,6 M EUR a 30-jun-2026 frente a 104,7 M de pasivos financieros (90 M del préstamo de Danelec y el resto arrendamientos y anticipos reembolsables): caja neta de 294,7 M según la empresa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Sin covenants relevantes publicados. Pensiones casi nulas: compromisos de 4,6 M EUR con 1,6 M de activos (3,0 M netos) [1]. Los pasivos por contrato (facturación de cánones por delante del avance de la obra) eran 180,1 M a cierre de 2025 frente a 219,2 M en 2024 y bajan cuando se acercan las entregas; los activos por contrato, 59,1 M [1]. Garantía matriz a Bpifrance por la financiación IPCEI de Elogen [1]. Ningún litigio significativo a 31-dic-2025 [1]. La decisión de la KFTC coreana (2020, firme en abril de 2023) permite a los astilleros coreanos pedir separar la licencia de la asistencia técnica; la empresa dice que no ha recibido ninguna petición [1].</w:t>
      </w:r>
    </w:p>
    <w:p>
      <w:pPr>
        <w:pStyle w:val="Heading1"/>
      </w:pPr>
      <w:r>
        <w:t xml:space="preserve">12. Asignación de capital</w:t>
      </w:r>
    </w:p>
    <w:p>
      <w:pPr>
        <w:pStyle w:val="Confianza"/>
        <w:spacing w:after="100"/>
      </w:pPr>
      <w:r>
        <w:t xml:space="preserve">Confianza: Media</w:t>
      </w:r>
    </w:p>
    <w:p>
      <w:pPr>
        <w:spacing w:after="100"/>
      </w:pPr>
      <w:r>
        <w:t xml:space="preserve">La política es repartir al menos el 80 % del beneficio neto consolidado, con un dividendo a cuenta en diciembre y el resto en junio, siempre que el resultado distribuible de la matriz lo permita [1, 2]. Dividendo de 2025: 8,94 EUR por acción (4,00 a cuenta pagados el 11-dic-2025 y 4,94 el 19-jun-2026), un 80 % del beneficio [2]. Para 2026, 4,30 EUR a cuenta el 10-dic-2026 [3]. No hay programa de recompra más allá del contrato de liquidez y de la cobertura de acciones gratuitas [1]. La caja restante se dedica a I+D (47,6 M EUR en 2025), a compras pequeñas en soluciones digitales y al fondo GTT Strategic Ventures [1,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Danelec (Dinamarca, registradores de datos de viaje y datos de buque)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 bancario de 120 M EUR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según el plan; 16,1 M de ingresos en cinco meses de 2025 y contratos con Petrobras y Petronas en 2026 [2,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VPS (Vessel Performance Solutions, Dinamarca)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GTT Marine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Areva H2Gen (hoy Elogen), electrolizadores PEM</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Fracaso: EBITDA de −33,3 M en 2024, gigafactoría de Vendôme abandonada y 48,7 M de gastos no corrientes en 2025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Marorka (Islandia) y OSE Engineering (Francia)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Base de Ascenz Marorka, integrada en GTT Marine [1]</w:t>
            </w:r>
          </w:p>
        </w:tc>
      </w:tr>
    </w:tbl>
    <w:p>
      <w:pPr>
        <w:spacing w:after="160" w:before="0"/>
      </w:pPr>
    </w:p>
    <w:p>
      <w:pPr>
        <w:spacing w:after="100"/>
      </w:pPr>
      <w:r>
        <w:t xml:space="preserve">La asignación del capital es buena en el negocio principal y mala en la diversificación. GTT reparte el 80 % del beneficio (290 M de dividendos en 2025) y no necesita invertir en el núcleo, así que la caja se acumula (382 M a junio de 2026) [2, 3]. Las compras fuera del núcleo han restado: Elogen (2020) acumuló pérdidas operativas (EBITDA de −33 M en 2024) y una gigafactoría abandonada, con 48,7 M de gastos no corrientes en 2025 [1, 2]; Danelec (194 M, 2025) es más coherente (datos de buques, junto a Ascenz Marorka y VPS) pero rinde mucho menos que el canon. Sin recompras ni dilución: 37,1-37,2 M de acciones desde 2020. El nuevo consejero delegado aún no ha presentado plan; el riesgo es que use la caja en más diversificación.</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François Michel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Politécnico e ingeniero de Minas; Alstom (marina y energía), Ministerio de Economía, FMI, Elíseo y Saint-Gobain [17]. Consejero delegado de John Cockerill desde 2022 (energía, defensa, hidrógeno) [17]. Lleva nueve meses en el cargo: sin historial medible en GTT.</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Philippe Berterottière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Dirigió GTT como presidente y consejero delegado de 2009 a 2024 (salida a bolsa en 2014 y ciclo récord de pedidos) y otra vez de feb-2025 a ene-2026 [1]. Tiene 179.528 acciones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Thierry Hochoa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GTT desde septiembre de 2023; antes, cargos financieros y de dirección en el grupo industrial Fives (vidrio, innovación)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Colson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comercial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la relación con astilleros y navieras; vendió 2.000 acciones el 2-ene-2026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Karim Chapot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técnico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Ingeniero de GTT desde hace casi 30 años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290-320 M EUR; EBITDA 140-170 M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307,3 M; EBITDA 161,1 M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385-430 M; EBITDA 190-235 M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427,7 M; EBITDA 234,5 M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600-640 M; EBITDA 345-385 M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641,4 M; EBITDA 388,1 M (por encima)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750-800 M; EBITDA 490-540 M (subida en octubre a 790-820 M y 530-550 M) [4,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803,0 M; EBITDA 541,8 M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740-780 M; EBITDA 490-530 M (confirmada el 28-jul) [2,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ingresos 387,3 M y EBITDA 263,6 M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ha cumplido o superado la guía de 2022, 2023, 2024 y 2025 (en 2025 la subió en octubre) [4, 10]. La cúpula ha cambiado dos veces en 24 meses: Jean-Baptiste Choimet salió en febrero de 2025 tras menos de un año, Philippe Berterottière volvió de forma interina y François Michel, que viene de John Cockerill y de Saint-Gobain, es consejero delegado desde enero de 2026 [1, 17]. Michel no tiene historial en GTT y aún no ha presentado un plan estratégico; Berterottière sigue de presidente y da continuidad. El director financiero, Thierry Hochoa, lleva desde 2023 [1]. Los directivos tienen pocas acciones (Berterottière el 0,48 %) y la única operación reciente es una venta pequeña del director comercial (2.000 acciones a 155,15 EUR el 2-ene-2026) [18].</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Philippe Berterottière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y RSC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François Michel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(no consejero según el URD)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Domitille Doat-Le Bigot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Carolle Foissaud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Luc Gillet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y RSC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Pierre Guiollot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Pascal Macioce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Catherine Ronge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remuneraciones y nombramientos;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Antoine Rostand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estrategia y RSC;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Sandra Lagumina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(cooptada el 10-jun-2026)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Philippe Berterottière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28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0,31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Cruzó al alza el 5 % el 7-may-2026 [21]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Subió al 5,01 % el 2-oct-2026 y volvió al 4,95 % el 6-oct (acciones en garantía) [19, 20]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 y empleados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31-mar-2026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de liquidez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Engie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Antiguo accionista de referencia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Vendió el resto de su participación en mayo de 2025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David Colson (director comercial)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0,85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En 2025 dirigió la empresa Philippe Berterottière como presidente y consejero delegado interino (9-feb a 31-dic): 0,42 M EUR de fijo, 0,31 M de variable (objetivos cumplidos al 103,9 %) y acciones de rendimiento valoradas en 0,85 M [1]. La política de 2026 para François Michel: 0,70 M de fijo, variable de hasta el 100 % (76 % cuantitativo: EBITDA, cuota de mercado en el negocio principal, ingresos y EBITDA digitales, pedidos de actividades nuevas; 21 % ligado a RSC) y un plan a largo plazo de hasta el 100 % del fijo con tres criterios a tres años: beneficio neto (40 %), RSC (30 %) y rentabilidad total frente a un índice de comparables (30 %) [1]. Premia beneficio y cuota, no crecimiento a cualquier precio. El código AFEP-MEDEF se aplica sin excepciones [1].</w:t>
      </w:r>
    </w:p>
    <w:p>
      <w:pPr>
        <w:pStyle w:val="Heading2"/>
      </w:pPr>
      <w:r>
        <w:t xml:space="preserve">Operaciones vinculadas, estructura de control y defensas</w:t>
      </w:r>
    </w:p>
    <w:p>
      <w:pPr>
        <w:spacing w:after="100"/>
      </w:pPr>
      <w:r>
        <w:t xml:space="preserve">No hay accionista de control: el 98,9 % del capital está en bolsa y los mayores tenedores son gestoras (FMR 5,12 %, BlackRock 4,95 %) [1, 19, 20, 21]. Una acción, un voto, sin derechos dobles en la práctica y sin pactos [1]. Engie, que llegó a tener el 40 %, salió del todo en mayo de 2025; su antiguo dominical, Pierre Guiollot, sigue como consejero no independiente hasta 2027 [1]. No se han identificado operaciones vinculadas relevantes ni blindajes. El tamaño (unos 7.700 M EUR) y la falta de un núcleo duro la hacen opable en teoría, pero el Estado francés vigila las tecnologías estratégicas y el ministro de Exteriores visitó la sede en septiembre de 2026.</w:t>
      </w:r>
    </w:p>
    <w:p>
      <w:pPr>
        <w:pStyle w:val="Heading2"/>
      </w:pPr>
      <w:r>
        <w:t xml:space="preserve">Señales de alerta</w:t>
      </w:r>
    </w:p>
    <w:p>
      <w:pPr>
        <w:pStyle w:val="ListParagraph"/>
        <w:numPr>
          <w:ilvl w:val="0"/>
          <w:numId w:val="2"/>
        </w:numPr>
        <w:spacing w:after="60"/>
      </w:pPr>
      <w:r>
        <w:t xml:space="preserve">Rotación en la cúpula: dimisión del consejero delegado Jean-Baptiste Choimet en febrero de 2025 tras ocho meses, interinidad del presidente y llegada de François Michel en enero de 2026 [1, 17].</w:t>
      </w:r>
    </w:p>
    <w:p>
      <w:pPr>
        <w:pStyle w:val="ListParagraph"/>
        <w:numPr>
          <w:ilvl w:val="0"/>
          <w:numId w:val="2"/>
        </w:numPr>
        <w:spacing w:after="60"/>
      </w:pPr>
      <w:r>
        <w:t xml:space="preserve">Sin consejero coordinador durante la interinidad de 2025, por decisión del consejo [1].</w:t>
      </w:r>
    </w:p>
    <w:p>
      <w:pPr>
        <w:pStyle w:val="ListParagraph"/>
        <w:numPr>
          <w:ilvl w:val="0"/>
          <w:numId w:val="2"/>
        </w:numPr>
        <w:spacing w:after="60"/>
      </w:pPr>
      <w:r>
        <w:t xml:space="preserve">Dimisión de la consejera independiente Virginie Banet en febrero de 2026, diez meses después de entrar [1, 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publicada el 19-feb-2026 y confirmada el 28-jul-2026: ingresos consolidados de 740-780 M EUR (803,0 M en 2025) y EBITDA de 490-530 M (541,8 M), con la política de dividendo (80 % del beneficio) mantenida [2, 3]. La cartera asegura 300 M de ingresos en el 2S26, 655 M en 2027, 603 M en 2028 y 295 M en 2029 y después [3]. No hay plan a medio plazo con cifras; la empresa estima unos 550 metaneros encargados en 2026-2035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12 analistas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12 analistas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234,25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184,00 – 275,00</w:t>
            </w:r>
          </w:p>
        </w:tc>
      </w:tr>
    </w:tbl>
    <w:p>
      <w:pPr>
        <w:spacing w:after="160" w:before="0"/>
      </w:pPr>
    </w:p>
    <w:p>
      <w:pPr>
        <w:pStyle w:val="Heading2"/>
      </w:pPr>
      <w:r>
        <w:t xml:space="preserve">Revisiones de estimaciones</w:t>
      </w:r>
    </w:p>
    <w:p>
      <w:pPr>
        <w:spacing w:after="100"/>
      </w:pPr>
      <w:r>
        <w:t xml:space="preserve">El consenso de Stock Analysis (S&amp;P Global, 11 analistas) coincide con el de MarketScreener: ingresos de 768 M en 2026 y 815 M en 2027, y BPA de 11,29 y 12,03 EUR [23, 26]. Los objetivos han subido en los últimos tres meses: UBS pasó a comprar (210 → 230 EUR, 3-ago), Berenberg a comprar (245 EUR, 3-sep), Barclays empezó con sobreponderar (275 EUR, 4-sep) y Cantor con sobreponderar (5-ago); en contra, Goldman Sachs mantiene neutral (200 EUR), Morgan Stanley vender (183 EUR) y AlphaValue/Baader bajó a vender (8-sep) [24, 26]. Las revisiones de BPA de 2026 han sido al alza (+7 % en junio, según el titular de MarketScreener) tras el repunte de pedidos [24].</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r>
    </w:tbl>
    <w:p>
      <w:pPr>
        <w:spacing w:after="160" w:before="0"/>
      </w:pPr>
    </w:p>
    <w:p>
      <w:pPr>
        <w:spacing w:after="100"/>
      </w:pPr>
      <w:r>
        <w:t xml:space="preserve">La acción ha subido un 39,9 % en un año con dividendos, frente al 14,3 % del STOXX Europe 600 y el 56,7 % del índice europeo de petróleo y gas, y un 30,9 % anual en cinco años [22]. Explican la subida el repunte de pedidos de metaneros (56 en el 1S26), las decisiones de inversión de licuefacción en EE. UU. y Qatar y las subidas de recomendación de UBS, Berenberg y Barclays en agosto y septiembre [3, 26]. Desde el máximo de 227 EUR (septiembre) cede un 6-9 %. Beta de 0,69 a cinco años, volatilidad del 24,4 % y posiciones cortas declaradas del 2,1 % del capital (Citadel, AHL y BlackRock) [22, 38]: hay fondos que apuestan por el fin del ciclo de pedidos.</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 / +14,4 % / +9,3 % / +35,7 %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 / +37,6 %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BlackRock cruzó al alza el 5 % del capital el 2-oct (5,01 %) y bajó de nuevo al 4,95 % el 6-oct; son movimientos de gestión pasiva, sin intención de control [19,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Posiciones cortas declaradas a la AMF: Citadel 0,80 %, AHL 0,70 % y BlackRock 0,61 %, unos 2,1 % del capital en total [38]. Nivel moderado; no hay un informe bajista publicado.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AlphaValue/Baader bajó a vender; Morgan Stanley mantiene vender (183 EUR) y Goldman Sachs neutral (200 EUR)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Barclays empezó con sobreponderar y 275 EUR; Berenberg pasó a comprar (245 EUR) el 3-sep y UBS a comprar (230 EUR) el 3-ago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FMR (Fidelity) declaró el 5,12 % del capital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Actividad del 3T26 (ingresos y pedidos) el 23-oct-2026 tras el cierre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en tendencia alcista (+35,7 % en un año, por encima de su media de 200 sesiones) y a un 6 % de su máximo histórico. No hay movimientos fuertes en seis meses: la mayor caída de un mes fue del −10,3 % (junio) y la mayor subida del +11,7 % (septiembre, con las subidas de recomendación). El 15-oct cayó un 2,9 % sin noticia que lo explique (buscado en la web de la empresa, la AMF, Boursorama, Investir y MarketScreener). Los resultados del 3T del 23-oct son solo de actividad (ingresos y pedidos) y la tendencia no es bajista: el veredicto es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beneficio de los últimos 12 meses, GTT cotiza a 17,3 veces y a 13,7 veces el EBITDA, por encima de su mediana de seis años, pero el PER adelantado (cierre de cada año ÷ BPA del año siguiente) estuvo entre 11,6 y 23,8 veces: 21,9x en 2020 y 23,8x en 2021, con el beneficio en el valle del ciclo; 18,4x en 2022; 12,8x en 2023 y 11,6x en 2024, con el beneficio en máximos; y 13,9x en 2025. El mercado paga menos múltiplo cuando el beneficio está en lo alto del ciclo, porque descuenta la bajada. Hoy paga 17,3 veces nuestro BPA de 2027 con un beneficio cerca de máximos: descuenta un ciclo de pedidos más largo que los anteriores, algo que los pedidos de 2026 apoyan pero aún no prueban.</w:t>
      </w:r>
    </w:p>
    <w:p>
      <w:pPr>
        <w:pStyle w:val="Heading1"/>
      </w:pPr>
      <w:r>
        <w:t xml:space="preserve">18. Comparables cotizados</w:t>
      </w:r>
    </w:p>
    <w:p>
      <w:pPr>
        <w:pStyle w:val="Confianza"/>
        <w:spacing w:after="100"/>
      </w:pPr>
      <w:r>
        <w:t xml:space="preserve">Confianza: Baja</w:t>
      </w:r>
    </w:p>
    <w:p>
      <w:pPr>
        <w:spacing w:after="100"/>
      </w:pPr>
      <w:r>
        <w:t xml:space="preserve">No hay otro licenciador cotizado de sistemas de contención: GTT es única. Se usan dos grupos con exposición al ciclo del GNL y del transporte marítimo, todos con consenso en Stock Analysis a 15-oct-2026: equipos y tecnología para energía y buques (Technip Energies, Wärtsilä, Alfa Laval, SBM Offshore) y los astilleros coreanos que construyen los metaneros (Samsung Heavy Industries y Hanwha Ocean) [14, 30, 31, 32, 33, 34]. Se excluyen HD Korea Shipbuilding (holding con un PER de 4,8x distorsionado por plusvalías) y Kongsberg (su perímetro cambia con la escisión de la división marítima). Ninguno tiene ni el margen ni el capital invertido de GTT: son referencia de múltiplo, no de calidad.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GTT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Technip Energies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Wärtsilä</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Alfa Laval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Samsung Heavy Industries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Hanwha Ocean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SBM Offshore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 / 11,7x / 15,4x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232,75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 / 13,1x / 21,5x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256,61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 / 1,9x / 2,4x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GTT cotiza a 17,3 veces el beneficio de los próximos 12 meses, por encima de la mediana de 13,1 de los seis comparables, con prima frente a los astilleros (Samsung Heavy 13,7x, Hanwha Ocean 9,6x) y Technip Energies (12,5x), y descuento frente a Wärtsilä (24,1x) y Alfa Laval (25,6x) [14, 30, 31, 32, 33, 34]. Ninguno tiene su margen (67,5 % frente a 6-31 %) ni su ROIC, así que el múltiplo mediano infravalora el negocio: con él la acción valdría 156,35 EUR por PER y 178,41 por EV/EBITDA. Lo justo es un múltiplo entre el de los astilleros (mismo ciclo) y el de los fabricantes de equipos de calidad (Alfa Laval, Wärtsilä): 16-18 veces, que es lo que ya paga el mercado. Peso del 15 % por esta falta de comparables puros.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 tecnología y equipos de licuefacción de GNL de Air Products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Honeywell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de proceso de GNL con equipos propios (intercambiadores) [35]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Sundyne (bombas y compresores criogénicos y de proceso)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Honeywell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Equipos críticos con mucho posventa; múltiplo ajustado por impuestos [36]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Chart Industries (equipos criogénicos y de GNL)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Baker Hughes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sobre el EBITDA ajustado de 2024 (cálculo propio: 13.600 / 1.000 M USD); unas 9 veces el EBITDA de 2025 con sinergias según el comprador [37]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Danelec (registradores de datos de viaje)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GTT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 neto en caja de 194,1 M EUR; GTT no publicó múltiplo [2]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13,6x (13,3x – 14,1x)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201,75 – 212,69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compras recientes de tecnología y equipos de GNL se pagaron a 13-14,5 veces el EBITDA: Honeywell compró el negocio de licuefacción de Air Products a unas 13 veces y Sundyne a 14,5 veces, y Baker Hughes pagó 13,6 veces por Chart Industries [35, 36, 37]. Aplicadas al EBITDA de GTT dan 206,13 EUR por acción, casi el precio de hoy. Son negocios con fábricas y márgenes del 20-25 %, no licenciadores; un comprador pagaría más por el margen de GTT y menos por su ciclo. No hay accionista de control y la empresa es opable en teoría, pero el Estado francés vigila las tecnologías estratégicas (control de inversiones extranjeras). No ponderamos este método.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Ventas de 765 M en 2026 (−4,7 %), en el centro de la guía de 740-780 M [3]; 820 M en 2027 (+7,2 %) y 900 M en 2028 (+9,8 %), en línea con el consenso (815 y 898 M) [23] y apoyadas en la cartera asegurada (655 M en 2027 y 603 M en 2028, más servicios, GTT Marine y los pedidos que entren) [3]. Después, estancamiento en 2029 y caída del 3 % en 2030-2031 por el valle del ciclo, y vuelta al +2,5 % en 2032. La historia: los ingresos cayeron un 21 % en 2021 y un 2 % en 2022 tras el valle de pedidos de 2018-2020 [7]. El crecimiento medio de 2027-2032 es del 2,6 %.</w:t>
      </w:r>
    </w:p>
    <w:p>
      <w:pPr>
        <w:keepNext/>
        <w:spacing w:after="100"/>
      </w:pPr>
      <w:r>
        <w:rPr>
          <w:b/>
          <w:bCs/>
        </w:rPr>
        <w:t xml:space="preserve">Márgenes.</w:t>
      </w:r>
    </w:p>
    <w:p>
      <w:pPr>
        <w:spacing w:after="100"/>
      </w:pPr>
      <w:r>
        <w:t xml:space="preserve">Margen EBITDA del 67,5 % en 2026, en el centro de la guía (490-530 M sobre 740-780 M) [3], y bajada gradual al 65 % en 2031 por la mayor parte de servicios y GTT Marine (margen menor) y la inflación de costes de ingeniería. Precedente: el margen fue del 52-55 % en el valle de 2021-2022 con ingresos de 300 M; con 860-920 M de ventas no hay razón para que vuelva ahí.</w:t>
      </w:r>
    </w:p>
    <w:p>
      <w:pPr>
        <w:keepNext/>
        <w:spacing w:after="100"/>
      </w:pPr>
      <w:r>
        <w:rPr>
          <w:b/>
          <w:bCs/>
        </w:rPr>
        <w:t xml:space="preserve">Inversión y circulante.</w:t>
      </w:r>
    </w:p>
    <w:p>
      <w:pPr>
        <w:spacing w:after="100"/>
      </w:pPr>
      <w:r>
        <w:t xml:space="preserve">Capex del 3,5-4,0 % de las ventas (5,0 % en 2025 con la reforma de la sede y la gigafactoría de Elogen, ya abandonada) [2]; amortización del 3,3-3,8 % con la de los activos de la compra de Danelec. Circulante casi nulo (0,5-1 % de las ventas, 0,5 % en 2025): los astilleros pagan por hitos. Impuesto del 15-17 % por el régimen de patentes (13,9 % en 2025) [1].</w:t>
      </w:r>
    </w:p>
    <w:p>
      <w:pPr>
        <w:keepNext/>
        <w:spacing w:after="100"/>
      </w:pPr>
      <w:r>
        <w:rPr>
          <w:b/>
          <w:bCs/>
        </w:rPr>
        <w:t xml:space="preserve">Coste del capital.</w:t>
      </w:r>
    </w:p>
    <w:p>
      <w:pPr>
        <w:spacing w:after="100"/>
      </w:pPr>
      <w:r>
        <w:t xml:space="preserve">Tasa libre del 3,45 % (Bund a 10 años del 15-oct) [27]; beta de 0,85, por encima de la medida a cinco años frente al índice (0,69) para recoger la ciclicidad de los pedidos; prima del 5,5 % más 0,5 puntos por la concentración en un solo producto y en tres astilleros coreanos; coste de la deuda del 3,5 % y peso de la deuda del 1,3 %. WACC del 8,55 %. Con la prima implícita de Damodaran (4,2 %) sería del 7,46 % [28].</w:t>
      </w:r>
    </w:p>
    <w:p>
      <w:pPr>
        <w:keepNext/>
        <w:spacing w:after="100"/>
      </w:pPr>
      <w:r>
        <w:rPr>
          <w:b/>
          <w:bCs/>
        </w:rPr>
        <w:t xml:space="preserve">Valor terminal.</w:t>
      </w:r>
    </w:p>
    <w:p>
      <w:pPr>
        <w:spacing w:after="100"/>
      </w:pPr>
      <w:r>
        <w:t xml:space="preserve">Gordon con un crecimiento del 2,0 %, la inflación del euro, sin crecimiento real: el GNL es un mercado maduro a largo plazo y el riesgo de transición energética pesa. El valor terminal es el 66 % del valor. Implica 12,2 veces el EBITDA terminal, por debajo de las 13,7 veces de hoy.</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174,96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205,60</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M (1 %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 (reinvierte el 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 (histórico: 173,6 %)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 frente al 1,5 %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16 M, el 1 % del NOPAT, con un capex bruto medio del 3,6 % de las ventas). En un negocio de activos ligeros, el crecimiento medio del 1,5 %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−8 %: menos entregas tras los 37 pedidos de 2025; otros +2,3 % por Danelec todo el año; precio +1 %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por la cartera (655 M asegurados) y los 56 pedidos del 1S26; precio +1,5 %; consenso +6 % [3, 23].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Pico de facturación de los pedidos de 2026; consenso +10 % [23].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asegurada baja a 295 M para 2029 y después: depende de los pedidos de 2027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Valle del ciclo: menos pedidos tras dos años altos, como en 2020-2022.</w:t>
            </w:r>
          </w:p>
        </w:tc>
      </w:tr>
    </w:tbl>
    <w:p>
      <w:pPr>
        <w:spacing w:after="160" w:before="0"/>
      </w:pPr>
    </w:p>
    <w:p>
      <w:pPr>
        <w:spacing w:after="100"/>
      </w:pPr>
      <w:r>
        <w:t xml:space="preserve">La calidad sostiene de sobra el crecimiento proyectado, que es pequeño. Las tres pruebas: (1) el crecimiento medio proyectado (1,5 % anual con 2026) está muy por debajo del histórico (TCAC del 15,2 %) y no necesita inversión neta; el motor coincide en «Sí»; (2) la proyección no supone ningún rendimiento sobre nueva inversión: el negocio crece sin capital (ROIC incremental histórico del 173,6 %); (3) la cuota se prueba a mano: GTT ya tiene el 100 % de los metaneros grandes y nuestros ingresos de 2028 (900 M) son la cartera ya asegurada para ese año (603 M) más servicios, GTT Marine y la parte de los pedidos de 2026-2027 que se facture en 2028, frente a una previsión de la empresa de unos 550 metaneros encargados en 2026-2035 [3, 12]: no hace falta ganar cuota, sino que se mantenga. El riesgo no es la sostenibilidad del crecimiento sino el ciclo y la competencia, que van en los escenarios.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 (base: 2,6 %)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74,1 % (base: 65,0 %)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 (WACC: 8,6 %)</w:t>
            </w:r>
          </w:p>
        </w:tc>
      </w:tr>
    </w:tbl>
    <w:p>
      <w:pPr>
        <w:spacing w:after="160" w:before="0"/>
      </w:pPr>
    </w:p>
    <w:p>
      <w:pPr>
        <w:spacing w:after="100"/>
      </w:pPr>
      <w:r>
        <w:t xml:space="preserve">El DCF da 181,76 EUR por acción, un 12,2 % por debajo del precio de 207,00, con el valor terminal en el 66 %. El DCF inverso dice que a este precio el mercado descuenta un crecimiento del 5,4 % anual en 2027-2032 (nuestro base: 2,6 %) y una rentabilidad implícita del 7,7 % frente a nuestro WACC del 8,55 %. Es decir, el mercado no espera el valle de 2030-2031 que proyectamos: supone un ciclo de pedidos más largo, sostenido por la ola de licuefacción en EE. UU. y Qatar. Con la prima del mercado (4,2 %) el valor sería de 215,19 EUR, algo por encima del precio. La conclusión: el precio es exigente para un negocio cíclico, aunque no absurdo si el ciclo actual dura más que los anteriores.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repunte de pedidos de 2026 no se sostiene: los pedidos bajan a 30-40 metaneros al año desde 2027, los ingresos caen desde 2029 y GTT Marine no compensa. Crecimiento 4 puntos menor cada año y margen 2,5 puntos más bajo.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2026 cumplida, pico de facturación en 2028 (900 M) con la cartera actual y valle moderado en 2030-2031; margen EBITDA del 65-67 %.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207,28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ola de licuefacción en EE. UU., Qatar y África mantiene más de 70 pedidos de metaneros al año hasta 2030 y llegan los primeros de amoniaco: crecimiento 2,5 puntos mayor y margen 1 punto más alto.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207,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178,98 EUR (-13,5 %).</w:t>
      </w:r>
    </w:p>
    <w:p>
      <w:pPr>
        <w:spacing w:after="100"/>
      </w:pPr>
      <w:r>
        <w:t xml:space="preserve">La asimetría del valor intrínseco es desfavorable: el bajista vale 145,12 EUR (−29,9 %) y el alcista 207,28 (+0,1 %), es decir, ni el caso alcista del DCF supera el precio. A 12 meses la regla de múltiplos es más generosa: el bajista da 135,60 EUR (11,6 veces, el mínimo adelantado de cinco años, de 2024) y el alcista 236,98 (17,0 veces); la ponderada es del −1,0 %. El bajista a 12 meses es verosímil: en 2024 el mercado pagaba 11,6 veces el beneficio del año siguiente con los pedidos en máximos. Se arriesga más de lo que se gana.</w:t>
      </w:r>
    </w:p>
    <w:p>
      <w:pPr>
        <w:pStyle w:val="Heading1"/>
      </w:pPr>
      <w:r>
        <w:t xml:space="preserve">22. Suma de partes</w:t>
      </w:r>
    </w:p>
    <w:p>
      <w:pPr>
        <w:pStyle w:val="Confianza"/>
        <w:spacing w:after="100"/>
      </w:pPr>
      <w:r>
        <w:t xml:space="preserve">Confianza: Media</w:t>
      </w:r>
    </w:p>
    <w:p>
      <w:pPr>
        <w:spacing w:after="100"/>
      </w:pPr>
      <w:r>
        <w:t xml:space="preserve">No aplica: los servicios y GTT Marine (7 % de los ingresos) y Elogen (menos del 1 %) no cambian el valor, que es el canon de los sistemas de contención.</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207,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256,61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208,03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176,98 EUR (-14,5 % sobre 207,00).</w:t>
      </w:r>
    </w:p>
    <w:p>
      <w:pPr>
        <w:spacing w:after="100"/>
      </w:pPr>
      <w:r>
        <w:t xml:space="preserve">Pesos: DCF 50 %, escenarios 35 % y comparables 15 %; transacciones 0 % porque son negocios con fábricas y márgenes del 20-25 %, no licenciadores. El DCF es el método más fiable para un negocio con cartera de tres años y sin necesidad de capital; los comparables pesan poco porque ninguno tiene el margen de GTT y su mediana (13,1 veces) infravalora el canon. La dispersión es alta: de 145,12 (bajista) a 207,28 (alcista), con el DCF en 181,76, los comparables por PER en 156,35 y las transacciones en 206,13. El valor intrínseco ponderado es de 176,98 EUR, un 14,5 % por debajo del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(17.3x) ÷ 1.1 (tope: la mediana de 5 años, 13.9x,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236,98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+18,8 %</w:t>
            </w:r>
          </w:p>
        </w:tc>
      </w:tr>
    </w:tbl>
    <w:p>
      <w:pPr>
        <w:spacing w:after="160" w:before="0"/>
      </w:pPr>
    </w:p>
    <w:p>
      <w:pPr>
        <w:spacing w:after="100"/>
      </w:pPr>
      <w:r>
        <w:rPr>
          <w:b/>
          <w:bCs/>
        </w:rPr>
        <w:t xml:space="preserve">Objetivo a 12 meses (ponderado):</w:t>
      </w:r>
      <w:r>
        <w:t xml:space="preserve"> 195,98 EUR · rentabilidad -1,0 % (base +3,7 %) · señal Mantener.</w:t>
      </w:r>
    </w:p>
    <w:p>
      <w:pPr>
        <w:spacing w:after="100"/>
      </w:pPr>
      <w:r>
        <w:t xml:space="preserve">Para comparar, con el tope anterior del base (×1,3, 14-oct mediodía): -1,6 % Mantener. Decide la regla vigente (v3 con tope ×1,1; METODO-VIGENTE.md).</w:t>
      </w:r>
    </w:p>
    <w:p>
      <w:pPr>
        <w:keepNext/>
        <w:spacing w:after="100"/>
      </w:pPr>
      <w:r>
        <w:rPr>
          <w:b/>
          <w:bCs/>
        </w:rPr>
        <w:t xml:space="preserve">Frente al consenso (solo contraste).</w:t>
      </w:r>
    </w:p>
    <w:p>
      <w:pPr>
        <w:spacing w:after="100"/>
      </w:pPr>
      <w:r>
        <w:t xml:space="preserve">Nuestro BPA de 2028 (13,10 EUR) está un 2,3 % por debajo del consenso (13,41) [23]: mismas ventas y algo menos de margen por la mayor parte de servicios. La diferencia es de múltiplo: nuestro base (205,67 EUR) aplica 15,7 veces y queda un 12,2 % por debajo del objetivo medio de los 12 analistas (234,25), que equivale a unas 17,5 veces el BPA de 2028 o 19 veces el de 2027. Los analistas suponen que el mercado mantiene el múltiplo de hoy; la regla común supone que se acerca a la mediana adelantada (13,9x), que es lo que el mercado ha pagado cuando el beneficio estaba en máximos.</w:t>
      </w:r>
    </w:p>
    <w:p>
      <w:pPr>
        <w:keepNext/>
        <w:spacing w:after="100"/>
      </w:pPr>
      <w:r>
        <w:rPr>
          <w:b/>
          <w:bCs/>
        </w:rPr>
        <w:t xml:space="preserve">Del valor intrínseco al objetivo a 12 meses.</w:t>
      </w:r>
    </w:p>
    <w:p>
      <w:pPr>
        <w:spacing w:after="100"/>
      </w:pPr>
      <w:r>
        <w:t xml:space="preserve">El objetivo a 12 meses (195,98 EUR) está un 10,7 % por encima del valor intrínseco (176,98). La distancia sale del ciclo: la regla a 12 meses mira el BPA de 2028, el pico de facturación de la cartera actual, mientras el DCF descuenta también el valle de 2030-2031 que proyectamos. Para cerrarla hacia arriba haría falta que los pedidos de 2027-2028 se mantengan por encima de 60 metaneros al año, lo que eliminaría el valle; la guía de 2027 (febrero) y los pedidos de 2027 son la prueba.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Actividad del 3T26 (ingresos y pedidos)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Ritmo de pedidos de metaneros en el 3T y confirmación de la guía de 2026 [39].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a cuenta de 4,30 EUR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Apoyo pequeño; confirma el reparto del 80 % [3].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guía de 2027 y posible plan estratégico del nuevo consejero delegado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la cartera de 655 M para 2027; el plan dirá qué hará con la caja (diversificación o reparto) [3].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Decisiones finales de inversión de licuefacción (EE. UU., Qatar, Mozambique)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planta grande genera pedidos de 10-20 metaneros dos o tres años después [12].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pedidos de amoniaco y etano en membranas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Abriría un mercado nuevo para el canon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Ley de finanzas francesa y régimen de patentes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endurecimiento del tipo reducido de las rentas de patentes subiría el impuesto del 14 % al 25 % y restaría un 13 % al beneficio.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del ciclo de pedidos de metaneros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a −35 % (bajista a 12 meses de 135,60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1.853 M que cubre 2027-2028 y previsión de 550 metaneros en 2026-2035 [3,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de 40 pedidos de metaneros en un año o caída de la cartera por debajo de 1.500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Sistemas propios de astilleros coreanos o chinos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o más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fletadores exigen tecnología probada; el fiasco del KC-1 coreano pesa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primer pedido de metanero grande con tecnología no GTT.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china en GNL como combustible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Pesa menos del 5 % de los ingresos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buques de GNL como combustible por debajo de 40 unidades.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del régimen fiscal de patentes en Francia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Fiscal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Régimen alineado con el enfoque nexo de la OCDE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Proyecto de ley de finanzas que toque el artículo 238 del código fiscal.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competencia (KFTC y otras)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astillero ha pedido aún separar licencia y asistencia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investigación en China o una petición formal de un astillero coreano.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GNL a largo plazo (transición energética)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en el valor terminal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Previsiones de Shell y Wood Mackenzie de +50-60 % de demanda hasta 2040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a la baja de la demanda de GNL de la AIE o cancelaciones de plantas.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Diversificación que destruye valor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Elogen ya reducida a I+D; reparto del 80 % del beneficio [1,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compra grande fuera del núcleo en el plan del nuevo consejero delegado.</w:t>
            </w:r>
          </w:p>
        </w:tc>
      </w:tr>
    </w:tbl>
    <w:p>
      <w:pPr>
        <w:spacing w:after="160" w:before="0"/>
      </w:pPr>
    </w:p>
    <w:p>
      <w:pPr>
        <w:pStyle w:val="Heading2"/>
      </w:pPr>
      <w:r>
        <w:t xml:space="preserve">Pre-mortem</w:t>
      </w:r>
    </w:p>
    <w:p>
      <w:pPr>
        <w:spacing w:after="100"/>
      </w:pPr>
      <w:r>
        <w:t xml:space="preserve">Octubre de 2029: la acción ha perdido un 45 %. El repunte de pedidos de 2026 resultó ser el último coletazo del ciclo: con la flota creciendo más deprisa que la demanda, los fletes cayeron en 2027 y los pedidos bajaron a 25 al año en 2028-2029. Los ingresos, que dependían de la cartera, empezaron a caer en 2029 y el mercado, como en 2020-2021, adelantó la bajada vendiendo con dos años de antelación. A la vez, un astillero chino entregó el primer metanero grande con tecnología propia para un fletador chino, y la autoridad china de competencia abrió una investigación sobre el canon. El nuevo consejero delegado usó 400 M de caja en una compra de servicios digitales que rinde un 8 %. El BPA de 2028 se quedó en 11 EUR y el múltiplo en 10 veces. Los indicadores que lo habrían anticipado: pedidos de metaneros por debajo de 40 en 2027, un pedido de metanero grande con tecnología no GTT y una compra fuera del núcleo de más de 200 M.</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±3 % a 3-5 años</w:t>
      </w:r>
    </w:p>
    <w:p>
      <w:pPr>
        <w:spacing w:after="100"/>
      </w:pPr>
      <w:r>
        <w:t xml:space="preserve">El negocio de GTT es propiedad intelectual de ingeniería probada en el mar: patentes, 60 años de datos de comportamiento de las membranas, aprobaciones de las sociedades de clasificación y la confianza de los fletadores. La IA no reemplaza nada de eso; puede abaratar el diseño y acelerar la ingeniería de los competidores (astilleros con sistemas propios), pero la barrera es la validación en servicio, no el cálculo. Es una oportunidad en GTT Marine (7 % de los ingresos): la optimización de rutas, del consumo y de la evaporación con datos de la flota es un uso directo de la IA, y Danelec aporta los datos de los registradores de viaje [1]. En costes, 862 empleados casi todos ingenieros pueden ganar productividad. Neto, efecto pequeño. Señal: aprobación por las sociedades de clasificación de un sistema de contención diseñado por un competidor en mucho menos tiempo del habitual.</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BBB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17,5 (riesgo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CDP Clima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Lo material es la exposición al gas fósil: casi todo el negocio depende de que se construyan metaneros, y una transición más rápida hacia renovables bajaría la demanda de GNL a partir de 2035 [1]. Las taxonomías penalizan: solo el 2,4 % de los ingresos de 2025 eran elegibles y alineados con la taxonomía europea [1]. Como contrapeso, la tecnología reduce la evaporación del GNL y las emisiones de los buques (metaneros de tres tanques con un 6 % menos de evaporación; tanques preparados para amoniaco) [2, 3]. El hidrógeno (Elogen) se ha reducido a I+D tras perder 33 M de EBITDA en 2024 [2].</w:t>
      </w:r>
    </w:p>
    <w:p>
      <w:pPr>
        <w:pStyle w:val="Heading2"/>
      </w:pPr>
      <w:r>
        <w:t xml:space="preserve">Controversias</w:t>
      </w:r>
    </w:p>
    <w:p>
      <w:pPr>
        <w:spacing w:after="100"/>
      </w:pPr>
      <w:r>
        <w:t xml:space="preserve">Sin sanciones ni litigios significativos en 2023-2025 según el URD [1]. La única decisión adversa es la de la KFTC coreana sobre la venta conjunta de licencia y asistencia técnica, firme desde abril de 2023 y sin efecto financiero según la empresa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pedidos de metaneros prevé la empresa para 2027-2028 y cuál es la capacidad de los astilleros coreanos y chinos?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de 2029-2030 dependen de los pedidos de 2027-2028 y nuestro base supone una caída del 3 % anual en 2030-2031.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Estrategia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plan tiene François Michel para la caja (382 M) y la diversificación?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Elogen destruyó valor; una compra grande cambiaría el ROIC y el dividendo.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algún fletador que haya aceptado un sistema de contención no GTT para un metanero grande?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Sería la primera grieta del 100 % de cuota.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protección tienen las patentes en China y qué peso tendrán los astilleros chinos en la cartera?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es el 25 % de los ingresos y crece.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Fiscalidad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beneficio se acoge al régimen de patentes y qué pasaría si cambia?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tipo efectivo del 14 % frente al 25,8 % general vale un 13 % del beneficio.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Canon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¿Cómo ha evolucionado el canon por buque en términos reales desde 2020?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indicador del poder de precios; la empresa no lo publica.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GTT): pedidos y posiciones cortas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Celebran cada pedido de metaneros y no entienden las posiciones cortas; esperan unos resultados del 3T sin sorpresas [40].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nuevo astillero chino licenciatario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Debate sobre si los astilleros chinos acabarán copiando la tecnología; la mayoría cree que queda mucho para eso y valora la visibilidad y la caja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amoniaco y notas de analistas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Dudan de que GTT gane transportes de amoniaco (los armadores eligen tanques tipo A o B) y comentan la subida de las previsiones de pedidos a diez años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Boursorama: valor de rendimiento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antiguos que compraron a 40-50 EUR destacan la rentabilidad acumulada y el dividendo [43].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Ritmo de pedidos de metaneros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apoyan: 56 metaneros en el 1S26 frente a 37 en todo 2025, y la cartera asegura 655 M de ingresos en 2027 [3]. Pero el precio ya lo recoge: 17,3 veces nuestro BPA de 2027.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Copia de la tecnología por astilleros chinos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real que el informe recoge: China ya es el 25 % de los ingresos y la empresa lo cita como riesgo de propiedad intelectual [1].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Posiciones cortas de fondos cuantitativos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cortas declaradas suman en torno al 2,1 % del capital (Citadel, AHL, BlackRock), un nivel moderado; no hay un informe bajista publicado [38].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reparto del 80 % del beneficio da una rentabilidad por dividendo del 4,3 % al precio actual [2].</w:t>
            </w:r>
          </w:p>
        </w:tc>
      </w:tr>
    </w:tbl>
    <w:p>
      <w:pPr>
        <w:spacing w:after="160" w:before="0"/>
      </w:pPr>
    </w:p>
    <w:p>
      <w:pPr>
        <w:spacing w:after="100"/>
      </w:pPr>
      <w:r>
        <w:t xml:space="preserve">El inversor particular francés es positivo con GTT: en el foro de Boursorama se celebran los pedidos de metaneros y el dividendo, y la discusión bajista se centra en las posiciones cortas de fondos cuantitativos y en la llegada de nuevos astilleros chinos licenciatarios, que unos ven como riesgo de copia y otros como más clientes [40, 41, 43]. No hay euforia ni capitulación. Coincide con nuestra lectura en el negocio (ciclo de pedidos en repunte) y aporta un riesgo que pesamos más que los analistas: la competencia china a largo plazo [41, 42]. Contradice al consenso de analistas (12, objetivo medio de 234,25 EUR) solo en que no discute la valoración [24].</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19 controles correctos. Fuentes: 43 (22 primarias); citas distintas en el texto: 42.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0,5 % frente a 0,5 %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43 fuentes (22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comparación con el consenso de cada semestre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GTT (no publican consenso); 2) MarketScreener (solo estimaciones actuales); 3) prensa (Investir, Les Echos: sin cifra de consenso previa citada)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por segmento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nota de segmentos (solo EBITDA de Elogen); 2) presentaciones de resultados (sin margen por línea); 3) notas de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mercado en euros y segunda fuente independiente de pedidos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(pedidos según Clarksons y GTT, en unidades); 2) presentación del 1S26 (demanda en Mtpa de Shell y Wood Mackenzie); 3) Clarksons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 los competidores en sistemas de contención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(no publica cifras de competidores); 2) Saipem e IHI (no desglosan Moss ni SPB); 3) Kogas (KC LNG Tech no publica cuentas)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la junta sobre remuneración (2024-2026)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(solo recoge los votos de la remuneración del consejo, 98,1 %); 2) web de la junta de GTT (sin acta de votaciones descargable); 3) BALO y prensa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 de remuneración del primer ejecutivo sobre el salario medio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cap. 4 (no localizado en el texto extraído); 2) búsqueda de «ratio» en el URD; 3) informe de remuneraciones de la junta (no publicado aparte)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de recomendaciones de los analistas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la media «comprar» y 12 analistas); 2) Stock Analysis (cambios recientes, sin reparto completo); 3) Investing (bloqueado en este entorno)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de los próximos 12 meses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(solo EBITDA de los últimos 12 meses); 2) MarketScreener (403 sin navegador); 3) informes de cada comparable (sin consenso de EBITDA en la misma base)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y EV/EBITDA adelantados publicados por un proveedor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2026-2027); 2) Stock Analysis (PER adelantado de cada cierre, sin fuente del BPA); 3) informes anuales (no publican múltiplos)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en inglés (Reddit, Seeking Alpha,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Seeking Alpha (RSS de GTTOF sin entradas); 2) Reddit (403 en este entorno); 3) Stocktwits (sin flujo de GTT.PA)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Universal Registration Document 2025 (cuentas consolidadas NIIF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https://www.gtt.fr/sites/default/files/GTT%20-%202025%20Universal%20Registration%20Document%202_0.pdf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 2025 results – Press release (cuenta, balance y flujos 2024-2025,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https://www.gtt.fr/sites/default/files/GTT%20-%20FY%202025%20results%20-%20Press%20Release.pdf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half 2026 results – Press release (estados financieros a 30-jun-2026, cartera, guía)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https://www.gtt.fr/sites/default/files/GTT%20-%20First%20Half%202026%20results%20-%20Press%20Release_0.pdf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2024 Results – Presentation (cuentas 2023-2024, BPA 2018-2024, guía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https://www.gtt.fr/sites/default/files/GTT%20-%20FY%202024%20Results%20-%20Presentation.pdf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2023 Investor Presentation (cuentas 2022-2023, guía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https://www.gtt.fr/sites/default/files/IR%20-%20Investor%20Presentation%20-%20FY2023_26022024-3_4.pdf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2022 Investor Presentation (cuentas 2021-2022, desglose de ingresos, guía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https://www.gtt.fr/sites/default/files/IR%20-%20Investor%20Presentation%20-%20FY%202022_1.pdf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2021 Investor Presentation (cuentas 2020-2021, guía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https://www.gtt.fr/sites/default/files/20220218%20-%20FY%202021%20-%20Investor%20Presentation.pdf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half 2025 results – Press release (1S25 y 1S24)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https://www.gtt.fr/sites/default/files/GTT%20-%20First%20Half%202025%20results%20-%20press%20release.pdf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Estados financieros XBRL (ESEF) 2020-2025 de GTT (LEI 969500BVOHVZUUFWDT54)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International /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https://filings.xbrl.org/969500BVOHVZUUFWDT54/2025-12-31/ESEF/FR/0/969500BVOHVZUUFWDT54-2025-12-31-1-FR/reports/969500BVOHVZUUFWDT54-2025-12-31-1-FR.xhtml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Revenue of 600 million euros for the first nine months of 2025; annual objectives revised upwards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https://www.gtt.fr/news/revenue-600-million-euros-first-nine-months-2025-strong-growth-29-annual-objectives-revised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Strong commercial momentum in the first quarter of 2026: revenues of 193 million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https://www.gtt.fr/news/strong-commercial-momentum-first-quarter-2026-revenues-193-million-euros-line-expectations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2026 Results – Presentation (pedidos, FID de licuefacción, previsiones de pedidos a 10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https://www.gtt.fr/sites/default/files/GTT%20-%20H1%202026%20Results%20-%20Presentation.pdf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presentation FY 2025 &amp; Q1 2026 (mayo-junio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https://www.gtt.fr/sites/default/files/GTT%20-%20IR%20-%20FY%202025%20%26%20Q1%202026%20-%20May%20%26%20June%202026.pdf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Wärtsilä: estadísticas y previsiones (ingresos, márgenes)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https://stockanalysis.com/quote/hel/WRT1V/statistics/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GTT signe une commande de cuves pour deux nouveaux méthaniers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Investir – Les Echos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https://investir.lesechos.fr/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GTT, le champion qui règne sur les cuves de méthaniers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 Point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https://www.lepoint.fr/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Appointment of François Michel as Chief Executive Officer of the GTT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https://www.gtt.fr/news/appointment-francois-michel-chief-executive-officer-gtt-group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 declaración de operación de directivo 2026DD1101511 (venta de 2.000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https://bdif.amf-france.org/back/api/v1/documents/2026/2026DD1101511/FDD30501F39BB7B6A96115758529E1A3E7529C13388C9DA0C1B927B94420ED8A.pdf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declaración de cruce de umbral 226C1709 (BlackRock, 5,01 %)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https://bdif.amf-france.org/back/api/v1/documents/2026/226C1709/D9F56E014BD33A86D4093714E25206C3072C94D673EB9AE5EE71FC6728D9580B.pdf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declaración de cruce de umbral 226C1726 (BlackRock, 4,95 %)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https://bdif.amf-france.org/back/api/v1/documents/2026/226C1726/415F634D654206C2811C32411BBBBAF9F3EC3A28DC80C77848DA39012DB017F6.pdf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declaración de cruce de umbral 226C0677 (FMR, 5,12 %)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https://bdif.amf-france.org/back/api/v1/documents/2026/226C0677/CA06A5F0E46035639516009170EE4CD631E2992608F091F1FACB5B3CF18B972B.pdf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GTT.PA, EXSA.DE y EXH1.DE (precio, rentabilidades, beta, volatilidad)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https://finance.yahoo.com/quote/GTT.PA/history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GTT: Financial Data Forecasts Estimates and Expectations (consenso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https://www.marketscreener.com/quote/stock/GAZTRANSPORT-TECHNIGAZ-15821825/finances/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GTT: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https://www.marketscreener.com/quote/stock/GAZTRANSPORT-TECHNIGAZ-15821825/consensus/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Gaztransport &amp; Technigaz (EPA:GTT): estadísticas, cierre del 15-oct-2026 y acciones en circulación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https://stockanalysis.com/quote/epa/GTT/statistics/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Gaztransport &amp; Technigaz: previsiones y cambios de recomendación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https://stockanalysis.com/quote/epa/GTT/forecast/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(3,45 % el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estadísticas y previsiones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https://stockanalysis.com/quote/epa/TE/statistics/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Alfa Laval: estadísticas y previsiones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https://stockanalysis.com/quote/sto/ALFA/statistics/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Samsung Heavy Industries: estadísticas y previsiones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https://stockanalysis.com/quote/krx/010140/statistics/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Hanwha Ocean: estadísticas y previsiones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https://stockanalysis.com/quote/krx/042660/statistics/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SBM Offshore: estadísticas y previsiones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https://stockanalysis.com/quote/ams/SBMO/statistics/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Honeywell to acquire Air Products’ LNG process technology and equipment business (1.810 M USD, unas 13 veces el EBITDA estimado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Honeywell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https://www.honeywell.com/us/en/press/2024/07/honeywell-to-acquire-air-products-liquefied-natural-gas-process-technology-and-equipment-business-to-expand-energy-transition-solutions-and-services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Honeywell to acquire Sundyne (2.160 M USD, unas 14,5 veces el EBITDA de 2024 ajustado por impuestos)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Honeywell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https://www.honeywell.com/us/en/press/2025/03/honeywell-to-acquire-sundyne-to-expand-critical-equipment-portfolio-and-aftermarket-services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Baker Hughes to acquire Chart Industries (valor empresa de 13.600 M USD; Chart: 4.200 M de ingresos y 1.000 M de EBITDA ajustado en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LNG Industry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https://www.lngindustry.com/liquid-natural-gas/30072025/baker-hughes-to-acquire-chart-industries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posiciones cortas netas declaradas sobre GTT (Citadel 0,80 % a 14-oct; AHL 0,70 % a 9-oct; BlackRock 0,61 % a 30-sep-2026)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https://bdif.amf-france.org/back/api/v1/documents/2026/2026E1144394/4497C2F78C2F6499076323863695C9E805982339A2EB87276CD99C2F685FBBFF.pdf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Calendario financiero de GTT (actividad del 3T26 el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https://www.gtt.fr/financial-calendar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GTT en Boursorama: hilos «Update positions short» y «Blackrock au-dessus des 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https://www.boursorama.com/bourse/forum/1rPGTT/detail/468568438/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GTT en Boursorama: hilo sobre Hengli Dalian, nuevo astillero de metaneros licenciatario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https://www.boursorama.com/bourse/forum/1rPGTT/detail/468520552/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GTT en Boursorama: hilos «Où en est GTT sur l’ammoniac ?» y comentarios de Kepler Cheuvreux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https://www.boursorama.com/bourse/forum/1rPGTT/detail/468554504/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GTT en Boursorama: hilo «une belle valeur de rendement»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https://www.boursorama.com/bourse/forum/1rPGTT/detail/468414720/</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90,5 %</w:t>
      </w:r>
      <w:r>
        <w:t xml:space="preserve"> · Secciones con menos del 60 % de campos cubiertos: </w:t>
      </w:r>
      <w:r>
        <w:rPr>
          <w:b/>
          <w:bCs/>
        </w:rPr>
        <w:t xml:space="preserve">ninguna</w:t>
      </w:r>
      <w:r>
        <w:t xml:space="preserve"> · Generado el 16 oct 2026.</w:t>
      </w:r>
    </w:p>
    <w:p>
      <w:pPr>
        <w:pStyle w:val="Nota"/>
        <w:spacing w:after="100"/>
      </w:pPr>
      <w:r>
        <w:t xml:space="preserve">Línea cotizada: Gaztransport &amp; Technigaz SA en Euronext París (GTT), en EUR, la divisa de las cuentas. Precio: 207,00 EUR, último precio de la sesión del 15-oct-2026 en los datos intradía de Yahoo (15:37 UTC), confirmado como cierre en Stock Analysis [22, 25]; el histórico diario de Yahoo aún no publicaba ese cierre y el bloque de movimiento se calcula con el cierre del 14-oct (213,20). Las cuentas 2020-2025 salen del XBRL ESEF [9] y se comprueban con el URD 2025 y las notas de resultados [1, 2]. La empresa presenta la cuenta por naturaleza: el EBIT publicado incluye el resultado no corriente, que se devuelve al EBITDA (2025: 48,7 M de la reestructuración de Elogen). Los activos y pasivos por contrato solo se desglosan en 2024-2025; en 2020-2023 la deuda es la de arrendamientos. No hay resultado por segmento publicado: solo ingresos. El BPA del objetivo a 12 meses es el BPA publicado (sin ajustes: la empresa no publica un BPA ajustado). Los comparables no son licenciadores (no hay otro cotizado): son referencias de múltiplo del ciclo del GNL, con cifras de Stock Analysis del 15-oct-2026 [14, 30, 31, 32, 33, 34].</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Gaztransport &amp; Technigaz SA (GTT)</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207,00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(153,80 – 227,00)</c:v>
                </c:pt>
                <c:pt idx="1">
                  <c:v>Precio objetivo de los analistas (184,00 – 275,00)</c:v>
                </c:pt>
                <c:pt idx="2">
                  <c:v>Comparables: PER NTM (123,23 – 256,61)</c:v>
                </c:pt>
                <c:pt idx="3">
                  <c:v>Transacciones precedentes (EV/EBITDA) (201,75 – 212,69)</c:v>
                </c:pt>
                <c:pt idx="4">
                  <c:v>DCF (WACC y g ± 0,5) (162,61 – 207,72)</c:v>
                </c:pt>
                <c:pt idx="5">
                  <c:v>Escenarios (bajista – alcista) (145,12 – 207,28)</c:v>
                </c:pt>
                <c:pt idx="6">
                  <c:v>DCF con la prima implícita del mercado (4,2 %)</c:v>
                </c:pt>
                <c:pt idx="7">
                  <c:v>Precio actual (207,00)</c:v>
                </c:pt>
              </c:strCache>
            </c:strRef>
          </c:cat>
          <c:val>
            <c:numRef>
              <c:f>Hoja1!$B$2:$B$9</c:f>
              <c:numCache>
                <c:formatCode>#,##0</c:formatCode>
                <c:ptCount val="8"/>
                <c:pt idx="0">
                  <c:v>153.8</c:v>
                </c:pt>
                <c:pt idx="1">
                  <c:v>184</c:v>
                </c:pt>
                <c:pt idx="2">
                  <c:v>123.23</c:v>
                </c:pt>
                <c:pt idx="3">
                  <c:v>201.75</c:v>
                </c:pt>
                <c:pt idx="4">
                  <c:v>162.61</c:v>
                </c:pt>
                <c:pt idx="5">
                  <c:v>145.12</c:v>
                </c:pt>
                <c:pt idx="6">
                  <c:v>198.34</c:v>
                </c:pt>
                <c:pt idx="7">
                  <c:v>205.97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(153,80 – 227,00)</c:v>
                </c:pt>
                <c:pt idx="1">
                  <c:v>Precio objetivo de los analistas (184,00 – 275,00)</c:v>
                </c:pt>
                <c:pt idx="2">
                  <c:v>Comparables: PER NTM (123,23 – 256,61)</c:v>
                </c:pt>
                <c:pt idx="3">
                  <c:v>Transacciones precedentes (EV/EBITDA) (201,75 – 212,69)</c:v>
                </c:pt>
                <c:pt idx="4">
                  <c:v>DCF (WACC y g ± 0,5) (162,61 – 207,72)</c:v>
                </c:pt>
                <c:pt idx="5">
                  <c:v>Escenarios (bajista – alcista) (145,12 – 207,28)</c:v>
                </c:pt>
                <c:pt idx="6">
                  <c:v>DCF con la prima implícita del mercado (4,2 %)</c:v>
                </c:pt>
                <c:pt idx="7">
                  <c:v>Precio actual (207,00)</c:v>
                </c:pt>
              </c:strCache>
            </c:strRef>
          </c:cat>
          <c:val>
            <c:numRef>
              <c:f>Hoja1!$C$2:$C$9</c:f>
              <c:numCache>
                <c:formatCode>#,##0</c:formatCode>
                <c:ptCount val="8"/>
                <c:pt idx="0">
                  <c:v>73.19999999999999</c:v>
                </c:pt>
                <c:pt idx="1">
                  <c:v>91</c:v>
                </c:pt>
                <c:pt idx="2">
                  <c:v>133.38</c:v>
                </c:pt>
                <c:pt idx="3">
                  <c:v>10.939999999999998</c:v>
                </c:pt>
                <c:pt idx="4">
                  <c:v>45.109999999999985</c:v>
                </c:pt>
                <c:pt idx="5">
                  <c:v>62.16</c:v>
                </c:pt>
                <c:pt idx="6">
                  <c:v>37.099999999999994</c:v>
                </c:pt>
                <c:pt idx="7">
                  <c:v>2.0600000000000023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Sistemas de contención (cánones de nuevas construcciones)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292.4</c:v>
                </c:pt>
                <c:pt idx="1">
                  <c:v>279.5</c:v>
                </c:pt>
                <c:pt idx="2">
                  <c:v>389.5</c:v>
                </c:pt>
                <c:pt idx="3">
                  <c:v>591.1</c:v>
                </c:pt>
                <c:pt idx="4">
                  <c:v>739.3</c:v>
                </c:pt>
              </c:numCache>
            </c:numRef>
          </c:val>
        </c:ser>
        <c:ser>
          <c:idx val="1"/>
          <c:order val="1"/>
          <c:tx>
            <c:strRef>
              <c:f>Hoja1!$C$1</c:f>
              <c:strCache>
                <c:ptCount val="1"/>
                <c:pt idx="0">
                  <c:v>Servicios y soluciones marinas y digitales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17.4</c:v>
                </c:pt>
                <c:pt idx="1">
                  <c:v>23.1</c:v>
                </c:pt>
                <c:pt idx="2">
                  <c:v>28.1</c:v>
                </c:pt>
                <c:pt idx="3">
                  <c:v>38.9</c:v>
                </c:pt>
                <c:pt idx="4">
                  <c:v>59.1</c:v>
                </c:pt>
              </c:numCache>
            </c:numRef>
          </c:val>
        </c:ser>
        <c:ser>
          <c:idx val="2"/>
          <c:order val="2"/>
          <c:tx>
            <c:strRef>
              <c:f>Hoja1!$D$1</c:f>
              <c:strCache>
                <c:ptCount val="1"/>
                <c:pt idx="0">
                  <c:v>Electrolizadores (Elogen)</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5</c:v>
                </c:pt>
                <c:pt idx="1">
                  <c:v>4.7</c:v>
                </c:pt>
                <c:pt idx="2">
                  <c:v>10.1</c:v>
                </c:pt>
                <c:pt idx="3">
                  <c:v>11.4</c:v>
                </c:pt>
                <c:pt idx="4">
                  <c:v>4.6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Sistemas de contención (cánones de nuevas construcciones)</c:v>
                </c:pt>
                <c:pt idx="1">
                  <c:v>Servicios y soluciones marinas y digitales</c:v>
                </c:pt>
                <c:pt idx="2">
                  <c:v>Electrolizadores (Elogen)</c:v>
                </c:pt>
              </c:strCache>
            </c:strRef>
          </c:cat>
          <c:val>
            <c:numRef>
              <c:f>Hoja1!$B$2:$B$4</c:f>
              <c:numCache>
                <c:formatCode>General</c:formatCode>
                <c:ptCount val="3"/>
                <c:pt idx="0">
                  <c:v>92.1</c:v>
                </c:pt>
                <c:pt idx="1">
                  <c:v>7.4</c:v>
                </c:pt>
                <c:pt idx="2">
                  <c:v>0.6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Corea del Sur</c:v>
                </c:pt>
                <c:pt idx="1">
                  <c:v>China</c:v>
                </c:pt>
                <c:pt idx="2">
                  <c:v>Otros</c:v>
                </c:pt>
              </c:strCache>
            </c:strRef>
          </c:cat>
          <c:val>
            <c:numRef>
              <c:f>Hoja1!$B$2:$B$4</c:f>
              <c:numCache>
                <c:formatCode>0"%"</c:formatCode>
                <c:ptCount val="3"/>
                <c:pt idx="0">
                  <c:v>68</c:v>
                </c:pt>
                <c:pt idx="1">
                  <c:v>25</c:v>
                </c:pt>
                <c:pt idx="2">
                  <c:v>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(metaneros encargados al año (unidades))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48</c:v>
                </c:pt>
                <c:pt idx="1">
                  <c:v>57</c:v>
                </c:pt>
                <c:pt idx="2">
                  <c:v>41</c:v>
                </c:pt>
                <c:pt idx="3">
                  <c:v>68</c:v>
                </c:pt>
                <c:pt idx="4">
                  <c:v>162</c:v>
                </c:pt>
                <c:pt idx="5">
                  <c:v>73</c:v>
                </c:pt>
                <c:pt idx="6">
                  <c:v>72</c:v>
                </c:pt>
                <c:pt idx="7">
                  <c:v>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1</c:v>
                </c:pt>
                <c:pt idx="1">
                  <c:v>3</c:v>
                </c:pt>
                <c:pt idx="2">
                  <c:v>1</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GTT</c:v>
                </c:pt>
                <c:pt idx="1">
                  <c:v>Moss Maritime (grupo Saipem)</c:v>
                </c:pt>
                <c:pt idx="2">
                  <c:v>KC LNG Tech (Kogas y astilleros coreanos), KC-1 y KC-2</c:v>
                </c:pt>
                <c:pt idx="3">
                  <c:v>IHI (SPB, tipo B prismático)</c:v>
                </c:pt>
                <c:pt idx="4">
                  <c:v>Samsung Heavy Industries, Hyundai Heavy Industries, Hanwha Ocean y Jiangnan (sistemas propios)</c:v>
                </c:pt>
                <c:pt idx="5">
                  <c:v>Wärtsilä</c:v>
                </c:pt>
              </c:strCache>
            </c:strRef>
          </c:cat>
          <c:val>
            <c:numRef>
              <c:f>Hoja1!$B$2:$B$7</c:f>
              <c:numCache>
                <c:formatCode>0.0"%"</c:formatCode>
                <c:ptCount val="6"/>
                <c:pt idx="0">
                  <c:v>64.9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5</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Hoja1!$B$2:$B$14</c:f>
              <c:numCache>
                <c:formatCode>#,##0</c:formatCode>
                <c:ptCount val="13"/>
                <c:pt idx="0">
                  <c:v>396.4</c:v>
                </c:pt>
                <c:pt idx="1">
                  <c:v>314.7</c:v>
                </c:pt>
                <c:pt idx="2">
                  <c:v>307.3</c:v>
                </c:pt>
                <c:pt idx="3">
                  <c:v>427.7</c:v>
                </c:pt>
                <c:pt idx="4">
                  <c:v>641.4</c:v>
                </c:pt>
                <c:pt idx="5">
                  <c:v>803</c:v>
                </c:pt>
                <c:pt idx="6">
                  <c:v>765</c:v>
                </c:pt>
                <c:pt idx="7">
                  <c:v>820</c:v>
                </c:pt>
                <c:pt idx="8">
                  <c:v>901</c:v>
                </c:pt>
                <c:pt idx="9">
                  <c:v>919</c:v>
                </c:pt>
                <c:pt idx="10">
                  <c:v>891</c:v>
                </c:pt>
                <c:pt idx="11">
                  <c:v>864</c:v>
                </c:pt>
                <c:pt idx="12">
                  <c:v>886</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Hoja1!$C$2:$C$14</c:f>
              <c:numCache>
                <c:formatCode>#,##0</c:formatCode>
                <c:ptCount val="13"/>
                <c:pt idx="0">
                  <c:v>242.7</c:v>
                </c:pt>
                <c:pt idx="1">
                  <c:v>172.2</c:v>
                </c:pt>
                <c:pt idx="2">
                  <c:v>161.1</c:v>
                </c:pt>
                <c:pt idx="3">
                  <c:v>234.5</c:v>
                </c:pt>
                <c:pt idx="4">
                  <c:v>388.1</c:v>
                </c:pt>
                <c:pt idx="5">
                  <c:v>541.8000000000001</c:v>
                </c:pt>
                <c:pt idx="6">
                  <c:v>517</c:v>
                </c:pt>
                <c:pt idx="7">
                  <c:v>550</c:v>
                </c:pt>
                <c:pt idx="8">
                  <c:v>604</c:v>
                </c:pt>
                <c:pt idx="9">
                  <c:v>611</c:v>
                </c:pt>
                <c:pt idx="10">
                  <c:v>584</c:v>
                </c:pt>
                <c:pt idx="11">
                  <c:v>562</c:v>
                </c:pt>
                <c:pt idx="12">
                  <c:v>576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97.8</c:v>
                </c:pt>
                <c:pt idx="1">
                  <c:v>96</c:v>
                </c:pt>
                <c:pt idx="2">
                  <c:v>95.6</c:v>
                </c:pt>
                <c:pt idx="3">
                  <c:v>95.8</c:v>
                </c:pt>
                <c:pt idx="4">
                  <c:v>95.6</c:v>
                </c:pt>
                <c:pt idx="5">
                  <c:v>97.5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61.2</c:v>
                </c:pt>
                <c:pt idx="1">
                  <c:v>54.7</c:v>
                </c:pt>
                <c:pt idx="2">
                  <c:v>52.4</c:v>
                </c:pt>
                <c:pt idx="3">
                  <c:v>54.8</c:v>
                </c:pt>
                <c:pt idx="4">
                  <c:v>60.5</c:v>
                </c:pt>
                <c:pt idx="5">
                  <c:v>67.5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59.6</c:v>
                </c:pt>
                <c:pt idx="1">
                  <c:v>52.3</c:v>
                </c:pt>
                <c:pt idx="2">
                  <c:v>49.5</c:v>
                </c:pt>
                <c:pt idx="3">
                  <c:v>52.3</c:v>
                </c:pt>
                <c:pt idx="4">
                  <c:v>58.4</c:v>
                </c:pt>
                <c:pt idx="5">
                  <c:v>64.9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50.2</c:v>
                </c:pt>
                <c:pt idx="1">
                  <c:v>42.6</c:v>
                </c:pt>
                <c:pt idx="2">
                  <c:v>41.8</c:v>
                </c:pt>
                <c:pt idx="3">
                  <c:v>47.1</c:v>
                </c:pt>
                <c:pt idx="4">
                  <c:v>54.2</c:v>
                </c:pt>
                <c:pt idx="5">
                  <c:v>51.5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0">
                  <c:v>65.8</c:v>
                </c:pt>
                <c:pt idx="1">
                  <c:v>38.7</c:v>
                </c:pt>
                <c:pt idx="2">
                  <c:v>31.9</c:v>
                </c:pt>
                <c:pt idx="3">
                  <c:v>19.5</c:v>
                </c:pt>
                <c:pt idx="4">
                  <c:v>-0.4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95</c:v>
                </c:pt>
                <c:pt idx="1">
                  <c:v>82</c:v>
                </c:pt>
                <c:pt idx="2">
                  <c:v>140</c:v>
                </c:pt>
                <c:pt idx="3">
                  <c:v>135</c:v>
                </c:pt>
                <c:pt idx="4">
                  <c:v>78</c:v>
                </c:pt>
                <c:pt idx="5">
                  <c:v>59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4">
                  <c:v>43</c:v>
                </c:pt>
                <c:pt idx="5">
                  <c:v>35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43</c:v>
                </c:pt>
                <c:pt idx="1">
                  <c:v>55</c:v>
                </c:pt>
                <c:pt idx="2">
                  <c:v>59</c:v>
                </c:pt>
                <c:pt idx="3">
                  <c:v>61</c:v>
                </c:pt>
                <c:pt idx="4">
                  <c:v>64</c:v>
                </c:pt>
                <c:pt idx="5">
                  <c:v>43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137.50000000000003</c:v>
                </c:pt>
                <c:pt idx="1">
                  <c:v>194.4</c:v>
                </c:pt>
                <c:pt idx="2">
                  <c:v>117.60000000000001</c:v>
                </c:pt>
                <c:pt idx="3">
                  <c:v>171.6</c:v>
                </c:pt>
                <c:pt idx="4">
                  <c:v>314.3</c:v>
                </c:pt>
                <c:pt idx="5">
                  <c:v>377.59999999999997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198.9</c:v>
                </c:pt>
                <c:pt idx="1">
                  <c:v>134.1</c:v>
                </c:pt>
                <c:pt idx="2">
                  <c:v>128.3</c:v>
                </c:pt>
                <c:pt idx="3">
                  <c:v>201.4</c:v>
                </c:pt>
                <c:pt idx="4">
                  <c:v>347.8</c:v>
                </c:pt>
                <c:pt idx="5">
                  <c:v>413.6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183.5</c:v>
                </c:pt>
                <c:pt idx="1">
                  <c:v>170.7</c:v>
                </c:pt>
                <c:pt idx="2">
                  <c:v>258.1</c:v>
                </c:pt>
                <c:pt idx="3">
                  <c:v>298.1</c:v>
                </c:pt>
                <c:pt idx="4">
                  <c:v>303</c:v>
                </c:pt>
                <c:pt idx="5">
                  <c:v>177.5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8.5</c:v>
                </c:pt>
                <c:pt idx="1">
                  <c:v>8.5</c:v>
                </c:pt>
                <c:pt idx="2">
                  <c:v>8.5</c:v>
                </c:pt>
                <c:pt idx="3">
                  <c:v>8.5</c:v>
                </c:pt>
                <c:pt idx="4">
                  <c:v>8.5</c:v>
                </c:pt>
                <c:pt idx="5">
                  <c:v>8.5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81.5</c:v>
                </c:pt>
                <c:pt idx="1">
                  <c:v>54.5</c:v>
                </c:pt>
                <c:pt idx="2">
                  <c:v>50.6</c:v>
                </c:pt>
                <c:pt idx="3">
                  <c:v>67.6</c:v>
                </c:pt>
                <c:pt idx="4">
                  <c:v>87.2</c:v>
                </c:pt>
                <c:pt idx="5">
                  <c:v>78.8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-0.56</c:v>
                </c:pt>
                <c:pt idx="1">
                  <c:v>-1.16</c:v>
                </c:pt>
                <c:pt idx="2">
                  <c:v>-1.3</c:v>
                </c:pt>
                <c:pt idx="3">
                  <c:v>-1.11</c:v>
                </c:pt>
                <c:pt idx="4">
                  <c:v>-0.84</c:v>
                </c:pt>
                <c:pt idx="5">
                  <c:v>-0.4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c:v>
                </c:pt>
                <c:pt idx="2">
                  <c:v>2028</c:v>
                </c:pt>
                <c:pt idx="3">
                  <c:v>2029+</c:v>
                </c:pt>
              </c:strCache>
            </c:strRef>
          </c:cat>
          <c:val>
            <c:numRef>
              <c:f>Hoja1!$B$2:$B$5</c:f>
              <c:numCache>
                <c:formatCode>#,##0</c:formatCode>
                <c:ptCount val="4"/>
                <c:pt idx="0">
                  <c:v>40.3</c:v>
                </c:pt>
                <c:pt idx="1">
                  <c:v>40</c:v>
                </c:pt>
                <c:pt idx="2">
                  <c:v>30</c:v>
                </c:pt>
                <c:pt idx="3">
                  <c:v>18.3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8</c:v>
                </c:pt>
                <c:pt idx="1">
                  <c:v>0</c:v>
                </c:pt>
                <c:pt idx="2">
                  <c:v>2.3</c:v>
                </c:pt>
                <c:pt idx="3">
                  <c:v>4.1</c:v>
                </c:pt>
                <c:pt idx="4">
                  <c:v>11.6</c:v>
                </c:pt>
                <c:pt idx="5">
                  <c:v>194.1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157.6</c:v>
                </c:pt>
                <c:pt idx="1">
                  <c:v>115.7</c:v>
                </c:pt>
                <c:pt idx="2">
                  <c:v>121.8</c:v>
                </c:pt>
                <c:pt idx="3">
                  <c:v>125.6</c:v>
                </c:pt>
                <c:pt idx="4">
                  <c:v>228.9</c:v>
                </c:pt>
                <c:pt idx="5">
                  <c:v>290.2</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0.1</c:v>
                </c:pt>
                <c:pt idx="2">
                  <c:v>0</c:v>
                </c:pt>
                <c:pt idx="3">
                  <c:v>0</c:v>
                </c:pt>
                <c:pt idx="4">
                  <c:v>2.5</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Ejecutivo</c:v>
                </c:pt>
                <c:pt idx="2">
                  <c:v>Independiente</c:v>
                </c:pt>
              </c:strCache>
            </c:strRef>
          </c:cat>
          <c:val>
            <c:numRef>
              <c:f>Hoja1!$B$2:$B$4</c:f>
              <c:numCache>
                <c:formatCode>0</c:formatCode>
                <c:ptCount val="3"/>
                <c:pt idx="0">
                  <c:v>2</c:v>
                </c:pt>
                <c:pt idx="1">
                  <c:v>1</c:v>
                </c:pt>
                <c:pt idx="2">
                  <c:v>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FMR (Fidelity)</c:v>
                </c:pt>
                <c:pt idx="1">
                  <c:v>BlackRock</c:v>
                </c:pt>
                <c:pt idx="2">
                  <c:v>Directivos y empleados</c:v>
                </c:pt>
                <c:pt idx="3">
                  <c:v>Autocartera</c:v>
                </c:pt>
                <c:pt idx="4">
                  <c:v>Engie</c:v>
                </c:pt>
              </c:strCache>
            </c:strRef>
          </c:cat>
          <c:val>
            <c:numRef>
              <c:f>Hoja1!$B$2:$B$6</c:f>
              <c:numCache>
                <c:formatCode>0.0"%"</c:formatCode>
                <c:ptCount val="5"/>
                <c:pt idx="0">
                  <c:v>5.12</c:v>
                </c:pt>
                <c:pt idx="1">
                  <c:v>4.95</c:v>
                </c:pt>
                <c:pt idx="2">
                  <c:v>1</c:v>
                </c:pt>
                <c:pt idx="3">
                  <c:v>0.1</c:v>
                </c:pt>
                <c:pt idx="4">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16.3</c:v>
                </c:pt>
                <c:pt idx="1">
                  <c:v>30.2</c:v>
                </c:pt>
                <c:pt idx="2">
                  <c:v>40.5</c:v>
                </c:pt>
                <c:pt idx="3">
                  <c:v>32.4</c:v>
                </c:pt>
                <c:pt idx="4">
                  <c:v>-2.2</c:v>
                </c:pt>
                <c:pt idx="5">
                  <c:v>8.8</c:v>
                </c:pt>
                <c:pt idx="6">
                  <c:v>24.9</c:v>
                </c:pt>
                <c:pt idx="7">
                  <c:v>24</c:v>
                </c:pt>
                <c:pt idx="8">
                  <c:v>12.7</c:v>
                </c:pt>
                <c:pt idx="9">
                  <c:v>27.6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1.6</c:v>
                </c:pt>
                <c:pt idx="1">
                  <c:v>10.7</c:v>
                </c:pt>
                <c:pt idx="2">
                  <c:v>-11</c:v>
                </c:pt>
                <c:pt idx="3">
                  <c:v>28.4</c:v>
                </c:pt>
                <c:pt idx="4">
                  <c:v>-1.8</c:v>
                </c:pt>
                <c:pt idx="5">
                  <c:v>24.6</c:v>
                </c:pt>
                <c:pt idx="6">
                  <c:v>-10.3</c:v>
                </c:pt>
                <c:pt idx="7">
                  <c:v>15.5</c:v>
                </c:pt>
                <c:pt idx="8">
                  <c:v>8.5</c:v>
                </c:pt>
                <c:pt idx="9">
                  <c:v>20.5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11.6</c:v>
                </c:pt>
                <c:pt idx="1">
                  <c:v>16.6</c:v>
                </c:pt>
                <c:pt idx="2">
                  <c:v>21.6</c:v>
                </c:pt>
                <c:pt idx="3">
                  <c:v>17.9</c:v>
                </c:pt>
                <c:pt idx="4">
                  <c:v>11.5</c:v>
                </c:pt>
                <c:pt idx="5">
                  <c:v>10.3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14.1</c:v>
                </c:pt>
                <c:pt idx="1">
                  <c:v>14.1</c:v>
                </c:pt>
                <c:pt idx="2">
                  <c:v>14.1</c:v>
                </c:pt>
                <c:pt idx="3">
                  <c:v>14.1</c:v>
                </c:pt>
                <c:pt idx="4">
                  <c:v>14.1</c:v>
                </c:pt>
                <c:pt idx="5">
                  <c:v>14.1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GTT</c:v>
                </c:pt>
                <c:pt idx="1">
                  <c:v>Technip Energies</c:v>
                </c:pt>
                <c:pt idx="2">
                  <c:v>Wärtsilä</c:v>
                </c:pt>
                <c:pt idx="3">
                  <c:v>Alfa Laval</c:v>
                </c:pt>
                <c:pt idx="4">
                  <c:v>Samsung Heavy Industries</c:v>
                </c:pt>
                <c:pt idx="5">
                  <c:v>Hanwha Ocean</c:v>
                </c:pt>
                <c:pt idx="6">
                  <c:v>SBM Offshore</c:v>
                </c:pt>
              </c:strCache>
            </c:strRef>
          </c:cat>
          <c:val>
            <c:numRef>
              <c:f>Hoja1!$B$2:$B$8</c:f>
              <c:numCache>
                <c:formatCode>0.0"x"</c:formatCode>
                <c:ptCount val="7"/>
                <c:pt idx="0">
                  <c:v>13.6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Negocio de tecnología y equipos de licuefacción de GNL de Air Products</c:v>
                </c:pt>
                <c:pt idx="1">
                  <c:v>Sundyne (bombas y compresores criogénicos y de proceso)</c:v>
                </c:pt>
                <c:pt idx="2">
                  <c:v>Chart Industries (equipos criogénicos y de GNL)</c:v>
                </c:pt>
                <c:pt idx="3">
                  <c:v>Danelec (registradores de datos de viaje)</c:v>
                </c:pt>
              </c:strCache>
            </c:strRef>
          </c:cat>
          <c:val>
            <c:numRef>
              <c:f>Hoja1!$B$2:$B$5</c:f>
              <c:numCache>
                <c:formatCode>0.0"x"</c:formatCode>
                <c:ptCount val="4"/>
                <c:pt idx="0">
                  <c:v>13</c:v>
                </c:pt>
                <c:pt idx="1">
                  <c:v>14.5</c:v>
                </c:pt>
                <c:pt idx="2">
                  <c:v>13.6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413</c:v>
                </c:pt>
                <c:pt idx="1">
                  <c:v>433</c:v>
                </c:pt>
                <c:pt idx="2">
                  <c:v>479</c:v>
                </c:pt>
                <c:pt idx="3">
                  <c:v>486</c:v>
                </c:pt>
                <c:pt idx="4">
                  <c:v>461</c:v>
                </c:pt>
                <c:pt idx="5">
                  <c:v>444</c:v>
                </c:pt>
                <c:pt idx="6">
                  <c:v>452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2223</c:v>
                </c:pt>
                <c:pt idx="1">
                  <c:v>4230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207,00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145.12</c:v>
                </c:pt>
                <c:pt idx="1">
                  <c:v>181.76</c:v>
                </c:pt>
                <c:pt idx="2">
                  <c:v>207.28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207,00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(153,80 – 227,00)</c:v>
                </c:pt>
                <c:pt idx="1">
                  <c:v>Precio objetivo de los analistas (184,00 – 275,00)</c:v>
                </c:pt>
                <c:pt idx="2">
                  <c:v>Comparables: PER NTM (123,23 – 256,61)</c:v>
                </c:pt>
                <c:pt idx="3">
                  <c:v>Transacciones precedentes (EV/EBITDA) (201,75 – 212,69)</c:v>
                </c:pt>
                <c:pt idx="4">
                  <c:v>DCF (WACC y g ± 0,5) (162,61 – 207,72)</c:v>
                </c:pt>
                <c:pt idx="5">
                  <c:v>Escenarios (bajista – alcista) (145,12 – 207,28)</c:v>
                </c:pt>
                <c:pt idx="6">
                  <c:v>DCF con la prima implícita del mercado (4,2 %)</c:v>
                </c:pt>
                <c:pt idx="7">
                  <c:v>Precio actual (207,00)</c:v>
                </c:pt>
              </c:strCache>
            </c:strRef>
          </c:cat>
          <c:val>
            <c:numRef>
              <c:f>Hoja1!$B$2:$B$9</c:f>
              <c:numCache>
                <c:formatCode>#,##0</c:formatCode>
                <c:ptCount val="8"/>
                <c:pt idx="0">
                  <c:v>153.8</c:v>
                </c:pt>
                <c:pt idx="1">
                  <c:v>184</c:v>
                </c:pt>
                <c:pt idx="2">
                  <c:v>123.23</c:v>
                </c:pt>
                <c:pt idx="3">
                  <c:v>201.75</c:v>
                </c:pt>
                <c:pt idx="4">
                  <c:v>162.61</c:v>
                </c:pt>
                <c:pt idx="5">
                  <c:v>145.12</c:v>
                </c:pt>
                <c:pt idx="6">
                  <c:v>198.34</c:v>
                </c:pt>
                <c:pt idx="7">
                  <c:v>205.97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(153,80 – 227,00)</c:v>
                </c:pt>
                <c:pt idx="1">
                  <c:v>Precio objetivo de los analistas (184,00 – 275,00)</c:v>
                </c:pt>
                <c:pt idx="2">
                  <c:v>Comparables: PER NTM (123,23 – 256,61)</c:v>
                </c:pt>
                <c:pt idx="3">
                  <c:v>Transacciones precedentes (EV/EBITDA) (201,75 – 212,69)</c:v>
                </c:pt>
                <c:pt idx="4">
                  <c:v>DCF (WACC y g ± 0,5) (162,61 – 207,72)</c:v>
                </c:pt>
                <c:pt idx="5">
                  <c:v>Escenarios (bajista – alcista) (145,12 – 207,28)</c:v>
                </c:pt>
                <c:pt idx="6">
                  <c:v>DCF con la prima implícita del mercado (4,2 %)</c:v>
                </c:pt>
                <c:pt idx="7">
                  <c:v>Precio actual (207,00)</c:v>
                </c:pt>
              </c:strCache>
            </c:strRef>
          </c:cat>
          <c:val>
            <c:numRef>
              <c:f>Hoja1!$C$2:$C$9</c:f>
              <c:numCache>
                <c:formatCode>#,##0</c:formatCode>
                <c:ptCount val="8"/>
                <c:pt idx="0">
                  <c:v>73.19999999999999</c:v>
                </c:pt>
                <c:pt idx="1">
                  <c:v>91</c:v>
                </c:pt>
                <c:pt idx="2">
                  <c:v>133.38</c:v>
                </c:pt>
                <c:pt idx="3">
                  <c:v>10.939999999999998</c:v>
                </c:pt>
                <c:pt idx="4">
                  <c:v>45.109999999999985</c:v>
                </c:pt>
                <c:pt idx="5">
                  <c:v>62.16</c:v>
                </c:pt>
                <c:pt idx="6">
                  <c:v>37.099999999999994</c:v>
                </c:pt>
                <c:pt idx="7">
                  <c:v>2.0600000000000023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