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Hong Kong Exchanges and Clearing Limited</w:t>
      </w:r>
    </w:p>
    <w:p>
      <w:pPr>
        <w:spacing w:after="60"/>
        <w:rPr>
          <w:color w:val="52514E"/>
          <w:sz w:val="22"/>
          <w:szCs w:val="22"/>
        </w:rPr>
      </w:pPr>
      <w:r>
        <w:rPr>
          <w:color w:val="52514E"/>
          <w:sz w:val="22"/>
          <w:szCs w:val="22"/>
        </w:rPr>
        <w:t xml:space="preserve">0388.HK · Bolsa de Hong Kong (SEHK) · ISIN HK0388045442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HKD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371,40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369,42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+3,2 % (base +9,8 %)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246,95 HKD · mercado 267,83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470.750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18,6x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Hong Kong Exchanges and Clearing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0388.HK / HK0388045442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(SEHK)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Hong Kong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www.hkexgroup.com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371,40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360,00 – 444,80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470.750 M HKD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443.762 M HKD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1339 M HKD/día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369,42 HKD</w:t>
      </w:r>
      <w:r>
        <w:t xml:space="preserve"> frente a 371,40 · Rentabilidad a 12 meses </w:t>
      </w:r>
      <w:r>
        <w:rPr>
          <w:b/>
          <w:bCs/>
        </w:rPr>
        <w:t xml:space="preserve">+3,2 % (base +9,8 %)</w:t>
      </w:r>
      <w:r>
        <w:t xml:space="preserve"> · Valor intrínseco 246,95 HKD · con la prima implícita del mercado: 267,83 (-27,9 %) · Alcista / bajista -39,0 % / -56,7 %</w:t>
      </w:r>
    </w:p>
    <w:p>
      <w:pPr>
        <w:spacing w:after="100"/>
      </w:pPr>
      <w:r>
        <w:rPr>
          <w:b/>
        </w:rPr>
        <w:t xml:space="preserve">La recomendación y por qué.</w:t>
      </w:r>
      <w:r>
        <w:t xml:space="preserve"> Mantener, con convicción media. El objetivo a 12 meses es de 369,42 HKD (ponderado) y 393,68 HKD en el caso base, frente a un precio de 371,40 HKD: la rentabilidad a 12 meses con dividendo es del 3,2 % ponderada y del 9,8 % en el base, lejos del 15 % y el 12 % que pide una compra. El valor intrínseco, 246,95 HKD, queda un 33,5 % por debajo del precio, y el objetivo medio de los analistas (504,19 HKD) está fuera de nuestro rango. La razón principal: HKEX es una empresa excepcional a un precio que solo se justifica con un coste de capital del 7,2 %. La convicción es media porque las dos reglas del valor intrínseco coinciden y la de 12 meses está lejos de sus umbrales; subiría si la contratación de octubre y noviembre volviera por encima de 250.000 M diarios, y bajaría si los resultados del 6-nov confirman la caída del beneficio del 3T26.</w:t>
      </w:r>
    </w:p>
    <w:p>
      <w:pPr>
        <w:spacing w:after="100"/>
      </w:pPr>
      <w:r>
        <w:rPr>
          <w:b/>
        </w:rPr>
        <w:t xml:space="preserve">El negocio.</w:t>
      </w:r>
      <w:r>
        <w:t xml:space="preserve"> Monopolio legal de la bolsa y las cámaras de Hong Kong y operador único de Stock Connect, con un margen EBITDA del 77,5 % sin la caja propia y un ROIC del 73,8 % frente a un WACC del 11,14 % (185 % sin el fondo de comercio de la LME) [1]. La sostenibilidad del crecimiento es «Sí»: proyectamos un 4,8 % anual, por debajo del 8,1 % de 2018-2025, sin capital nuevo ni subidas de precio. Su debilidad es que no controla su volumen: los ingresos van del −9 % (2022) al +33 % (2025) con la bolsa china.</w:t>
      </w:r>
    </w:p>
    <w:p>
      <w:pPr>
        <w:spacing w:after="100"/>
      </w:pPr>
      <w:r>
        <w:rPr>
          <w:b/>
        </w:rPr>
        <w:t xml:space="preserve">Sector y ciclo.</w:t>
      </w:r>
      <w:r>
        <w:t xml:space="preserve"> La contratación está en máximos históricos (249.800 M diarios en 2025, 272.900 M en 9M26) y ya da señales de giro: 201.900 M en septiembre [10]. Estamos en la madurez del ciclo, no al principio.</w:t>
      </w:r>
    </w:p>
    <w:p>
      <w:pPr>
        <w:spacing w:after="100"/>
      </w:pPr>
      <w:r>
        <w:rPr>
          <w:b/>
        </w:rPr>
        <w:t xml:space="preserve">Finanzas.</w:t>
      </w:r>
      <w:r>
        <w:t xml:space="preserve"> Sin deuda, con 37.715 M de caja propia libre y un flujo que reparte al 90 % (dividendo del 3,8 %). Un 22 % del EBITDA de 2025 viene del rendimiento de márgenes y caja propia, que baja con los tipos (−19 % en 1S26) [2].</w:t>
      </w:r>
    </w:p>
    <w:p>
      <w:pPr>
        <w:spacing w:after="100"/>
      </w:pPr>
      <w:r>
        <w:rPr>
          <w:b/>
        </w:rPr>
        <w:t xml:space="preserve">Equipo y gobierno.</w:t>
      </w:r>
      <w:r>
        <w:t xml:space="preserve"> Equipo estable (contrato de la consejera delegada renovado hasta 2030) y cuentas limpias, pero el Gobierno de Hong Kong nombra a seis de trece consejeros y aprueba al presidente: el minoritario no decide la cúpula [1, 27].</w:t>
      </w:r>
    </w:p>
    <w:p>
      <w:pPr>
        <w:spacing w:after="100"/>
      </w:pPr>
      <w:r>
        <w:rPr>
          <w:b/>
        </w:rPr>
        <w:t xml:space="preserve">Valoración.</w:t>
      </w:r>
      <w:r>
        <w:t xml:space="preserve"> El DCF da 201,71 HKD y el inverso dice que el precio exige crecer un 16,7 % anual o aceptar una rentabilidad del 7,2 %, menos de dos puntos sobre el bono de EE. UU. Los comparables (PER de los próximos 12 meses) dan 380,49 HKD: HKEX cotiza como el sector, 23,2 veces el beneficio, pese a su mayor ciclicidad y su riesgo país. Discrepamos del consenso en el BPA (−12,7 % en 2028e), porque normalizamos la contratación de 2027 tras el récord.</w:t>
      </w:r>
    </w:p>
    <w:p>
      <w:pPr>
        <w:spacing w:after="100"/>
      </w:pPr>
      <w:r>
        <w:rPr>
          <w:b/>
        </w:rPr>
        <w:t xml:space="preserve">Riesgos y catalizadores.</w:t>
      </w:r>
      <w:r>
        <w:t xml:space="preserve"> El mayor riesgo es una caída de la contratación como la de 2022-23 (bajista a 12 meses de 248,22 HKD, −29,4 %); le siguen la política de Pekín sobre Stock Connect y las salidas a bolsa, y las sanciones entre EE. UU. y China. La IA es neutral para el negocio (exposición baja). Catalizador cercano: resultados de 9M26 el 6-nov-2026 [37], con objetivos de los analistas ya a la baja (Goldman 523 y UBS 420 HKD) [39, 40].</w:t>
      </w:r>
    </w:p>
    <w:p>
      <w:pPr>
        <w:spacing w:after="100"/>
      </w:pPr>
      <w:r>
        <w:rPr>
          <w:b/>
        </w:rPr>
        <w:t xml:space="preserve">Qué cambiaría la decisión.</w:t>
      </w:r>
      <w:r>
        <w:t xml:space="preserve"> Compraríamos por debajo de 246,95 HKD, donde se cumplen a la vez la rentabilidad a 12 meses y el valor intrínseco; venderíamos por encima de 425,96 HKD. También cambiarían la tesis una contratación media de 2027 por encima de 280.000 M diarios con margen del 78 % (al alza) o restricciones nuevas a Stock Connect (a la baja).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369,42 HKD</w:t>
      </w:r>
      <w:r>
        <w:t xml:space="preserve"> (rentabilidad +3,2 % (base +9,8 %)) · Valor intrínseco: 246,95 HKD (-33,5 % sobre 371,40) · con la prima implícita del mercado: 267,83 (-27,9 %)</w:t>
      </w:r>
    </w:p>
    <w:p>
      <w:pPr>
        <w:spacing w:after="100"/>
      </w:pPr>
      <w:r>
        <w:t xml:space="preserve">HKEX es la infraestructura por la que pasa el dinero que entra y sale de China: monopolio legal de la bolsa y las cámaras de Hong Kong, operador único de Stock Connect y dueña de la LME. Gana 77,5 céntimos de EBITDA por cada dólar de ingresos sin la caja propia, casi no necesita capital (ROIC del 73,8 %) y reparte el 90 % del beneficio [1]. En 2025 y 2026 vive un récord: 249.800 M HKD diarios de contratación y 388.000 M captados en salidas a bolsa en nueve meses [10].</w:t>
      </w:r>
    </w:p>
    <w:p>
      <w:pPr>
        <w:spacing w:after="100"/>
      </w:pPr>
      <w:r>
        <w:t xml:space="preserve">El precio, 371,40 HKD, descuenta que ese récord es un escalón: 23,2 veces el beneficio esperado y una rentabilidad implícita del 7,2 % anual, o un crecimiento de las ventas del 16,7 % anual durante siete años con nuestro coste de capital del 11,14 %. Los comparables del sector cotizan igual, pero ninguno tiene su exposición a un solo mercado ni su riesgo país.</w:t>
      </w:r>
    </w:p>
    <w:p>
      <w:pPr>
        <w:spacing w:after="100"/>
      </w:pPr>
      <w:r>
        <w:t xml:space="preserve">Para invertir hay que creer que la contratación de Hong Kong no volverá a caer como en 2022-23 y que la tasa de descuento correcta para un monopolio chino es la de un activo casi sin riesgo. Nosotros creemos que el negocio es de primera, pero que el ciclo está maduro (septiembre ya marcó 201.900 M diarios) y que el riesgo político y de tipos no está en 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369,42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 × 11,82 = 248,22 · 26,6x × 14,80 = 393,68 · 28,8x × 15,77 = 454,18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504,19 (nuestro base -21,9 %)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246,95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 / -56,7 %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11,1 % y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267,83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246,95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246,95 y 425,96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425,96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246,95 HKD: pasaríamos a Comprar (rentabilidad a 12 meses y valor intrínseco a la vez).</w:t>
      </w:r>
    </w:p>
    <w:p>
      <w:pPr>
        <w:pStyle w:val="ListParagraph"/>
        <w:numPr>
          <w:ilvl w:val="0"/>
          <w:numId w:val="2"/>
        </w:numPr>
        <w:spacing w:after="60"/>
      </w:pPr>
      <w:r>
        <w:t xml:space="preserve">Precio por encima de 425,96 HKD: pasaríamos a Vender (ponderada a 12 meses ≤ −10 %).</w:t>
      </w:r>
    </w:p>
    <w:p>
      <w:pPr>
        <w:pStyle w:val="ListParagraph"/>
        <w:numPr>
          <w:ilvl w:val="0"/>
          <w:numId w:val="2"/>
        </w:numPr>
        <w:spacing w:after="60"/>
      </w:pPr>
      <w:r>
        <w:t xml:space="preserve">Contratación media mensual por debajo de 180.000 M HKD tres meses seguidos: rebajaríamos el BPA y el objetivo.</w:t>
      </w:r>
    </w:p>
    <w:p>
      <w:pPr>
        <w:pStyle w:val="ListParagraph"/>
        <w:numPr>
          <w:ilvl w:val="0"/>
          <w:numId w:val="2"/>
        </w:numPr>
        <w:spacing w:after="60"/>
      </w:pPr>
      <w:r>
        <w:t xml:space="preserve">Restricciones nuevas a Stock Connect o sanciones de EE. UU. a Hong Kong: revisaríamos a Vender.</w:t>
      </w:r>
    </w:p>
    <w:p>
      <w:pPr>
        <w:pStyle w:val="ListParagraph"/>
        <w:numPr>
          <w:ilvl w:val="0"/>
          <w:numId w:val="2"/>
        </w:numPr>
        <w:spacing w:after="60"/>
      </w:pPr>
      <w:r>
        <w:t xml:space="preserve">Contratación de 2027 por encima de 280.000 M diarios con margen EBITDA del 78 %: revisaríamos el BPA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BPA de 16-17 HKD en 2027-28 (consenso) que supone mantener la contratación de 2026, y un múltiplo de 30 veces implícito en el objetivo medio de 504,19 HKD [30, 31]. El precio actual implica una rentabilidad anual del 7,2 %.</w:t>
      </w:r>
    </w:p>
    <w:p>
      <w:pPr>
        <w:keepNext/>
        <w:spacing w:after="100"/>
      </w:pPr>
      <w:r>
        <w:rPr>
          <w:b/>
          <w:bCs/>
        </w:rPr>
        <w:t xml:space="preserve">Lo que creemos nosotros.</w:t>
      </w:r>
    </w:p>
    <w:p>
      <w:pPr>
        <w:spacing w:after="100"/>
      </w:pPr>
      <w:r>
        <w:t xml:space="preserve">La contratación se normaliza en 2027 y el BPA baja a 13,92 HKD antes de volver a crecer (14,80 en 2028e). El múltiplo se queda en la media de los últimos años (26,6 veces) y el valor intrínseco, con un 11,14 % de coste de capital, es de 246,95 HKD.</w:t>
      </w:r>
    </w:p>
    <w:p>
      <w:pPr>
        <w:keepNext/>
        <w:spacing w:after="100"/>
      </w:pPr>
      <w:r>
        <w:rPr>
          <w:b/>
          <w:bCs/>
        </w:rPr>
        <w:t xml:space="preserve">Por qué podemos tener razón.</w:t>
      </w:r>
    </w:p>
    <w:p>
      <w:pPr>
        <w:spacing w:after="100"/>
      </w:pPr>
      <w:r>
        <w:t xml:space="preserve">Septiembre de 2026 ya marcó 201.900 M diarios (−20 % sobre agosto) y Goldman avisa de un 3T26 con menos beneficio [10, 39]; en los dos ciclos anteriores la contratación bajó un 25 % y un 16 % el año siguiente al pico. Los recortes de objetivos de los analistas (Goldman, UBS) empiezan a reconocerlo.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HKD) · precio actual 37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legal</w:t>
      </w:r>
      <w:r>
        <w:t xml:space="preserve"> de la bolsa y las cámaras de Hong Kong y de Stock Connect: 100 % de su mercado.</w:t>
      </w:r>
    </w:p>
    <w:p>
      <w:pPr>
        <w:pStyle w:val="ListParagraph"/>
        <w:numPr>
          <w:ilvl w:val="0"/>
          <w:numId w:val="2"/>
        </w:numPr>
        <w:spacing w:after="60"/>
      </w:pPr>
      <w:r>
        <w:rPr>
          <w:b/>
        </w:rPr>
        <w:t xml:space="preserve">Rentabilidad excepcional</w:t>
      </w:r>
      <w:r>
        <w:t xml:space="preserve">: margen EBITDA del 77,5 % sin caja propia y ROIC del 73,8 % (185 % sin fondo de comercio).</w:t>
      </w:r>
    </w:p>
    <w:p>
      <w:pPr>
        <w:pStyle w:val="ListParagraph"/>
        <w:numPr>
          <w:ilvl w:val="0"/>
          <w:numId w:val="2"/>
        </w:numPr>
        <w:spacing w:after="60"/>
      </w:pPr>
      <w:r>
        <w:rPr>
          <w:b/>
        </w:rPr>
        <w:t xml:space="preserve">Balance sin deuda</w:t>
      </w:r>
      <w:r>
        <w:t xml:space="preserve"> con 37.715 M de caja propia libre (≈ 30 HKD por acción).</w:t>
      </w:r>
    </w:p>
    <w:p>
      <w:pPr>
        <w:pStyle w:val="ListParagraph"/>
        <w:numPr>
          <w:ilvl w:val="0"/>
          <w:numId w:val="2"/>
        </w:numPr>
        <w:spacing w:after="60"/>
      </w:pPr>
      <w:r>
        <w:rPr>
          <w:b/>
        </w:rPr>
        <w:t xml:space="preserve">Dividendo del 90 %</w:t>
      </w:r>
      <w:r>
        <w:t xml:space="preserve"> del beneficio: 3,8 % de rentabilidad.</w:t>
      </w:r>
    </w:p>
    <w:p>
      <w:pPr>
        <w:pStyle w:val="ListParagraph"/>
        <w:numPr>
          <w:ilvl w:val="0"/>
          <w:numId w:val="2"/>
        </w:numPr>
        <w:spacing w:after="60"/>
      </w:pPr>
      <w:r>
        <w:rPr>
          <w:b/>
        </w:rPr>
        <w:t xml:space="preserve">Crecimiento estructural</w:t>
      </w:r>
      <w:r>
        <w:t xml:space="preserve">: la contratación pasó de 66.900 M diarios en 2016 a 249.800 M en 2025 y Stock Connect se duplicó en 1S26.</w:t>
      </w:r>
    </w:p>
    <w:p>
      <w:pPr>
        <w:pStyle w:val="Heading2"/>
      </w:pPr>
      <w:r>
        <w:t xml:space="preserve">En contra</w:t>
      </w:r>
    </w:p>
    <w:p>
      <w:pPr>
        <w:pStyle w:val="ListParagraph"/>
        <w:numPr>
          <w:ilvl w:val="0"/>
          <w:numId w:val="2"/>
        </w:numPr>
        <w:spacing w:after="60"/>
      </w:pPr>
      <w:r>
        <w:rPr>
          <w:b/>
        </w:rPr>
        <w:t xml:space="preserve">Valor intrínseco de 246,95 HKD</w:t>
      </w:r>
      <w:r>
        <w:t xml:space="preserve">, un 33,5 % por debajo del precio con un WACC del 11,14 %.</w:t>
      </w:r>
    </w:p>
    <w:p>
      <w:pPr>
        <w:pStyle w:val="ListParagraph"/>
        <w:numPr>
          <w:ilvl w:val="0"/>
          <w:numId w:val="2"/>
        </w:numPr>
        <w:spacing w:after="60"/>
      </w:pPr>
      <w:r>
        <w:rPr>
          <w:b/>
        </w:rPr>
        <w:t xml:space="preserve">Rentabilidad a 12 meses del 3,2 %</w:t>
      </w:r>
      <w:r>
        <w:t xml:space="preserve"> ponderada y del 9,8 % en el base: no llega al umbral de compra.</w:t>
      </w:r>
    </w:p>
    <w:p>
      <w:pPr>
        <w:pStyle w:val="ListParagraph"/>
        <w:numPr>
          <w:ilvl w:val="0"/>
          <w:numId w:val="2"/>
        </w:numPr>
        <w:spacing w:after="60"/>
      </w:pPr>
      <w:r>
        <w:rPr>
          <w:b/>
        </w:rPr>
        <w:t xml:space="preserve">Ciclo maduro</w:t>
      </w:r>
      <w:r>
        <w:t xml:space="preserve">: contratación de septiembre de 201.900 M diarios, −20 % sobre agosto.</w:t>
      </w:r>
    </w:p>
    <w:p>
      <w:pPr>
        <w:pStyle w:val="ListParagraph"/>
        <w:numPr>
          <w:ilvl w:val="0"/>
          <w:numId w:val="2"/>
        </w:numPr>
        <w:spacing w:after="60"/>
      </w:pPr>
      <w:r>
        <w:rPr>
          <w:b/>
        </w:rPr>
        <w:t xml:space="preserve">Riesgo país y político</w:t>
      </w:r>
      <w:r>
        <w:t xml:space="preserve">: Pekín y Washington deciden su volumen; el Gobierno de Hong Kong nombra a 6 de 13 consejeros.</w:t>
      </w:r>
    </w:p>
    <w:p>
      <w:pPr>
        <w:pStyle w:val="ListParagraph"/>
        <w:numPr>
          <w:ilvl w:val="0"/>
          <w:numId w:val="2"/>
        </w:numPr>
        <w:spacing w:after="60"/>
      </w:pPr>
      <w:r>
        <w:rPr>
          <w:b/>
        </w:rPr>
        <w:t xml:space="preserve">Tipos a la baja</w:t>
      </w:r>
      <w:r>
        <w:t xml:space="preserve">: el rendimiento de márgenes cayó un 19 % en 1S26 y es ≈ 22 % del EBITDA.</w:t>
      </w:r>
    </w:p>
    <w:p>
      <w:pPr>
        <w:pStyle w:val="Heading2"/>
      </w:pPr>
      <w:r>
        <w:t xml:space="preserve">Qué tiene que pasar para que la tesis funcione</w:t>
      </w:r>
    </w:p>
    <w:p>
      <w:pPr>
        <w:spacing w:after="100"/>
      </w:pPr>
      <w:r>
        <w:t xml:space="preserve">La tesis depende de la contratación de Hong Kong en 2027. Nuestro base supone ≈ 235.000 M diarios (ingresos −3 %); si octubre-diciembre de 2026 se mantienen por encima de 250.000 M y las salidas a bolsa siguen al ritmo de 2026, el BPA del consenso (16-17 HKD) gana credibilidad y el objetivo a 12 meses sube. La señal contraria es una contratación mensual por debajo de 180.000 M o una caída interanual del beneficio en el 3T26 y el 4T26.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media diaria en la bolsa (ADT)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272.900 M HKD en 9M26; 201.900 M en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180.000 M tres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80 % de los ingresos depende del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 Connect hacia el norte (ADT)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345.300 M RMB en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&gt; 30 % o restricciones nuevas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acceso extranjero a China y el riesgo político.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captados en salidas a bolsa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388.000 M HKD en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150.000 M en 12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 cotización y volumen de las nuevas cotizadas.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anualizado de los márgenes de Hong Kong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en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Sensibilidad del beneficio a los tipos y a los reembolsos.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trimestral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 +21 %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Dos trimestres seguidos con 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Confirmaría que 2025-26 fue un pico.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 18,6x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 / 23,2x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HKEX nació en el año 2000 de la fusión, impuesta por el Gobierno de Hong Kong, de la bolsa de valores (SEHK, 1891 en su origen), la de futuros (HKFE) y la cámara de compensación (HKSCC), y salió a bolsa en su propio mercado ese mismo año [1]. El Gobierno es «controlador minoritario» desde 2007 y nombra a seis de los trece consejeros [1]. Las decisiones que la hicieron como es: abrir la puerta a las empresas chinas (las H desde 1993), comprar la LME en 2012, los enlaces con Shanghái (2014) y Shenzhen (2016) que crearon Stock Connect, las acciones con voto múltiple y las biotecnológicas sin ingresos (2018) que trajeron a Alibaba, Meituan o Xiaomi, y la segunda cotización de las chinas de EE. UU. desde 2019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SEHK, HKFE y HKSCC y salida a bolsa de HKEX.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Gobierno de Hong Kong pasa a ser controlador minoritario (6,17 % hoy).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London Metal Exchange por 1.388 M GBP.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Shanghai-Hong Kong Stock Connect; Shenzhen en 2016 y Bond Connect en 2017.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 de cotización: voto múltiple y biotecnológicas sin ingresos (capítulos 8A y 18A).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no solicitada por LSEG (29.600 M GBP), retirada; segunda cotización de Alibaba.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del níquel en la LME: se cancelan operaciones del 8-mar; multa de la FCA en 2025.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Bonnie Chan, primera consejera delegada que viene de la casa (antes, jefa de cotización).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bolsa del mundo en salidas a bolsa; contratación media récord de 249.800 M HKD; compra de la sede.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Reforma de competitividad de la cotización (24-jul), futuros de bonos del Gobierno chino (3-ago) y récord semestral de beneficio.</w:t>
            </w:r>
          </w:p>
        </w:tc>
      </w:tr>
    </w:tbl>
    <w:p>
      <w:pPr>
        <w:spacing w:after="160" w:before="0"/>
      </w:pPr>
    </w:p>
    <w:p>
      <w:pPr>
        <w:pStyle w:val="Heading1"/>
      </w:pPr>
      <w:r>
        <w:t xml:space="preserve">2. Modelo de negocio</w:t>
      </w:r>
    </w:p>
    <w:p>
      <w:pPr>
        <w:spacing w:after="100"/>
      </w:pPr>
      <w:r>
        <w:t xml:space="preserve">HKEX opera el mercado de valores y derivados de Hong Kong en monopolio legal: la bolsa (SEHK), la de futuros (HKFE), tres cámaras de compensación (HKSCC para acciones, HKCC y SEOCH para derivados) y OTC Clear; en Londres, la London Metal Exchange y LME Clear; y la plataforma Stock Connect, la vía principal de los inversores extranjeros hacia las acciones A de Shanghái y Shenzhen y de los continentales hacia Hong Kong [1]. Sus clientes son los miembros (intermediarios), los emisores (2.772 cotizadas y 17.144 valores a sep-2026) y los consumidores de datos [10]. Cobra por operación (comisiones de contratación y tarifas de liquidación), por cotizar (cuotas de salida y anuales), por custodia y por datos, y gana el diferencial entre lo que rinden los márgenes de los miembros y lo que les devuelve [1]. Plantilla: 2.497 empleados fijos [1].</w:t>
      </w:r>
    </w:p>
    <w:p>
      <w:pPr>
        <w:pStyle w:val="Heading2"/>
      </w:pPr>
      <w:r>
        <w:t xml:space="preserve">Cómo gana dinero</w:t>
      </w:r>
    </w:p>
    <w:p>
      <w:pPr>
        <w:spacing w:after="100"/>
      </w:pPr>
      <w:r>
        <w:t xml:space="preserve">Alrededor del 80 % de los ingresos depende del volumen: comisiones de contratación y liquidación (17.375 M de 23.745 M de ingresos en 2025) que cobra en puntos básicos sobre lo negociado en contado y por contrato en derivados [1]. Lo recurrente son las cuotas anuales de cotización, la custodia y los datos (≈ 5.000 M). Encima va el rendimiento de los márgenes (3.241 M netos en 2025), que sube con los tipos y con el interés abierto. Los costes (6.068 M) son casi fijos: personal (66 %) y sistemas; por eso el margen EBITDA sin caja propia salta del 71 % (2023, contratación de 105.000 M/día) al 77,5 % (2025, 249.800 M/día) [1]. No hay estacionalidad marcada; sí ciclos de 2-3 años ligados a la bolsa china y a los flujos de Stock Connect.</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Contado (Cash)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Derivados de renta variable y financieros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 (LME)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y conectividad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(sin caja propia)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HK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Contado (Cash)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Derivados de renta variable y financieros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 (LME)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y conectividad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(sin caja propia)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supera el 10 % de los ingresos según la nota de segmentos del informe anual 2025 [1]. Los miembros son unos 600 intermediarios; los emisores, 2.772 empresas. El poder de precios es limitado y se usa poco: HKEX no ha subido sus comisiones de contratación en años y en 2026 recortó los diferenciales mínimos (fase 2 desde el 3-ago-2026) y aumentó los reembolsos de intereses a los miembros para ganar volumen [2]. La «renovación» la marca la ley: las empresas cotizadas en Hong Kong y los flujos de Stock Connect solo pueden pasar por sus sistemas.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media diaria en la bolsa (ADT, M HKD)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249.800 (2025); 272.900 en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+6 % en 9M26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2026: 201.900 M, −20 % frente a agosto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 Connect hacia el norte (ADT, M RMB)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171.300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345.300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 Connect hacia el sur (ADT, M HKD)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123.100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de China continental en Hong Kong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Derivados en la HKFE (miles de contratos/día)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Metales en la LME (miles de lotes/día facturables)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Fondos captados en salidas a bolsa (M HKD)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188.300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388.000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118 nuevas cotizadas en 9M26 [10].</w:t>
            </w:r>
          </w:p>
        </w:tc>
      </w:tr>
    </w:tbl>
    <w:p>
      <w:pPr>
        <w:spacing w:after="160" w:before="0"/>
      </w:pPr>
    </w:p>
    <w:p>
      <w:pPr>
        <w:pStyle w:val="Heading1"/>
      </w:pPr>
      <w:r>
        <w:t xml:space="preserve">3. Sector y mercado</w:t>
      </w:r>
    </w:p>
    <w:p>
      <w:pPr>
        <w:spacing w:after="100"/>
      </w:pPr>
      <w:r>
        <w:t xml:space="preserve">Mercado relevante: los ingresos de las bolsas cotizadas del mundo (negociación, compensación, cotización y datos de bolsas como CME, ICE, Nasdaq, Deutsche Börse, LSEG, Euronext, SGX, JPX y HKEX), ≈ 40.000 M USD según la estimación de la ficha sectorial del repo [13]. Para el crecimiento usamos el volumen de su propio mercado, la contratación media diaria en la bolsa de Hong Kong, porque HKEX tiene el 100 % de ese mercado y su cuota mundial no se mueve por competir sino por el volumen de Hong Kong frente al de otras plazas [1,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40.000 M USD de ingresos de las bolsas cotizadas en 2025 (estimación de la ficha del repo) [13]; contratación media diaria en Hong Kong de 249.800 M HKD en 2025 y 272.900 M en 9M26 [1,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(monopolio legal en Hong Kong; oligopolio de bolsas en el mundo)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HKD de contratación media diaria en la bolsa de Hong Kong (AD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 de Stock Connect y peso de China en las carteras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Hacia el norte, 345.300 M RMB diarios en 1S26 (+102 %); hacia el sur, 123.100 M HKD (+11 %)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Salidas a bolsa de tecnológicas chinas e internacionales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388.000 M HKD captados en 9M26 (+106 %), 118 nuevas cotizadas [10]; reforma de cotización del 24-jul-2026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precio de las acciones chinas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ADT de 105.000 M en 2023 frente a 249.800 M en 2025 [1]; septiembre de 2026, 201.900 M (−20 % sobre agosto)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en HKD/USD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anualizado de los márgenes en Hong Kong del 1,40 % en 1S26 frente al 2,20 % en 1S25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Ampliación de productos (bonos del Gobierno chino, índices propios, RMB)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bonos a 5 años desde el 3-ago-2026; primer ETF sobre el HKEX Tech 100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legal en Hong Kong; compite por cotizaciones con Nueva York, Shanghái, Shenzhen y Singapur, y por derivados de índices chinos con SGX (FTSE China A50)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600 intermediarios atomizados; los grandes bancos presionan por reembolsos de intereses y diferenciales menores (cambios de 2026)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de sistemas y centros de datos sustituibles; HKEX desarrolla sus plataformas (ODP)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la licencia de la SFC como bolsa reconocida y el acuerdo de los reguladores chinos para Stock Connect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Cotizar en acciones A o en EE. UU., derivados OTC, y a largo plazo la tokenización y las criptomonedas; la regulación china decide adónde van las empresas [23].</w:t>
            </w:r>
          </w:p>
        </w:tc>
      </w:tr>
    </w:tbl>
    <w:p>
      <w:pPr>
        <w:spacing w:after="160" w:before="0"/>
      </w:pPr>
    </w:p>
    <w:p>
      <w:pPr>
        <w:pStyle w:val="Heading2"/>
      </w:pPr>
      <w:r>
        <w:t xml:space="preserve">Ciclo</w:t>
      </w:r>
    </w:p>
    <w:p>
      <w:pPr>
        <w:spacing w:after="100"/>
      </w:pPr>
      <w:r>
        <w:t xml:space="preserve">La contratación de 2025-26 es la más alta de la historia (249.800 M en 2025, 272.900 M en 9M26) y septiembre ya marcó 201.900 M [1, 10]. Los ciclos anteriores fueron duros: tras el pico de 2021 (166.700 M) la ADT cayó un 25 % en 2022 y otro 16 % en 2023, y los ingresos sin caja propia bajaron un 9 % en 2022; en 2008-09 no tenemos cifras primarias en este informe; en 2020 la contratación subió un 49 % con la covid [1]. Indicadores: ADT mensual, salidas a bolsa y flujos de Stock Connect.</w:t>
      </w:r>
    </w:p>
    <w:p>
      <w:pPr>
        <w:pStyle w:val="Heading2"/>
      </w:pPr>
      <w:r>
        <w:t xml:space="preserve">Regulación</w:t>
      </w:r>
    </w:p>
    <w:p>
      <w:pPr>
        <w:spacing w:after="100"/>
      </w:pPr>
      <w:r>
        <w:t xml:space="preserve">HKEX es a la vez empresa cotizada y regulador de primera línea de la bolsa (cotización), bajo la supervisión de la SFC y la Ordenanza de Valores y Futuros; nadie puede tener más del 5 % sin permiso de la SFC [1]. Cambios: reforma de competitividad de la cotización en vigor desde el 24-jul-2026 [20]; mercado sin certificados (USM) desde el 16-nov-2026 [2]; consulta sobre liquidación acelerada (T+1), sin prisa según la prensa (14-oct-2026) [22]; ampliación del horario y fin de la pausa de mediodía en estudio [21]. En la LME, la FCA británica (multa de 2025) y el litigio de Elliott [12]. Riesgo geopolítico: las relaciones EE. UU.-China deciden la segunda cotización de las chinas de EE. UU. y la presencia de inversores extranjeros.</w:t>
      </w:r>
    </w:p>
    <w:p>
      <w:pPr>
        <w:pStyle w:val="Heading2"/>
      </w:pPr>
      <w:r>
        <w:t xml:space="preserve">Tendencias y disrupción</w:t>
      </w:r>
    </w:p>
    <w:p>
      <w:pPr>
        <w:spacing w:after="100"/>
      </w:pPr>
      <w:r>
        <w:t xml:space="preserve">Las tendencias favorecen a HKEX: más productos en RMB y de renta fija (futuros de bonos del Gobierno chino, Swap Connect), más salidas a bolsa de tecnológicas e inteligencia artificial chinas, más acceso desde ASEAN y Oriente Medio (acuerdos con Bursa Malaysia y Astana en 2026) [2]. Le juegan en contra la competición de Shanghái (STAR) y Shenzhen por las empresas chinas, la caída de comisiones por operación y el riesgo de que los inversores occidentales reduzcan su peso en China. La IA cambia poco su negocio, que es la infraestructura por la que pasan las operaciones; sí acelera la contratación algorítmica y la demanda de datos [24].</w:t>
      </w:r>
    </w:p>
    <w:p>
      <w:pPr>
        <w:pStyle w:val="Heading1"/>
      </w:pPr>
      <w:r>
        <w:t xml:space="preserve">4. Posición competitiva y foso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de la contratación y la compensación en Hong Kong y operador único de Stock Connect; ≈ 8,6 % de los ingresos de las bolsas cotizadas del mundo (estimación propia: 26.994 M HKD ≈ 3.440 M USD sobre ≈ 40.000 M USD) [1, 13]. En metales, la LME es la referencia mundial de los metales básicos.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de tipos, índices, energía y metales (COMEX compite con la LME en cobre). Ingresos de 2025, 6.521 M USD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NYSE, futuros de energía y tecnología hipotecaria; compite por cotizaciones chinas en Nueva York. 9.931 M USD en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Eurex, Clearstream y software; 6.026 M EUR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(Refinitiv), LCH y FTSE Russell; 8.986 M GBP en 2025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bolsas europeas y Borsa Italiana; 1.818,8 M EUR en 2025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Singapore Exchange (SGX)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S68</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derivados sobre China (FTSE China A50) y en cotizaciones de ASEAN; ingresos netos FY2026 de 1.478,3 M SGD y EBITDA ajustado de 980,6 M (66,3 %)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Bolsas de Shanghái y Shenzhen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Públicas, no cotizadas: compiten por las salidas a bolsa chinas (STAR y ChiNext) y son socias en Stock Connect.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emisores y la liquidez atrae inversores: 2.772 cotizadas, 272.900 M HKD diarios en 9M26 y Stock Connect con exclusividad [B3, B10].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cotizadas no cambian de bolsa con facilidad; los intermediarios están conectados a sus sistemas; pero una empresa china puede elegir Shanghái o Nueva York para su salida.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legal de bolsa reconocida y de cámara en Hong Kong y acuerdos de Stock Connect con la CSRC; la LME es el precio de referencia de los metales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77,5 % sin caja propia en 2025 frente al 49,6-64,9 % de margen EBIT de ICE y CME [B2, B5,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del tamaño de Hong Kong solo admite un operador; los costes (6.068 M) son casi fijos [B2].</w:t>
            </w:r>
          </w:p>
        </w:tc>
      </w:tr>
    </w:tbl>
    <w:p>
      <w:pPr>
        <w:spacing w:after="160" w:before="0"/>
      </w:pPr>
    </w:p>
    <w:p>
      <w:pPr>
        <w:pStyle w:val="Heading2"/>
      </w:pPr>
      <w:r>
        <w:t xml:space="preserve">Amenazas</w:t>
      </w:r>
    </w:p>
    <w:p>
      <w:pPr>
        <w:spacing w:after="100"/>
      </w:pPr>
      <w:r>
        <w:t xml:space="preserve">La amenaza principal no es otra bolsa sino la política: que Pekín dirija las salidas a bolsa hacia Shanghái y Shenzhen, que se restrinja Stock Connect o que EE. UU. limite la inversión en empresas chinas (probabilidad media en 5 años). Segunda: la presión de los intermediarios sobre comisiones y reembolsos, que ya bajó el rendimiento de los márgenes un 19 % en 1S26 [2]. Tercera: SGX en derivados sobre índices chinos y la tokenización a largo plazo (baja). El litigio de Elliott contra la LME es de reputación más que de foso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2018-2025: ingresos </w:t>
      </w:r>
      <w:r>
        <w:rPr>
          <w:b/>
          <w:bCs/>
        </w:rPr>
        <w:t xml:space="preserve">8,1 %</w:t>
      </w:r>
      <w:r>
        <w:t xml:space="preserve">, EBITDA </w:t>
      </w:r>
      <w:r>
        <w:rPr>
          <w:b/>
          <w:bCs/>
        </w:rPr>
        <w:t xml:space="preserve">8,9 %</w:t>
      </w:r>
      <w:r>
        <w:t xml:space="preserve">, BPA </w:t>
      </w:r>
      <w:r>
        <w:rPr>
          <w:b/>
          <w:bCs/>
        </w:rPr>
        <w:t xml:space="preserve">9,4 %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HK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este informe son los «revenue and other income less transaction-related expenses» publicados sin el rendimiento de la caja propia (Corporate Funds: 1.870 M en 2025, −48 M en 2022), que pasa al resultado financiero; el rendimiento de los fondos de garantía y márgenes de los miembros (Margin Funds y Clearing House Funds) sí queda en ingresos porque nace de la actividad de compensación [1]. Con ese criterio los ingresos pasan de 15.606 M en 2018 a 26.994 M en 2025 y el EBITDA de 11.550 M a 20.926 M; el crecimiento es orgánico (sin compras relevantes desde la LME en 2012) y sigue al volumen: 2022 cayó un 9 % con la contratación media diaria en 124.900 M (−25 %) y 2025 subió un 33 % con 249.800 M (+90 %) [1, 3]. El margen EBITDA sin caja propia va del 71,0 % (2023) al 77,5 % (2021 y 2025): los costes son casi fijos (6.068 M en 2025, +5 %) y cada punto de volumen cae al margen [1]. 1S26: ingresos y otros 16.702 M (+19 %), EBITDA 13.411 M (+23 %) y beneficio 10.568 M (+24 %), récord semestral [2].</w:t>
      </w:r>
    </w:p>
    <w:p>
      <w:pPr>
        <w:pStyle w:val="Heading2"/>
      </w:pPr>
      <w:r>
        <w:t xml:space="preserve">Ajustes y partidas no recurrentes</w:t>
      </w:r>
    </w:p>
    <w:p>
      <w:pPr>
        <w:spacing w:after="100"/>
      </w:pPr>
      <w:r>
        <w:t xml:space="preserve">No hay EBITDA ajustado distinto del publicado: la cifra «EBITDA (non-HKFRS)» de HKEX excluye participadas y gastos financieros [1]. Ajustes del informe: (1) rendimiento de la caja propia fuera de ingresos y EBITDA (en 1S26 incluye 298 M de revalorización de participaciones no cotizadas, no recurrente) [2]; (2) en 2019, 123 M de costes de la propuesta de compra de LSEG, fuera del EBITDA publicado, se tratan como no recurrentes [5]; (3) en 2025 una multa de 90 M de la FCA por el níquel de 2022 dentro de los gastos y en 1S26 una indemnización de seguro de 24 M, sin ajustar por su tamaño (0,3 % de los ingresos) [1, 2]; (4) plusvalía contable de 76 M por modificación de arrendamientos en 2025, dentro del resultado [1]. El BPA es el diluido publicado.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trimestrales son los «core business revenue» (sin la caja propia ni las donaciones), el BPA básico y el EBITDA publicado, que sí incluye el rendimiento de la caja propia [2, 7, 8]. En la presentación de 2025 (26-feb-2026) la dirección habló de un año récord por volumen, de recuperar el primer puesto mundial en salidas a bolsa y de invertir en infraestructura (compra de la sede por 6.300 M, sistemas de derivados) mientras esperaba que la volatilidad siguiera en 2026 [6]. En la de 1S26 (19-ago-2026) el mensaje cambió de «récord por mercado» a «más productos en la estantería»: futuros de bonos del Gobierno chino a 5 años (3-ago), índices propios (HKEX Tech 100 con su primer ETF), liquidación acelerada en consulta y reforma del lote mínimo [2]. El punto débil que reconoce la propia empresa es el rendimiento de los fondos de márgenes, que bajó un 19 % (1.477 M) por mayores reembolsos a los miembros tras cambiar las garantías en enero [2]. El 1T26 batió las previsiones según la prensa (SCMP, 29-abr-2026) [8]. No hemos podido leer las transcripciones completas de las dos últimas conferencias (Seeking Alpha, de pago): las preguntas de los analistas no se recogen.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HKEX no tiene deuda financiera: la caja propia neta de la reserva para los fondos de garantía (37.715 M a 30-jun-2026) supera de largo los 946 M de opciones de venta y arrendamientos [2]. Crece con el beneficio no repartido (el 10 % que no paga) y en 2025-26 bajó por la sede (4.296 M de inversión en 2025 y 3.301 M en 1S26). El circulante comercial no es relevante: las comisiones se cobran en días a través de los miembros, y las cuentas a cobrar y a pagar del balance son saldos de liquidación de los miembros que se compensan [1]. El ROIC del informe usa como capital invertido el patrimonio más la deuda menos esta caja propia.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HK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87.930</w:t>
      </w:r>
      <w:r>
        <w:t xml:space="preserve">, conversión </w:t>
      </w:r>
      <w:r>
        <w:rPr>
          <w:b/>
          <w:bCs/>
        </w:rPr>
        <w:t xml:space="preserve">92 %</w:t>
      </w:r>
      <w:r>
        <w:t xml:space="preserve"> del beneficio neto; adquisiciones 455, dividendos 73.900, recompras 3.088.</w:t>
      </w:r>
    </w:p>
    <w:p>
      <w:pPr>
        <w:spacing w:after="100"/>
      </w:pPr>
      <w:r>
        <w:t xml:space="preserve">El flujo operativo es el «principal operating activities» que publica HKEX (no HKFRS): el estatutario mezcla los movimientos de los fondos de los miembros y no sirve [1]. Entre 2018 y 2025 pasó de 10.416 M a 19.855 M, en línea con el beneficio (conversión cercana al 100 %). El capex recurrente es de 1.100-1.900 M al año (6-7 % de los ingresos, sistemas de negociación y compensación, plataforma de derivados ODP); 2025 incluye 3.148 M pagados por la sede de Exchange Square, una inversión única de 6.300 M que reduce alquileres [1]. Los dividendos son el 90 % del beneficio (sin la Fundación) y se pagan en dos veces; las «recompras» son compras de acciones para el plan de incentivos, no amortización [1]. Estimación propia: capex de mantenimiento ≈ amortización (1.568 M en 2025), el resto, crecimiento.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hasta la junta de 29-abr-2026; KPMG desde entonces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cuentas son sencillas: ingresos por comisiones reconocidos en el momento de la operación (18.691 M de 23.745 M en 2025) o a lo largo del tiempo (cuotas de cotización y datos, 5.054 M) [1]. No hay capitalización agresiva: los sistemas desarrollados se amortizan y se capitalizaron 1.930 M en 2025. El pago en acciones es pequeño (361 M, el 2 % del beneficio). El punto contable relevante es que el beneficio incluye el rendimiento de dos carteras: la caja propia (1.870 M) y los márgenes de los miembros (neto de reembolsos, 3.241 M en 2025), ambos sensibles a los tipos de interés [1]. El cambio de auditor (PwC a KPMG en 2026) se hizo por concurso tras la política de rotación y PwC no comunicó asuntos [1]. Altman, Piotroski y Beneish: el motor no los calcula porque no se dan activo ni pasivo totales (el balance de las cámaras, 577.078 M, los haría inútiles).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 por rotación; PwC confirmó que no había asuntos que comunicar [26].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ligado a los tipos de interés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 márgenes y caja propia ≈ 22 % del EBITDA de 2025; baja con los tipos y con los reembolsos a los miembros (−19 % en 1S26).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 de Elliott por el níquel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nueva en el CAT (sep-2026) tras perder la revisión judicial en todas las instancias.</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5"/>
        <w:gridCol w:w="985"/>
        <w:gridCol w:w="98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13.274 M en 2025 (el 60 % del capital invertido medio); ha subido más de un 5 % en 0 de 7 años: sin compras. ROIC publicado 73,8 %; sin fondo de comercio, 185,0 %. Sin compras relevantes: el publicado ya es el ROIC del negocio.</w:t>
      </w:r>
    </w:p>
    <w:p>
      <w:pPr>
        <w:spacing w:after="100"/>
      </w:pPr>
      <w:r>
        <w:rPr>
          <w:b/>
          <w:bCs/>
        </w:rPr>
        <w:t xml:space="preserve">ROIC incremental</w:t>
      </w:r>
      <w:r>
        <w:t xml:space="preserve"> (variación del NOPAT sobre variación del capital invertido en el periodo): 171,4 % · </w:t>
      </w:r>
      <w:r>
        <w:rPr>
          <w:b/>
          <w:bCs/>
        </w:rPr>
        <w:t xml:space="preserve">WACC</w:t>
      </w:r>
      <w:r>
        <w:t xml:space="preserve">: 11,1 %.</w:t>
      </w:r>
    </w:p>
    <w:p>
      <w:pPr>
        <w:spacing w:after="100"/>
      </w:pPr>
      <w:r>
        <w:t xml:space="preserve">HKEX crea valor con holgura y desde siempre: el ROIC (NOPAT sobre patrimonio más deuda menos la caja propia) fue del 46-61 % en 2018-2024 y del 73,8 % en 2025, frente a un WACC del 11,14 % [1]. Sin el fondo de comercio de la LME (13.274 M, el 60 % del capital invertido) el ROIC sube al 185 %: el negocio de Hong Kong casi no usa capital. Lo mueve el margen, no la rotación: un margen neto del 65,8 % sobre ventas. El ROIC incremental histórico (171 %) confirma que el crecimiento de los últimos años salió de volumen sin capital nuevo. Frente a los comparables es excepcional: CME 12,2 %, Deutsche Börse 14,0 %, ICE 8,6 %, LSEG 6,5 % (ficha sectorial, con su fondo de comercio) [33]. Si se contara la caja propia como capital, la rentabilidad sobre el patrimonio sería del 31,7 % (2025).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propia (Corporate Funds) de 39.901 M a 30-jun-2026, de la que 2.186 M está reservada a las aportaciones propias a los fondos de garantía («skin in the game»); líneas bancarias de 25.944 M (18.997 M comprometidas y 6.500 M de repos) y 7.000 M más para los periodos de mayor necesidad, a 31-dic-2025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agencia publicado en el informe anual 2025 (no tiene bonos en circulación).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HK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única «deuda» son opciones de venta concedidas a minoritarios de una filial (150 M a 30-jun-2026, 398 M a dic-25) y 796 M de arrendamientos [2]. El balance consolidado (577.078 M de activo) recoge los márgenes y fondos de garantía de los miembros de las cámaras (288.066 M de depósitos y 35.678 M de aportaciones), los contratos de metales de la LME en derivados (118.603 M a cada lado) y saldos de liquidación de Stock Connect: son de los miembros y se excluyen del puente y del capital invertido [2]. Compromisos: 3.424 M pendientes de la sede a dic-25 (de los que 2.447 M se pagaron en 1S26) y 1.861 M de inversión en sistemas [1, 2]. Litigio: Elliott demandó a HKEX y la LME el 3-sep-2026 ante el Competition Appeal Tribunal británico por la cancelación de operaciones de níquel de 2022; no hay importe y la demanda no está notificada [12]. Sin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Dividendo del 90 % del beneficio atribuido (sin la Fundación), en dos pagos: 6,00 y 6,52 HKD por 2025 (12,52 HKD) y 7,43 HKD a cuenta de 2026, pagado el 15-sep-2026 [1, 2]. No hay recompras de amortización: compra acciones en mercado solo para el plan de incentivos (512 M en 2025). La junta renueva cada año una autorización para recomprar hasta el 10 % que no usa [25]; acciones emitidas a 30-sep-2026: 1.267,8 M, sin autocartera [11]. Prioridades declaradas: invertir en la infraestructura y en el ecosistema multiactivo, y el dividendo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HK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Metal Exchange (LME)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y ampliación de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 13.300 M sin deterioro; el segmento de materias primas da 1.822 M de EBITDA en 2025, ≈ 10 % de rendimiento antes de impuestos sobre lo pagado tras 13 años; crisis del níquel de 2022 con multa de la FCA (90 M) y litigios.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de CMU OmniClear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la central de custodia de bonos de la HKMA; demasiado reciente para juzgarla.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Sede en One Exchange Square (inmueble)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alquileres; inversión no recurrente, pagada en 2025-26.</w:t>
            </w:r>
          </w:p>
        </w:tc>
      </w:tr>
    </w:tbl>
    <w:p>
      <w:pPr>
        <w:spacing w:after="160" w:before="0"/>
      </w:pPr>
    </w:p>
    <w:p>
      <w:pPr>
        <w:spacing w:after="100"/>
      </w:pPr>
      <w:r>
        <w:t xml:space="preserve">La dirección asigna el capital de forma conservadora: reparte el 90 %, no se endeuda y no ha hecho compras grandes desde la LME. Esa compra es el borrón: 16.700 M HKD (1.388 M GBP) por un negocio que hoy rinde un 10 % antes de impuestos y que costó una crisis de reputación en 2022. El fracaso de la oferta por LSEG (2019, 123 M de costes) muestra apetito por operaciones grandes, pero no se materializó [5]. El ROIC se mantiene muy alto porque el capital invertido apenas crece. El riesgo es que la caja propia (≈ 37.700 M) se use en otra compra cara en vez de devolverse.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Bonnie Y Chan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(Chief Executive) y consejera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Abogada (socia de Davis Polk 2010-2019), jefa de cotización de HKEX (2020-2023) y codirectora de operaciones (2023-24). Con ella al frente: récord de salidas a bolsa en 2025, beneficio de 17.754 M (+36 %) y la reforma de cotización de 2026. Contrato renovado hasta feb-2030 [1,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Carlson Tong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(consejero nombrado por el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de la SFC y de KPMG China; preside el consejo y las comisiones de nombramientos y de remuneración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Herbert Hui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de MTR (2016-2023) y de K Wah; llegó en junio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Vanessa Lau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HKEX entre 2020 y 2025; consejera delegada de SEHK, HKFE y HKSCC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Richard Leung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sistemas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HKEX desde 2011 (exdirector de tecnología de Chi-X Global); responsable de la nueva plataforma de derivados ODP [1].</w:t>
            </w:r>
          </w:p>
        </w:tc>
      </w:tr>
    </w:tbl>
    <w:p>
      <w:pPr>
        <w:spacing w:after="160" w:before="0"/>
      </w:pPr>
    </w:p>
    <w:p>
      <w:pPr>
        <w:spacing w:after="100"/>
      </w:pPr>
      <w:r>
        <w:t xml:space="preserve">Equipo estable y de la casa: la consejera delegada lleva seis años en HKEX y el Consejo le renovó el contrato en agosto de 2026 por tres años más, con aprobación de la SFC [27]. La rotación de 2025 (nuevo director financiero externo y la anterior directora financiera a operaciones) fue ordenada. HKEX no publica previsiones de resultados ni objetivos financieros a medio plazo: no hay historial de guía que contrastar; su credibilidad se mide por la ejecución de las reformas anunciadas (reforma de cotización, USM, Stock Connect), que se han cumplido en plazo [1]. El plan de sucesión lo revisa el Consejo cada año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Carlson Tong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 Remuneración (pres.), Ejecutiva (pres.), Riesgos legal (pres.)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Bonnie Y Chan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Nicholas Charles Allen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 Nombramientos,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Wilhelm Hubert Brien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Clement Chan Kam Wing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(nombrado por el Gobierno)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 Kin Por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(nombrado por el Gobierno)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Cheung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Herbert Chia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(nombrado por el Gobierno)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Ding Chen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(nombrada por el Gobierno)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Miranda Kwok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Robert Halyburton Orr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Yam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(nombrado por el Gobierno)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Yichen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Responsabilidad corporativa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78,8 %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Chase &amp; Co. (incluye gestión, préstamo y custodia)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declarada a dic-25; como beneficiario directo, 0,77 %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de Hong Kong (Exchange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controlador minoritario desde 2007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Computershare (fideicomiso del plan de acciones)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del plan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 M de acciones; compra ≈ 500 M HKD al año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controladores minoritarios aprobados por la SFC suman ≈ 76 % como intermediarios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de la consejera delegada en 2025: 50,6 M HKD (salario 10,3 M, incentivo en efectivo 11,7 M, beneficios y pensión 1,4 M y acciones concedidas por 27,3 M que se consolidan en tres años) [1]. El incentivo depende de una evaluación de resultados corporativos con indicadores fijados por la comisión de remuneración (financieros, estratégicos, de riesgo y de cumplimiento) y de la valoración individual en una escala de cinco puntos; no hay una métrica explícita de ROIC, TSR o flujo [1]. En Hong Kong la remuneración no se vota en junta; los honorarios de los consejeros no ejecutivos sí (99,96 % a favor en 2026) [25]. Ratio frente al coste medio por empleado (4.000 M / 2.497): ≈ 32 veces (estimación propia).</w:t>
      </w:r>
    </w:p>
    <w:p>
      <w:pPr>
        <w:pStyle w:val="Heading2"/>
      </w:pPr>
      <w:r>
        <w:t xml:space="preserve">Operaciones vinculadas, estructura de control y defensas</w:t>
      </w:r>
    </w:p>
    <w:p>
      <w:pPr>
        <w:spacing w:after="100"/>
      </w:pPr>
      <w:r>
        <w:t xml:space="preserve">Nadie puede controlar más del 5 % sin permiso de la SFC («controlador minoritario»): es un límite legal de la Ordenanza de Valores y Futuros, no estatutario [1]. El Gobierno de Hong Kong tiene el 6,17 % y nombra a seis de los trece consejeros (entre ellos el presidente, Carlson Tong); los consejeros nombrados por el Gobierno no se someten a elección, y el nombramiento del presidente y del consejero delegado necesita la aprobación del Gobierno o de la SFC [1, 27]. Por eso tratamos al Gobierno como accionista de control de hecho: decide la cúpula y su interés (Hong Kong como plaza financiera) puede no coincidir con el del accionista (por ejemplo, en comisiones o en su papel de regulador). No hay clases de acciones ni blindajes.</w:t>
      </w:r>
    </w:p>
    <w:p>
      <w:pPr>
        <w:pStyle w:val="Heading2"/>
      </w:pPr>
      <w:r>
        <w:t xml:space="preserve">Señales de alerta</w:t>
      </w:r>
    </w:p>
    <w:p>
      <w:pPr>
        <w:pStyle w:val="ListParagraph"/>
        <w:numPr>
          <w:ilvl w:val="0"/>
          <w:numId w:val="2"/>
        </w:numPr>
        <w:spacing w:after="60"/>
      </w:pPr>
      <w:r>
        <w:t xml:space="preserve">El Gobierno nombra a seis de trece consejeros y aprueba al presidente y al consejero delegado: el minoritario no decide la cúpula [1].</w:t>
      </w:r>
    </w:p>
    <w:p>
      <w:pPr>
        <w:pStyle w:val="ListParagraph"/>
        <w:numPr>
          <w:ilvl w:val="0"/>
          <w:numId w:val="2"/>
        </w:numPr>
        <w:spacing w:after="60"/>
      </w:pPr>
      <w:r>
        <w:t xml:space="preserve">Gordon Orr fue elegido con un 21,19 % de votos en contra en la junta de 29-abr-2026 [25].</w:t>
      </w:r>
    </w:p>
    <w:p>
      <w:pPr>
        <w:pStyle w:val="ListParagraph"/>
        <w:numPr>
          <w:ilvl w:val="0"/>
          <w:numId w:val="2"/>
        </w:numPr>
        <w:spacing w:after="60"/>
      </w:pPr>
      <w:r>
        <w:t xml:space="preserve">Cambio de auditor en 2026 (PwC a KPMG) por concurso, sin asuntos comunicados [26].</w:t>
      </w:r>
    </w:p>
    <w:p>
      <w:pPr>
        <w:pStyle w:val="ListParagraph"/>
        <w:numPr>
          <w:ilvl w:val="0"/>
          <w:numId w:val="2"/>
        </w:numPr>
        <w:spacing w:after="60"/>
      </w:pPr>
      <w:r>
        <w:t xml:space="preserve">Nueva demanda de Elliott por el níquel ante el Competition Appeal Tribunal (sep-2026)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HKEX no publica previsiones de beneficio ni objetivos financieros. Su «guía» son prioridades estratégicas: ampliar el ecosistema multiactivo (renta fija y divisas, materias primas en Asia, índices propios), reformar la microestructura (liquidación acelerada, lotes, horario) y conectar con nuevos mercados (ASEAN, Oriente Medio, Asia Central), con la compra de la sede y la plataforma de derivados ODP como inversiones principales [2]. En la presentación de 1S26 (19-ago-2026) la dirección advirtió de la incertidumbre macro y geopolítica persistente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Stock Analysis da BPA 15,84 [30,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Stock Analysis da BPA 16,12 [30,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410,00 – 542,00</w:t>
            </w:r>
          </w:p>
        </w:tc>
      </w:tr>
    </w:tbl>
    <w:p>
      <w:pPr>
        <w:spacing w:after="160" w:before="0"/>
      </w:pPr>
    </w:p>
    <w:p>
      <w:pPr>
        <w:pStyle w:val="Heading2"/>
      </w:pPr>
      <w:r>
        <w:t xml:space="preserve">Revisiones de estimaciones</w:t>
      </w:r>
    </w:p>
    <w:p>
      <w:pPr>
        <w:spacing w:after="100"/>
      </w:pPr>
      <w:r>
        <w:t xml:space="preserve">Las estimaciones son de MarketScreener (ingresos y EBITDA con el rendimiento de la caja propia, como los publica HKEX) y se contrastan con Stock Analysis (S&amp;P Global): BPA 2026e 15,84 y 2027e 16,12, recomendación 11 «compra fuerte», 4 «compra» y 2 «mantener», objetivo medio 504,19 HKD, mediana 516,50 [30, 31, 32]. En los últimos días los objetivos bajan: Goldman Sachs a 523 HKD el 12-oct-2026, avisando de que el beneficio del 3T26 puede caer por primera vez en dos años, y UBS de 450 a 420 HKD el 15-oct-2026 [39, 40]. No tenemos la serie de revisiones del BPA a 3 y 12 meses (gráficos sin cifras).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subió un 42 % en 2025 con la contratación récord y cae un 5,8 % en lo que va de 2026 (rentabilidad total) frente al −2,5 % del Tracker Fund y el +8,1 % del ETF financiero mundial (IXG) [29]. A 3 años gana un 12,4 % anual; a 5 años pierde un 1,8 % anual porque el punto de partida (2021) era el pico de la burbuja de las tecnológicas chinas, con una caída máxima del 56,4 % entre oct-2021 y oct-2022 [29]. La beta mensual a 5 años es 1,44 frente al Tracker Fund y 0,79 frente al índice mundial ACWI: es una acción muy ligada al ciclo de la bolsa de Hong Kong pero poco al mercado mundial. Volatilidad de un año del 20,2 % [29].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 -6,0 % / -9,1 % / -16,0 %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 / +3,1 %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11-jun-2026 con la bolsa de Hong Kong, ante el vencimiento en julio de bloqueos de acciones de salidas a bolsa por 255.000 M HKD y la toma de beneficios tras el récord de 1T26 [41]; el mínimo de 52 semanas (360 HKD) llegó el 29-jun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un mes hasta el 30-jul-2026: Goldman Sachs reitera «compra» citando el apoyo de Pekín (16-jul) [42], la reforma de cotización más grande en ocho años (24-jul) [43] y la contratación récord de julio (307.200 M HKD diarios)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 el viernes 6-nov-2026 (aviso de consejo del 18-sep) [37]; el 3T26 tuvo una contratación media ≈ 11 % inferior a la del 3T25 y Goldman avisa de un posible primer descenso del beneficio en dos años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rebaja su objetivo de 450 a 420 HKD [40]; Goldman Sachs lo baja a 523 HKD el 12-oct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demanda a HKEX y la LME ante el Competition Appeal Tribunal británico por la cancelación de operaciones de níquel de 2022; sin importe, no notificada; HKEX la considera sin fundamento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sin el dividendo a cuenta de 7,43 HKD (pagado el 15-sep); la caída de 4,6 % de ese día es en su mayor parte el dividendo y el mercado [29,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Renovado el contrato de la consejera delegada, Bonnie Chan, hasta feb-2030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el 6-nov-2026 para adaptar los estatutos al mercado sin certificados (USM); trámite sin efecto económico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18,2 % bajo su máximo de 52 semanas (444,80 HKD el 29-ene-2026) y un 3,1 % sobre el mínimo, con tendencia bajista (7,5 % bajo la media de 200 sesiones) [29]. La causa es conocida y está en la tesis: la contratación de Hong Kong bajó de 307.200 M diarios en julio a 201.900 M en septiembre y el 3T26 será peor que el 3T25; los analistas recortan objetivos [39, 40]. No hay colocaciones, ampliaciones ni ofertas pendientes. El litigio de Elliott no tiene fecha ni importe. Los resultados del 6-nov no retrasan nada (regla 11). Veredicto: no cambia. Fuentes buscadas: avisos de HKEXnews de 12 meses, Google Noticias y la prensa financiera de Hong Kong.</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nuestro BPA, HKEX cotiza a 26,7 veces el beneficio de 2027e, en línea con la mediana adelantada de 2022-2025 (26,45 veces; sin 2020 y 2021, años de burbuja) y por debajo de los 28-32 veces de 2016-2019. El mercado ha rebajado el múltiplo desde la burbuja de 2021 por el riesgo de China y por los tipos de interés más altos; con el BPA del consenso el PER de los próximos 12 meses es de 23,2 veces. No hay descuento frente a su historia que recoger: la regla común sitúa el base en 26,6 veces.</w:t>
      </w:r>
    </w:p>
    <w:p>
      <w:pPr>
        <w:pStyle w:val="Heading1"/>
      </w:pPr>
      <w:r>
        <w:t xml:space="preserve">18. Comparables cotizados</w:t>
      </w:r>
    </w:p>
    <w:p>
      <w:pPr>
        <w:pStyle w:val="Confianza"/>
        <w:spacing w:after="100"/>
      </w:pPr>
      <w:r>
        <w:t xml:space="preserve">Confianza: Media</w:t>
      </w:r>
    </w:p>
    <w:p>
      <w:pPr>
        <w:spacing w:after="100"/>
      </w:pPr>
      <w:r>
        <w:t xml:space="preserve">Ocho infraestructuras de mercado con negocio de bolsa, cámara, plataforma o índices: CME, ICE, Nasdaq, Deutsche Börse, LSEG, Tradeweb, MSCI y S&amp;P Global, con cifras de la ficha sectorial del repo (MarketScreener y Stock Analysis al 13/14-oct-2026), capitalización pasada a HKD a 7,847 [33, 36]. Fuera Moody's, Verisk, FactSet y Thomson Reuters (datos y calificaciones, menos parecidas). Faltan SGX y JPX, las más cercanas por región, porque no tenemos sus estimaciones del mismo proveedor: es una limitación (SGX cotiza a un múltiplo menor que las estadounidenses).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784.496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948.749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16,5x / 17,6x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 / 18,8x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 / 23,8x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 / 10,6x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11,9 + 0,46 × crecimiento; R² = 0,11. El crecimiento explica poco los múltiplos de estos comparables (R² &lt; 0,3): la regresión no se usa en la valoración.</w:t>
      </w:r>
    </w:p>
    <w:p>
      <w:pPr>
        <w:spacing w:after="100"/>
      </w:pPr>
      <w:r>
        <w:t xml:space="preserve">HKEX cotiza a 23,2 veces el beneficio de los próximos 12 meses del consenso, en la mediana de los comparables (23,8 veces) y con un EV/EBITDA de 18,6 veces frente a 16,5 [33]. La prima en EV/EBITDA no compensa lo que la separa del grupo: más margen (77,5 % frente al 58 % mediano) y más ROIC, pero más ciclicidad (ingresos de −9 % a +33 % en un año) y riesgo país, sin poder de precios y con un crecimiento esperado del consenso (≈ 7 %) igual al del grupo. Usaríamos el PER: valor implícito de 380,49 HKD (rango 362,06-397,71). La regresión múltiplo-crecimiento no explica nada (R² 0,11) y no se usa. Comparables sin SGX ni JPX (sin estimaciones del mismo proveedor), que cotizan más baratas.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5.580 M USD a 7,847 HKD; ventas y EBITDA de 12 meses a jun-2026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múltiplos sobre las previsiones de 2023 publicadas por Nasdaq (estimación del informe de ICE)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44.000 M USD de valor empresa publicado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valor empresa con 12.500 M USD de deuda; EBITDA ajustado de 2018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sep-2023; sin EBITDA oficial del perímetro comprado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262,25 – 494,46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transacciones del sector se pagan a 13-31 veces el EBITDA, pero son de datos, software o plataformas, no de bolsas con monopolio legal, y HKEX no puede ser comprada: el límite del 5 % sin permiso de la SFC y el papel del Gobierno lo impiden [18]. Sirven solo de contraste;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sin caja propia crecieron un 8,1 % anual en 2018-2025 con años de −9 % (2022) y +33 % (2025), siempre al ritmo de la contratación [1, 3]. 2026e (+9,2 %, fijo) sale de 1S26 (15.483 M sin caja propia) y de un 2S con la contratación de julio-septiembre (≈ 254.000 M diarios, −11 % sobre el 3T25) y un 4T de 230.000 M [2, 10]. 2027e: −3 %, porque la contratación récord de 2025-26 vuelve a una media de ≈ 235.000 M diarios y los reembolsos a los miembros siguen subiendo. 2028-2030: +6-6,5 % (Stock Connect, salidas a bolsa, renta fija y RMB, derivados) y bajada hasta el 3,5 % en 2033. Crecimiento medio de la proyección: 4,8 %, frente al 7-8 % del consenso para 2026-28 [30].</w:t>
      </w:r>
    </w:p>
    <w:p>
      <w:pPr>
        <w:keepNext/>
        <w:spacing w:after="100"/>
      </w:pPr>
      <w:r>
        <w:rPr>
          <w:b/>
          <w:bCs/>
        </w:rPr>
        <w:t xml:space="preserve">Márgenes.</w:t>
      </w:r>
    </w:p>
    <w:p>
      <w:pPr>
        <w:spacing w:after="100"/>
      </w:pPr>
      <w:r>
        <w:t xml:space="preserve">Margen EBITDA sin caja propia del 77,5 % en 2025 y ≈ 79,6 % en 1S26 [1, 2]. Proyectamos 78 % en 2026e, 76 % en 2027e (ingresos que bajan con costes que suben un 6 %) y 76-76,5 % después, por encima de la media de 2018-2025 (≈ 74 %) porque la escala de 2025-26 se mantiene en parte y los costes son casi fijos. La historia da el rango: 71 % con 105.000 M diarios (2023) y 77,5 % con 250.000 M (2025).</w:t>
      </w:r>
    </w:p>
    <w:p>
      <w:pPr>
        <w:keepNext/>
        <w:spacing w:after="100"/>
      </w:pPr>
      <w:r>
        <w:rPr>
          <w:b/>
          <w:bCs/>
        </w:rPr>
        <w:t xml:space="preserve">Inversión y circulante.</w:t>
      </w:r>
    </w:p>
    <w:p>
      <w:pPr>
        <w:spacing w:after="100"/>
      </w:pPr>
      <w:r>
        <w:t xml:space="preserve">Capex del 15,5 % de las ventas en 2026e por la sede (2.447 M en 1S26 y ≈ 1.000 M pendientes) y del 7 % después (sistemas, plataforma de derivados ODP), por encima de la amortización (5,5 % al 6,5 %), como en 2018-2025 (6-7 % sin la sede) [1, 2]. El circulante comercial es nulo: las comisiones se cobran a través de los miembros en días y los saldos de liquidación no son de HKEX.</w:t>
      </w:r>
    </w:p>
    <w:p>
      <w:pPr>
        <w:keepNext/>
        <w:spacing w:after="100"/>
      </w:pPr>
      <w:r>
        <w:rPr>
          <w:b/>
          <w:bCs/>
        </w:rPr>
        <w:t xml:space="preserve">Coste del capital.</w:t>
      </w:r>
    </w:p>
    <w:p>
      <w:pPr>
        <w:spacing w:after="100"/>
      </w:pPr>
      <w:r>
        <w:t xml:space="preserve">Tasa libre del 5,19 %: bono del Tesoro de EE. UU. a 10 años del 14-oct-2026, porque el HKD está ligado al USD desde 1983 [34]. Beta de 0,90: la mensual de 5 años frente al índice mundial ACWI es 0,79 (ajustada 0,86) y frente al Tracker Fund de Hong Kong 1,44 (semanal de 2 años, 1,05) [29]; tomamos la del inversor global con un ajuste al alza. Prima de mercado del 5,5 % y prima adicional de 1,0 punto por riesgo país de China y Hong Kong (Stock Connect, regulación de Pekín, sanciones de EE. UU.). Sin deuda: WACC = coste del capital = 11,14 %. Con la prima implícita del mercado (4,2 %) el WACC sería del 9,97 % [35].</w:t>
      </w:r>
    </w:p>
    <w:p>
      <w:pPr>
        <w:keepNext/>
        <w:spacing w:after="100"/>
      </w:pPr>
      <w:r>
        <w:rPr>
          <w:b/>
          <w:bCs/>
        </w:rPr>
        <w:t xml:space="preserve">Valor terminal.</w:t>
      </w:r>
    </w:p>
    <w:p>
      <w:pPr>
        <w:spacing w:after="100"/>
      </w:pPr>
      <w:r>
        <w:t xml:space="preserve">Crecimiento terminal del 3,0 %: inflación esperada del USD (≈ 2,5 %) más un crecimiento real pequeño, y por debajo de la tasa libre menos medio punto (4,69 %). Gordon sobre un negocio sin inversión neta implica ≈ 9,6 veces el EBITDA terminal, muy por debajo de las 15 veces de los comparables y de las 19 veces a las que cotiza HKEX: es la consecuencia directa de descontar al 11,14 %. No usamos el múltiplo de salida porque metería en el valor terminal el mismo múltiplo de mercado que el DCF tiene que contrastar.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HK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HK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4.473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 (histórico: 171,4 %)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4.473 M, el 3 % del NOPAT, con un capex bruto medio del 8,1 %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contratación media de ≈ 262.000 M diarios (+5 %), derivados y LME +4-18 % y salidas a bolsa +106 % en 9M26 [2, 10]; precio: −1 punto por los reembolsos de intereses a los miembros y la rebaja de diferenciales mínimos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normalización de la contratación desde el récord; precio −1 punto: el rendimiento de los márgenes baja con los tipos y los reembolsos.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(contratación +4-5 % anual, en la línea de los últimos diez años sin los picos) y otros +1 punto (futuros de bonos chinos, productos en RMB, índices propios)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y nuevos productos +1,5 puntos; sin subidas de tarifas.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+4,5 % y nuevos productos +1,5 puntos.</w:t>
            </w:r>
          </w:p>
        </w:tc>
      </w:tr>
    </w:tbl>
    <w:p>
      <w:pPr>
        <w:spacing w:after="160" w:before="0"/>
      </w:pPr>
    </w:p>
    <w:p>
      <w:pPr>
        <w:spacing w:after="100"/>
      </w:pPr>
      <w:r>
        <w:t xml:space="preserve">Sí. La proyección crece un 4,8 % anual, por debajo del 8,1 % de 2018-2025, y apenas necesita capital: la reinversión acumulada es el 3 % del NOPAT, así que la prueba de reinversión del motor no aplica y la hacemos con el poder de mercado. HKEX tiene el 100 % de la contratación de Hong Kong y de Stock Connect por ley, un margen EBITDA del 77,5 % y un ROIC del 73,8 % (185 % sin el fondo de comercio de la LME) [1]. El crecimiento proyectado sale de volumen (contratación +4-5 % anual, frente al +14 % de 2020-2025) y de productos nuevos, sin subir precios: no exige ganar cuota, que ya es total en su mercado. La prueba de cuota mundial (mercado_final) no se hace porque el mercado de HKEX se mide en volumen y su cuota es del 100 %. El riesgo para el crecimiento no es la calidad, sino el ciclo de la bolsa china y la política.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106 % justifica el precio (base: 76,0 %)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11,1 %)</w:t>
            </w:r>
          </w:p>
        </w:tc>
      </w:tr>
    </w:tbl>
    <w:p>
      <w:pPr>
        <w:spacing w:after="160" w:before="0"/>
      </w:pPr>
    </w:p>
    <w:p>
      <w:pPr>
        <w:spacing w:after="100"/>
      </w:pPr>
      <w:r>
        <w:t xml:space="preserve">El DCF da 201,71 HKD por acción, un 45,7 % por debajo del precio, con un 58 % del valor en el terminal y un rango de 185,70 a 222,09 con el WACC y el crecimiento ±0,5 puntos. El DCF inverso es la clave: para justificar 371,40 HKD con un WACC del 11,14 % harían falta ventas que crecieran un 16,7 % anual en 2027-2033 (nuestro base: 4,1 %), y ningún margen hasta el 106 % lo cierra; dicho de otra forma, el precio descuenta una rentabilidad anual del 7,2 %, menos de dos puntos por encima del bono de EE. UU. a 10 años (5,19 %). Es una exigencia alta frente a la historia: la contratación de Hong Kong creció un 14 % anual en 2020-2025 partiendo de un año normal, pero con caídas del 25 % y del 16 % en 2022 y 2023. El mercado paga a HKEX como un activo de calidad y de crecimiento estructural (24 veces el beneficio, 3,8 % de dividendo); nuestro coste de capital, con un punto de riesgo país, no lo justifica. Con la prima implícita del mercado (WACC del 9,97 %) el DCF sube a 231,77 HKD y sigue lejos.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2022-2023: la bolsa china cae, la contratación de Hong Kong baja a ≈ 150.000 M diarios en 2027 (ingresos −18,5 %), las salidas a bolsa se paran y el margen EBITDA cae al 68,5 %; después se recupera a un ritmo menor. Ya le pasó: los ingresos sin caja propia bajaron un 9 % en 2022 con la contratación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contratación se normaliza en 2027 (≈ 235.000 M diarios) tras el récord de 2025-26 y vuelve a crecer un 4-5 % anual con Stock Connect, las salidas a bolsa de tecnológicas chinas y los productos de renta fija y en RMB; margen EBITDA del 76-76,5 % y tipos algo más bajos.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sigue atrayendo capital internacional, la contratación se queda cerca de 270.000 M diarios y crece después un 6-8 % anual; los futuros de bonos y los productos en RMB despegan y el margen sube al 77,5-78 %.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HKD) · precio actual 37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196,41 HKD (-47,1 %).</w:t>
      </w:r>
    </w:p>
    <w:p>
      <w:pPr>
        <w:spacing w:after="100"/>
      </w:pPr>
      <w:r>
        <w:t xml:space="preserve">En valor intrínseco todos los escenarios quedan por debajo del precio: el bajista vale 160,67 HKD (−56,7 %), el base 201,71 (−45,7 %) y el alcista 226,53 (−39,0 %), porque el problema no es el negocio sino la tasa a la que lo descontamos. A 12 meses, con la regla común de múltiplos, el alcista gana un 26,0 % y el bajista pierde un 29,4 % (asimetría 0,67): el riesgo de caída pesa más que el de subida, y la ponderada (3,2 %) no compensa.</w:t>
      </w:r>
    </w:p>
    <w:p>
      <w:pPr>
        <w:pStyle w:val="Heading1"/>
      </w:pPr>
      <w:r>
        <w:t xml:space="preserve">22. Suma de partes</w:t>
      </w:r>
    </w:p>
    <w:p>
      <w:pPr>
        <w:pStyle w:val="Confianza"/>
        <w:spacing w:after="100"/>
      </w:pPr>
      <w:r>
        <w:t xml:space="preserve">Confianza: Media</w:t>
      </w:r>
    </w:p>
    <w:p>
      <w:pPr>
        <w:spacing w:after="100"/>
      </w:pPr>
      <w:r>
        <w:t xml:space="preserve">No aplica: los cuatro segmentos comparten la misma economía de bolsa y cámara (comisiones por volumen, costes fijos comunes) y el único negocio distinto, la LME (8 % del EBITDA de 2025), no cambia el valor por separado; se valora con el DCF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HKD) · precio actual 37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246,95 HKD (-33,5 % sobre 371,40).</w:t>
      </w:r>
    </w:p>
    <w:p>
      <w:pPr>
        <w:spacing w:after="100"/>
      </w:pPr>
      <w:r>
        <w:t xml:space="preserve">Pesos: DCF 50 %, comparables 30 % y escenarios 20 %; las transacciones no pesan (HKEX no se puede comprar: límite del 5 % sin permiso de la SFC) y no hay suma de partes. El método más fiable para HKEX es el DCF porque su negocio es predecible en coste y estable en estructura, pero su resultado depende de la tasa de descuento más que en casi ninguna otra empresa: no reinvierte y lo reparte todo. La dispersión es enorme: los comparables dan 331,59 (EV/EBITDA próximos 12 meses) y 380,49 HKD (PER), cerca del precio, y el DCF 201,71. La diferencia dice que el sector entero cotiza con una rentabilidad implícita baja frente a los tipos de 2026 (ficha sectorial: flujo libre del 4,4 %) y que HKEX cotiza en línea con él pese a su mayor ciclicidad y su riesgo país. Valor intrínseco: 246,95 HKD.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(26.7x) a mitad de camino hacia abajo, hacia la mediana de 5 años (26.5x)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bl>
    <w:p>
      <w:pPr>
        <w:spacing w:after="160" w:before="0"/>
      </w:pPr>
    </w:p>
    <w:p>
      <w:pPr>
        <w:spacing w:after="100"/>
      </w:pPr>
      <w:r>
        <w:rPr>
          <w:b/>
          <w:bCs/>
        </w:rPr>
        <w:t xml:space="preserve">Objetivo a 12 meses (ponderado):</w:t>
      </w:r>
      <w:r>
        <w:t xml:space="preserve"> 369,42 HKD · rentabilidad +3,2 % (base +9,8 %) · señal Mantener.</w:t>
      </w:r>
    </w:p>
    <w:p>
      <w:pPr>
        <w:spacing w:after="100"/>
      </w:pPr>
      <w:r>
        <w:t xml:space="preserve">Para comparar, con la regla v2 (historia al cierre, mismo precio): 22,7x / 26,7x / 33,9x, 9,1 %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(14,80 HKD) queda un 12,7 % por debajo del consenso (16,95) y el de 2027e (13,92) un 13,3 % por debajo de 16,06 [30]. La diferencia es de ventas, no de margen ni de dilución: el consenso supone que la contratación de 2027 iguala a la de 2026 y nosotros la normalizamos (−3 % de ingresos) tras un septiembre de 201.900 M diarios, y suponemos que los tipos más bajos recortan el rendimiento de los márgenes y de la caja propia. Revisado cada supuesto, lo mantenemos. Nuestro precio base (393,68 HKD) queda un 21,9 % por debajo del objetivo medio de los analistas (504,19), que está fuera de nuestro rango (248,22-454,18): además del BPA, los analistas aplican un PER cercano a 30 veces, por encima de la mediana adelantada de 5 años (26,45 veces).</w:t>
      </w:r>
    </w:p>
    <w:p>
      <w:pPr>
        <w:keepNext/>
        <w:spacing w:after="100"/>
      </w:pPr>
      <w:r>
        <w:rPr>
          <w:b/>
          <w:bCs/>
        </w:rPr>
        <w:t xml:space="preserve">Del valor intrínseco al objetivo a 12 meses.</w:t>
      </w:r>
    </w:p>
    <w:p>
      <w:pPr>
        <w:spacing w:after="100"/>
      </w:pPr>
      <w:r>
        <w:t xml:space="preserve">El objetivo a 12 meses (369,42 HKD ponderado, 393,68 el base) queda muy por encima del valor intrínseco (246,95): la distancia es del 33 % y nace de la tasa de descuento, no del negocio. El mercado lleva años pagando a HKEX entre 21 y 36 veces el beneficio adelantado y la regla común supone que lo seguirá haciendo; el DCF dice que, con un coste de capital del 11,14 %, ese múltiplo no se justifica. No hay catalizador que cierre la distancia en un año: tendría que bajar mucho la tasa libre o subir la contratación de forma permanente. La tesis de valor es, por tanto, de varios años y en contra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 y junta extraordinaria (estatutos para el USM)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3T26 tuvo un 11 % menos de contratación que el 3T25; Goldman avisa de un posible primer descenso del beneficio en dos años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del mercado sin certificados (USM)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 de infraestructura; sin efecto en el beneficio a corto.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 (primeros días de cada mes)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Estadísticas de contratación de HKEX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201.900 M diarios (−20 % sobre agosto); octubre y noviembre deciden el 4T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segundo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la sede en propiedad; guía de gastos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liquidación acelerada (T+1) y ampliación del horario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contratación a largo plazo; HKEX no tiene prisa [21,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de la Reserva Federal (y de la HKMA por el tipo de cambio fijo)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rendimiento de los márgenes y de la caja propia (≈ 22 % del EBITDA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Permiso del Competition Appeal Tribunal para notificar la demanda de Elliott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reputación y de costes legales en la LME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contratación en Hong Kong (ciclo de la bolsa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sobre el DCF (bajista 160,67 frente a 201,71); −29,4 %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casi fijos con un margen del 70 % incluso en el valle; caja propia de 37.715 M y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media mensual por debajo de 180.000 M HKD tres meses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y regulatorio de China: Pekín redirige las salidas a bolsa a Shanghái y Shenzhen, limita Stock Connect o endurece el control de capitales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(Stock Connect y las emisoras chinas son el grueso del volumen)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Pekín usa Hong Kong como puerta al capital extranjero y amplía Stock Connect (bonos, swaps, ETF); la CSRC apoyó la reforma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o restricciones nuevas de Stock Connect; caída de las salidas a bolsa chinas en Hong Kong frente a STAR.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EE. UU.-China: sanciones a Hong Kong, restricciones a invertir en empresas chinas o exclusión de índices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flujos hacia el sur (inversores continentales) ya son 123.100 M HKD diarios y no dependen de Occidente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Órdenes ejecutivas o leyes de EE. UU. sobre inversión en China; salida de fondos internacionales de Hong Kong.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y más reembolsos a los miembros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del BPA por cada punto de bajada (estimación propia: ≈ 300.000 M de fondos medios y caja propia de 37.000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menor tipo se traslada a los miembros vía reembolsos; más interés abierto compensa.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anualizado de los márgenes de Hong Kong por debajo del 1 % (1,40 % en 1S26)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 objetivos de política pública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del 90 % y la cotización disciplinan; el Gobierno solo tiene el 6,17 %.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Rebajas de comisiones o tarifas impulsadas por el Gobierno sin contrapartida de volumen.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 las comisiones de Stock Connect hacia el norte se declaran exentas y Hacienda reclama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(281 M ya adelantados en certificados de reserva; el tipo efectivo subiría si se pierde)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en marcha con asesoramiento fiscal favorable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del recurso ante el Inland Revenue Department.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LME: litigio de Elliott por el níquel y competencia de CME y Shanghái en metales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LME ganó la revisión judicial en todas las instancias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 del CAT para notificar la demanda; caída de la cuota de la LME en cobre.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por las cotizaciones (Nueva York, Shanghái STAR, Singapur) y presión sobre comisiones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Reforma de cotización del 24-jul-2026 y récord de salidas a bolsa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fondos captados en salidas a bolsa frente a 2026 (388.000 M en 9M26).</w:t>
            </w:r>
          </w:p>
        </w:tc>
      </w:tr>
    </w:tbl>
    <w:p>
      <w:pPr>
        <w:spacing w:after="160" w:before="0"/>
      </w:pPr>
    </w:p>
    <w:p>
      <w:pPr>
        <w:pStyle w:val="Heading2"/>
      </w:pPr>
      <w:r>
        <w:t xml:space="preserve">Pre-mortem</w:t>
      </w:r>
    </w:p>
    <w:p>
      <w:pPr>
        <w:spacing w:after="100"/>
      </w:pPr>
      <w:r>
        <w:t xml:space="preserve">Es octubre de 2029 y HKEX vale un 40 % menos. Lo que pasó: el récord de 2025-26 fue un pico, no un escalón. A finales de 2026 la contratación ya había bajado a 200.000 M diarios y en 2027 la bolsa china corrigió tras el agotamiento del entusiasmo por la inteligencia artificial y las salidas a bolsa: la contratación cayó a 150.000 M, los ingresos un 18 % y el beneficio un 25 %, como en 2022-2023. Al mismo tiempo la Reserva Federal bajó los tipos y el rendimiento de los márgenes, que ya caía por los reembolsos, se redujo a la mitad. El mercado, que pagaba 27 veces un BPA de 15-16 HKD, pasó a pagar 21 veces uno de 11-12: el precio fue a ≈ 250 HKD. Lo empeoró una nueva ronda de tensiones entre EE. UU. y China que sacó a fondos internacionales. Los indicadores que lo habrían anticipado: la contratación mensual (septiembre de 2026 ya marcó 201.900 M), las primeras caídas interanuales del beneficio trimestral (aviso de Goldman para el 3T26) y el rendimiento anualizado de los márgenes por debajo del 1,4 %.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w:t>
      </w:r>
    </w:p>
    <w:p>
      <w:pPr>
        <w:spacing w:after="100"/>
      </w:pPr>
      <w:r>
        <w:t xml:space="preserve">La IA no sustituye a una bolsa con monopolio legal: las operaciones tienen que pasar por la contratación, la compensación y la custodia de HKEX. Lo que toca es pequeño y en los dos sentidos. A favor: la ola de salidas a bolsa de empresas chinas de IA y semiconductores fue el motor de la captación récord de 2025-26 (388.000 M en 9M26) y la contratación algorítmica aumenta el volumen [2, 10]; la IA puede rebajar los costes de personal (66 % de los gastos). En contra: el negocio de datos (2.270 M, 8 % de los ingresos) es el único expuesto a que la IA abarate la información de mercado, y un pinchazo de las valoraciones de IA en China secaría las salidas a bolsa. Señal: peso de las salidas a bolsa de tecnología en la captación y evolución de los ingresos de datos.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mueven las cifras de HKEX son de gobierno y de mercado, no ambientales: (1) la gestión de riesgos de las cámaras y de la LME (la crisis del níquel de 2022 costó una multa de 90 M de la FCA en 2025, litigios y reputación) [1, 12]; (2) su papel de regulador de la cotización, que exige independencia frente a su propio interés comercial (las salidas a bolsa son ingresos); (3) los requisitos climáticos de divulgación para las cotizadas (alineados con IFRS S2 desde el 1-ene-2025) y el mercado de carbono Core Climate, que son negocio pequeño [1]. Emisiones propias irrelevantes para el valor.</w:t>
      </w:r>
    </w:p>
    <w:p>
      <w:pPr>
        <w:pStyle w:val="Heading2"/>
      </w:pPr>
      <w:r>
        <w:t xml:space="preserve">Controversias</w:t>
      </w:r>
    </w:p>
    <w:p>
      <w:pPr>
        <w:spacing w:after="100"/>
      </w:pPr>
      <w:r>
        <w:t xml:space="preserve">Crisis del níquel de la LME (marzo de 2022): cancelación de operaciones, revisión judicial ganada por la LME en el Tribunal Superior (2023), el de Apelación (2024) y el Supremo británico, que negó el recurso; multa de la FCA de 90 M HKD (2025) y nueva demanda de Elliott por abuso de posición dominante ante el Competition Appeal Tribunal (3-sep-2026) [1, 12].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contratación de 2025-26 es estructural (Stock Connect, ETF, productos apalancados) y qué parte es el ciclo de la bolsa china?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es una normalización (−3 % de ingresos en nuestro base) o un escalón permanente; es la diferencia con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rendimiento de los márgenes se pierde por cada punto de bajada de tipos después de los cambios en los reembolsos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rendimiento neto de márgenes y caja propia fue ≈ 22 % del EBITDA de 2025 y cayó un 19 % en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propia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39.901 M de la caja propia necesita la empresa por regulación de sus cámaras y qué parte podría devolver?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tratamos casi entera como caja libre en el puente (37.715 M, ≈ 30 HKD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compromisos tiene la CSRC para mantener las salidas a bolsa chinas en Hong Kong frente a STAR y ChiNext?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mayor impacto y no se puede cubrir.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el tipo efectivo si Hacienda gana el recurso sobre las comisiones de Stock Connect hacia el norte?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281 M adelantados y las comisiones del norte se duplicaron en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recompra acciones con la caja sobrante y qué compras estudia?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precedente de la LME (rendimiento del 10 % antes de impuestos) y la oferta por LSEG muestran apetito por compras grandes.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LME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importe reclama Elliott y qué cobertura de seguro tiene la LME?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no tiene importe publicado.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43 (19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 Explicación: Las comisiones de Stock Connect hacia el norte se declaran de fuente extranjera y no tributan (1.082 M de ingresos no sujetos en 2025); con el impuesto mínimo global (Pilar Dos) el tipo sube al 15,7 % en 2025. El DCF proyecta un 16-16,5 %.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11,4 %: explica la causa (créditos fiscales, regularizaciones, mezcla de países) y no lo proyectes en el DCF. Explicación: Misma causa (ingresos de Stock Connect no sujetos); desde 2025 el Pilar Dos lleva el tipo al 15,7 % y el DCF usa 16,5 %.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R² de 0,11: el múltiplo de estas infraestructuras depende de la calidad y del riesgo, no del crecimiento;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9,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de HKEX (no dan consenso); 2) MarketScreener y Stock Analysis (sin histórico de sorpresas abierto); 3) prensa: solo el 1T26 «por encima de lo previsto» (SCMP)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 sectorial del repo (sin cuota de ingresos por bolsa); 2) WFE (estadísticas de ingresos de pago); 3) estimación con los informes del repo (solo 7 bolsas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de sostenibilidad 2025 de HKEX (no las listan); 2) MSCI ESG y Sustainalytics (requieren registro);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consejeros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(participaciones a dic-25, no operaciones); 2) registro de intereses de la SFC/HKEX (DI, búsqueda por emisor sin acceso automático); 3) prensa (sin noticias de compras o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2021-2025 (HKEX no da previsiones); 2) presentaciones de resultados (solo prioridades estratégicas); 3) prensa (sin objetivos cuantitativos)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(año de nombramiento) de varios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(biografías sin fecha en la parte leída); 2) web de gobierno de HKEX; 3) anuncios de cambios de consejo (solo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SFC, posiciones cortas agregadas semanales (descarga no automatizable); 2) HKEX, ventas en corto diarias (flujo, no posición); 3) proveedores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2026-27); 2) Stock Analysis (sin histórico gratuito); 3) cálculo con el consenso histórico (no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para HKXCY (sin mensajes); 2) RSS de Seeking Alpha de HKXCY (último artículo de opinión, jul-2025; solo transcripciones después); 3) Google Noticias y foros de Hong Kong (LIHKG y Futu no abren sin registro; solo titulares de prensa, no debate de inversores)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HKEX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https://www1.hkexnews.hk/listedco/listconews/sehk/2026/0316/2026031600319.pdf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Interim Results, Interim Dividend and Closure of Register of Members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https://www.hkex.com.hk/-/media/HKEX-Market/News/News-Release/2026/260819news/260819news_eng.pdf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 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https://www1.hkexnews.hk/listedco/listconews/sehk/2024/0318/2024031800198.pdf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 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https://www1.hkexnews.hk/listedco/listconews/sehk/2022/0314/2022031400253.pdf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 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https://www1.hkexnews.hk/listedco/listconews/sehk/2020/0316/2020031600386.pdf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Final Results, Dividend and Closure of Register of Members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https://www.hkex.com.hk/-/media/HKEX-Market/News/News-Release/2026/260226news/260226news_eng.pdf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Results for the nine months ended 30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https://www1.hkexnews.hk/listedco/listconews/sehk/2025/1105/2025110500313.pdf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Results for the three months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https://www1.hkexnews.hk/listedco/listconews/sehk/2026/0429/2026042900419.pdf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 2026 Interim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https://www1.hkexnews.hk/listedco/listconews/sehk/2026/0831/2026083100411.pdf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 Monthly Market Highlights,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https://www.hkex.com.hk/Market-Data/Statistics/Consolidated-Reports/HKEX-Monthly-Market-Highlights?sc_lang=en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Return of Equity Issuer,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https://www1.hkexnews.hk/listedco/listconews/sehk/2026/1005/2026100501304.pdf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proceedings (demanda de Elliott ante el Competition Appeal Tribunal)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https://www1.hkexnews.hk/listedco/listconews/sehk/2026/0908/2026090800216.pdf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(Burton-Taylor, FIA,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SGX Group reports FY2026 net profit of S$759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Mondo Visione (comunicado de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https://mondovisione.com/news/sgx-group-reports-fy2026-net-profit-of-s759-million-202686/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CME Group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informes/cme-group-2026-10-14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Intercontinental Exchange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Deutsche Börse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LSEG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informes/lseg-2026-10-14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Euronext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informes/euronext-2026-10-14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stock exchange relaxes listing rules to compete with US rivals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https://news.google.com/rss/search?q=HKEX+listing+rules+FT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 reviews trading hours to boost market access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https://news.google.com/rss/search?q=HKEX+trading+hours+Reuters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exchange won’t rush into T+1 settlement times, sources say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 China Morning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https://news.google.com/rss/search?q=HKEX+T%2B1+SCMP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Breakingviews: HKEX diversification drive has a focus problem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https://news.google.com/rss/search?q=HKEX+diversification+Breakingviews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Exchanges and Clearing Should See Long-Term Growth as the Conduit to China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https://news.google.com/rss/search?q=Hong+Kong+Exchanges+Morningstar+conduit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2026 Annual General Meeting and Changes in Directorate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https://www1.hkexnews.hk/listedco/listconews/sehk/2026/0429/2026042903695.pdf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AGM 2026: Proposals for Election of Directors, Change of Auditor, General Mandates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https://www1.hkexnews.hk/listedco/listconews/sehk/2026/0317/2026031701088.pdf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Renewal of Contract of Chief Executive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https://www1.hkexnews.hk/listedco/listconews/sehk/2026/0817/2026081701443.pdf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Adoption of New Articles of Association of HKEX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https://www1.hkexnews.hk/listedco/listconews/sehk/2026/1008/2026100800613.pdf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0388.HK, 2800.HK, IXG y ACWI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https://finance.yahoo.com/quote/0388.HK/history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Exchanges and Clearing: finances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https://www.marketscreener.com/quote/stock/HONG-KONG-EXCHANGES-AND-C-1412659/finances/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Exchanges and Clearing: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https://www.marketscreener.com/quote/stock/HONG-KONG-EXCHANGES-AND-C-1412659/consensus/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 (0388)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https://stockanalysis.com/quote/hkg/0388/forecast/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la ficha sectorial de bolsas y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USDHKD, EURHKD, GBPHKD, SGDHKD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https://finance.yahoo.com/quote/HKD=X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Board Meeting (resultados de 9M26 el 6-nov-2026)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https://www1.hkexnews.hk/listedco/listconews/sehk/2026/0918/2026091800175.pdf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Dividend for the year ending 31 December 2026 and Closure of Register of Members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https://www1.hkexnews.hk/listedco/listconews/sehk/2026/0819/2026081900215.pdf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Cuts HKEX Target Price to HK$523, Warns Q3 Profit May Post First Decline in Two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https://news.google.com/rss/search?q=Goldman+Sachs+HKEX+523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cuts target for HKEX stock from HKD 450 to HKD 420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https://news.google.com/rss/search?q=UBS+HKEX+420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market faces pressure as HK$255 billion in locked shares expire in July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https://news.google.com/rss/search?q=HK%24255+billion+locked+shares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backs HKEX with ‘buy’ rating, citing Beijing’s policy support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 China Morning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https://news.google.com/rss/search?q=Goldman+HKEX+buy+Beijing+policy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exchange’s biggest reform in 8 years opens IPO gates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 China Morning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https://news.google.com/rss/search?q=HKEX+biggest+reform+8+years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84,6 %</w:t>
      </w:r>
      <w:r>
        <w:t xml:space="preserve"> · Secciones con menos del 60 % de campos cubiertos: </w:t>
      </w:r>
      <w:r>
        <w:rPr>
          <w:b/>
          <w:bCs/>
        </w:rPr>
        <w:t xml:space="preserve">directivos, sentimiento</w:t>
      </w:r>
      <w:r>
        <w:t xml:space="preserve"> · Generado el 16 oct 2026.</w:t>
      </w:r>
    </w:p>
    <w:p>
      <w:pPr>
        <w:pStyle w:val="Nota"/>
        <w:spacing w:after="100"/>
      </w:pPr>
      <w:r>
        <w:t xml:space="preserve">Línea cotizada: 0388.HK en HKD (hay una línea en RMB, 80388, con poca liquidez). Cuentas en HKD según HKFRS. Precio: cierre del 15-oct-2026 (371,40 HKD); la sesión del 16-oct no había cerrado a la hora del análisis. Criterio propio: los ingresos y el EBITDA excluyen el rendimiento de la caja propia de HKEX (Corporate Funds), que se lleva al resultado financiero, y esa caja (neta de la reserva para los fondos de garantía) va en el puente; el rendimiento de los márgenes de los miembros sí queda en ingresos. El balance de las cámaras (márgenes, fondos de garantía, contratos de metales de la LME y saldos de liquidación: ≈ 540.000 M) queda fuera: por eso activo y pasivo totales van vacíos y el motor no calcula Altman ni Beneish. El flujo operativo es el «principal operating activities» de la empresa. Segmentos con la segmentación vigente solo desde 2022 (la anterior, con Post Trade y Technology, no está reexpresada). Tasa libre: bono del Tesoro de EE. UU. a 10 años (5,19 %, FRED, 14-oct), porque el HKD está ligado al USD y la HKMA no publicó la rentabilidad del bono de Hong Kong de octubre en su API. Comparables de la ficha sectorial del repo (13/14-oct) pasados a HKD a 7,847. Consenso de MarketScreener y Stock Analysis (sin la serie de revisiones). No se pudieron leer las transcripciones de las conferencias ni foros de inversores con debate real.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Hong Kong Exchanges and Clearing Limited (0388.HK)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(HKD) · precio actual 371,40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(360,00 – 444,80)</c:v>
                </c:pt>
                <c:pt idx="1">
                  <c:v>Precio objetivo de los analistas (410,00 – 542,00)</c:v>
                </c:pt>
                <c:pt idx="2">
                  <c:v>Comparables: EV/EBITDA NTM (285,85 – 354,23)</c:v>
                </c:pt>
                <c:pt idx="3">
                  <c:v>Comparables: PER NTM (362,06 – 397,71)</c:v>
                </c:pt>
                <c:pt idx="4">
                  <c:v>Transacciones precedentes (EV/EBITDA) (262,25 – 494,46)</c:v>
                </c:pt>
                <c:pt idx="5">
                  <c:v>DCF (WACC y g ± 0,5) (185,70 – 222,09)</c:v>
                </c:pt>
                <c:pt idx="6">
                  <c:v>Escenarios (bajista – alcista) (160,67 – 226,53)</c:v>
                </c:pt>
                <c:pt idx="7">
                  <c:v>DCF con la prima implícita del mercado (4,2 %)</c:v>
                </c:pt>
                <c:pt idx="8">
                  <c:v>Precio actual (371,40)</c:v>
                </c:pt>
              </c:strCache>
            </c:strRef>
          </c:cat>
          <c:val>
            <c:numRef>
              <c:f>Hoja1!$B$2:$B$10</c:f>
              <c:numCache>
                <c:formatCode>#,##0</c:formatCode>
                <c:ptCount val="9"/>
                <c:pt idx="0">
                  <c:v>360</c:v>
                </c:pt>
                <c:pt idx="1">
                  <c:v>410</c:v>
                </c:pt>
                <c:pt idx="2">
                  <c:v>285.85</c:v>
                </c:pt>
                <c:pt idx="3">
                  <c:v>362.06</c:v>
                </c:pt>
                <c:pt idx="4">
                  <c:v>262.25</c:v>
                </c:pt>
                <c:pt idx="5">
                  <c:v>185.7</c:v>
                </c:pt>
                <c:pt idx="6">
                  <c:v>160.67</c:v>
                </c:pt>
                <c:pt idx="7">
                  <c:v>217.76</c:v>
                </c:pt>
                <c:pt idx="8">
                  <c:v>369.54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(360,00 – 444,80)</c:v>
                </c:pt>
                <c:pt idx="1">
                  <c:v>Precio objetivo de los analistas (410,00 – 542,00)</c:v>
                </c:pt>
                <c:pt idx="2">
                  <c:v>Comparables: EV/EBITDA NTM (285,85 – 354,23)</c:v>
                </c:pt>
                <c:pt idx="3">
                  <c:v>Comparables: PER NTM (362,06 – 397,71)</c:v>
                </c:pt>
                <c:pt idx="4">
                  <c:v>Transacciones precedentes (EV/EBITDA) (262,25 – 494,46)</c:v>
                </c:pt>
                <c:pt idx="5">
                  <c:v>DCF (WACC y g ± 0,5) (185,70 – 222,09)</c:v>
                </c:pt>
                <c:pt idx="6">
                  <c:v>Escenarios (bajista – alcista) (160,67 – 226,53)</c:v>
                </c:pt>
                <c:pt idx="7">
                  <c:v>DCF con la prima implícita del mercado (4,2 %)</c:v>
                </c:pt>
                <c:pt idx="8">
                  <c:v>Precio actual (371,40)</c:v>
                </c:pt>
              </c:strCache>
            </c:strRef>
          </c:cat>
          <c:val>
            <c:numRef>
              <c:f>Hoja1!$C$2:$C$10</c:f>
              <c:numCache>
                <c:formatCode>#,##0</c:formatCode>
                <c:ptCount val="9"/>
                <c:pt idx="0">
                  <c:v>84.80000000000001</c:v>
                </c:pt>
                <c:pt idx="1">
                  <c:v>132</c:v>
                </c:pt>
                <c:pt idx="2">
                  <c:v>68.38</c:v>
                </c:pt>
                <c:pt idx="3">
                  <c:v>35.64999999999998</c:v>
                </c:pt>
                <c:pt idx="4">
                  <c:v>232.20999999999998</c:v>
                </c:pt>
                <c:pt idx="5">
                  <c:v>36.390000000000015</c:v>
                </c:pt>
                <c:pt idx="6">
                  <c:v>65.86000000000001</c:v>
                </c:pt>
                <c:pt idx="7">
                  <c:v>30.200000000000017</c:v>
                </c:pt>
                <c:pt idx="8">
                  <c:v>3.7199999999999704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(HKD, millones)</a:t>
            </a:r>
          </a:p>
        </c:rich>
      </c:tx>
      <c:overlay val="0"/>
    </c:title>
    <c:autoTitleDeleted val="0"/>
    <c:plotArea>
      <c:layout/>
      <c:barChart>
        <c:barDir val="col"/>
        <c:grouping val="stacked"/>
        <c:varyColors val="0"/>
        <c:ser>
          <c:idx val="0"/>
          <c:order val="0"/>
          <c:tx>
            <c:strRef>
              <c:f>Hoja1!$B$1</c:f>
              <c:strCache>
                <c:ptCount val="1"/>
                <c:pt idx="0">
                  <c:v>Contado (Cash)</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9023</c:v>
                </c:pt>
                <c:pt idx="1">
                  <c:v>8154</c:v>
                </c:pt>
                <c:pt idx="2">
                  <c:v>9413</c:v>
                </c:pt>
                <c:pt idx="3">
                  <c:v>14693</c:v>
                </c:pt>
              </c:numCache>
            </c:numRef>
          </c:val>
        </c:ser>
        <c:ser>
          <c:idx val="1"/>
          <c:order val="1"/>
          <c:tx>
            <c:strRef>
              <c:f>Hoja1!$C$1</c:f>
              <c:strCache>
                <c:ptCount val="1"/>
                <c:pt idx="0">
                  <c:v>Derivados de renta variable y financieros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5114</c:v>
                </c:pt>
                <c:pt idx="1">
                  <c:v>6265</c:v>
                </c:pt>
                <c:pt idx="2">
                  <c:v>5881</c:v>
                </c:pt>
                <c:pt idx="3">
                  <c:v>6577</c:v>
                </c:pt>
              </c:numCache>
            </c:numRef>
          </c:val>
        </c:ser>
        <c:ser>
          <c:idx val="2"/>
          <c:order val="2"/>
          <c:tx>
            <c:strRef>
              <c:f>Hoja1!$D$1</c:f>
              <c:strCache>
                <c:ptCount val="1"/>
                <c:pt idx="0">
                  <c:v>Materias primas (LME)</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2051</c:v>
                </c:pt>
                <c:pt idx="1">
                  <c:v>2188</c:v>
                </c:pt>
                <c:pt idx="2">
                  <c:v>2788</c:v>
                </c:pt>
                <c:pt idx="3">
                  <c:v>3171</c:v>
                </c:pt>
              </c:numCache>
            </c:numRef>
          </c:val>
        </c:ser>
        <c:ser>
          <c:idx val="3"/>
          <c:order val="3"/>
          <c:tx>
            <c:strRef>
              <c:f>Hoja1!$E$1</c:f>
              <c:strCache>
                <c:ptCount val="1"/>
                <c:pt idx="0">
                  <c:v>Datos y conectividad</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1998</c:v>
                </c:pt>
                <c:pt idx="1">
                  <c:v>2073</c:v>
                </c:pt>
                <c:pt idx="2">
                  <c:v>2126</c:v>
                </c:pt>
                <c:pt idx="3">
                  <c:v>2270</c:v>
                </c:pt>
              </c:numCache>
            </c:numRef>
          </c:val>
        </c:ser>
        <c:ser>
          <c:idx val="4"/>
          <c:order val="4"/>
          <c:tx>
            <c:strRef>
              <c:f>Hoja1!$F$1</c:f>
              <c:strCache>
                <c:ptCount val="1"/>
                <c:pt idx="0">
                  <c:v>Corporativo (sin caja propia)</c:v>
                </c:pt>
              </c:strCache>
            </c:strRef>
          </c:tx>
          <c:spPr>
            <a:solidFill>
              <a:srgbClr val="E87BA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Hoja1!$F$2:$F$5</c:f>
              <c:numCache>
                <c:formatCode>#,##0</c:formatCode>
                <c:ptCount val="4"/>
                <c:pt idx="0">
                  <c:v>142</c:v>
                </c:pt>
                <c:pt idx="1">
                  <c:v>102</c:v>
                </c:pt>
                <c:pt idx="2">
                  <c:v>86</c:v>
                </c:pt>
                <c:pt idx="3">
                  <c:v>283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Contado (Cash)</c:v>
                </c:pt>
                <c:pt idx="1">
                  <c:v>Derivados de renta variable y financieros</c:v>
                </c:pt>
                <c:pt idx="2">
                  <c:v>Materias primas (LME)</c:v>
                </c:pt>
                <c:pt idx="3">
                  <c:v>Datos y conectividad</c:v>
                </c:pt>
                <c:pt idx="4">
                  <c:v>Corporativo (sin caja propia)</c:v>
                </c:pt>
              </c:strCache>
            </c:strRef>
          </c:cat>
          <c:val>
            <c:numRef>
              <c:f>Hoja1!$B$2:$B$6</c:f>
              <c:numCache>
                <c:formatCode>General</c:formatCode>
                <c:ptCount val="5"/>
                <c:pt idx="0">
                  <c:v>54.4</c:v>
                </c:pt>
                <c:pt idx="1">
                  <c:v>24.4</c:v>
                </c:pt>
                <c:pt idx="2">
                  <c:v>11.7</c:v>
                </c:pt>
                <c:pt idx="3">
                  <c:v>8.4</c:v>
                </c:pt>
                <c:pt idx="4">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Hong Kong</c:v>
                </c:pt>
                <c:pt idx="1">
                  <c:v>Reino Unido</c:v>
                </c:pt>
                <c:pt idx="2">
                  <c:v>China continental</c:v>
                </c:pt>
                <c:pt idx="3">
                  <c:v>Otros</c:v>
                </c:pt>
              </c:strCache>
            </c:strRef>
          </c:cat>
          <c:val>
            <c:numRef>
              <c:f>Hoja1!$B$2:$B$5</c:f>
              <c:numCache>
                <c:formatCode>0"%"</c:formatCode>
                <c:ptCount val="4"/>
                <c:pt idx="0">
                  <c:v>87.2</c:v>
                </c:pt>
                <c:pt idx="1">
                  <c:v>12.4</c:v>
                </c:pt>
                <c:pt idx="2">
                  <c:v>0.3</c:v>
                </c:pt>
                <c:pt idx="3">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HKD de contratación media diaria en la bolsa de Hong Kong (ADT))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2018</c:v>
                </c:pt>
                <c:pt idx="1">
                  <c:v>2019</c:v>
                </c:pt>
                <c:pt idx="2">
                  <c:v>2020</c:v>
                </c:pt>
                <c:pt idx="3">
                  <c:v>2021</c:v>
                </c:pt>
                <c:pt idx="4">
                  <c:v>2022</c:v>
                </c:pt>
                <c:pt idx="5">
                  <c:v>2023</c:v>
                </c:pt>
                <c:pt idx="6">
                  <c:v>2024</c:v>
                </c:pt>
                <c:pt idx="7">
                  <c:v>2025</c:v>
                </c:pt>
                <c:pt idx="8">
                  <c:v>2026e</c:v>
                </c:pt>
              </c:strCache>
            </c:strRef>
          </c:cat>
          <c:val>
            <c:numRef>
              <c:f>Hoja1!$B$2:$B$10</c:f>
              <c:numCache>
                <c:formatCode>#,##0</c:formatCode>
                <c:ptCount val="9"/>
                <c:pt idx="0">
                  <c:v>107.4</c:v>
                </c:pt>
                <c:pt idx="1">
                  <c:v>87.2</c:v>
                </c:pt>
                <c:pt idx="2">
                  <c:v>129.5</c:v>
                </c:pt>
                <c:pt idx="3">
                  <c:v>166.7</c:v>
                </c:pt>
                <c:pt idx="4">
                  <c:v>124.9</c:v>
                </c:pt>
                <c:pt idx="5">
                  <c:v>105</c:v>
                </c:pt>
                <c:pt idx="6">
                  <c:v>131.8</c:v>
                </c:pt>
                <c:pt idx="7">
                  <c:v>249.8</c:v>
                </c:pt>
                <c:pt idx="8">
                  <c:v>262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1</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HKEX</c:v>
                </c:pt>
                <c:pt idx="1">
                  <c:v>CME Group</c:v>
                </c:pt>
                <c:pt idx="2">
                  <c:v>Intercontinental Exchange</c:v>
                </c:pt>
                <c:pt idx="3">
                  <c:v>Deutsche Börse</c:v>
                </c:pt>
                <c:pt idx="4">
                  <c:v>London Stock Exchange Group</c:v>
                </c:pt>
                <c:pt idx="5">
                  <c:v>Euronext</c:v>
                </c:pt>
                <c:pt idx="6">
                  <c:v>Singapore Exchange (SGX)</c:v>
                </c:pt>
                <c:pt idx="7">
                  <c:v>Bolsas de Shanghái y Shenzhen</c:v>
                </c:pt>
              </c:strCache>
            </c:strRef>
          </c:cat>
          <c:val>
            <c:numRef>
              <c:f>Hoja1!$B$2:$B$9</c:f>
              <c:numCache>
                <c:formatCode>0.0"%"</c:formatCode>
                <c:ptCount val="8"/>
                <c:pt idx="0">
                  <c:v>71.7</c:v>
                </c:pt>
                <c:pt idx="1">
                  <c:v>64.9</c:v>
                </c:pt>
                <c:pt idx="2">
                  <c:v>49.6</c:v>
                </c:pt>
                <c:pt idx="3">
                  <c:v>50</c:v>
                </c:pt>
                <c:pt idx="4">
                  <c:v>23.7</c:v>
                </c:pt>
                <c:pt idx="5">
                  <c:v>50.8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(HKD,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15606</c:v>
                </c:pt>
                <c:pt idx="1">
                  <c:v>15027</c:v>
                </c:pt>
                <c:pt idx="2">
                  <c:v>18238</c:v>
                </c:pt>
                <c:pt idx="3">
                  <c:v>20090</c:v>
                </c:pt>
                <c:pt idx="4">
                  <c:v>18328</c:v>
                </c:pt>
                <c:pt idx="5">
                  <c:v>18782</c:v>
                </c:pt>
                <c:pt idx="6">
                  <c:v>20294</c:v>
                </c:pt>
                <c:pt idx="7">
                  <c:v>26994</c:v>
                </c:pt>
                <c:pt idx="8">
                  <c:v>29477</c:v>
                </c:pt>
                <c:pt idx="9">
                  <c:v>28593</c:v>
                </c:pt>
                <c:pt idx="10">
                  <c:v>30309</c:v>
                </c:pt>
                <c:pt idx="11">
                  <c:v>32279</c:v>
                </c:pt>
                <c:pt idx="12">
                  <c:v>34216</c:v>
                </c:pt>
                <c:pt idx="13">
                  <c:v>36097</c:v>
                </c:pt>
                <c:pt idx="14">
                  <c:v>37722</c:v>
                </c:pt>
                <c:pt idx="15">
                  <c:v>39042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11550</c:v>
                </c:pt>
                <c:pt idx="1">
                  <c:v>11030</c:v>
                </c:pt>
                <c:pt idx="2">
                  <c:v>13799</c:v>
                </c:pt>
                <c:pt idx="3">
                  <c:v>15561</c:v>
                </c:pt>
                <c:pt idx="4">
                  <c:v>13233</c:v>
                </c:pt>
                <c:pt idx="5">
                  <c:v>13341</c:v>
                </c:pt>
                <c:pt idx="6">
                  <c:v>14533</c:v>
                </c:pt>
                <c:pt idx="7">
                  <c:v>20926</c:v>
                </c:pt>
                <c:pt idx="8">
                  <c:v>22992</c:v>
                </c:pt>
                <c:pt idx="9">
                  <c:v>21731</c:v>
                </c:pt>
                <c:pt idx="10">
                  <c:v>23186</c:v>
                </c:pt>
                <c:pt idx="11">
                  <c:v>24693</c:v>
                </c:pt>
                <c:pt idx="12">
                  <c:v>26175</c:v>
                </c:pt>
                <c:pt idx="13">
                  <c:v>27434</c:v>
                </c:pt>
                <c:pt idx="14">
                  <c:v>28669</c:v>
                </c:pt>
                <c:pt idx="15">
                  <c:v>29672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74</c:v>
                </c:pt>
                <c:pt idx="1">
                  <c:v>73.4</c:v>
                </c:pt>
                <c:pt idx="2">
                  <c:v>75.7</c:v>
                </c:pt>
                <c:pt idx="3">
                  <c:v>77.5</c:v>
                </c:pt>
                <c:pt idx="4">
                  <c:v>72.2</c:v>
                </c:pt>
                <c:pt idx="5">
                  <c:v>71</c:v>
                </c:pt>
                <c:pt idx="6">
                  <c:v>71.6</c:v>
                </c:pt>
                <c:pt idx="7">
                  <c:v>77.5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69.1</c:v>
                </c:pt>
                <c:pt idx="1">
                  <c:v>66.5</c:v>
                </c:pt>
                <c:pt idx="2">
                  <c:v>69.1</c:v>
                </c:pt>
                <c:pt idx="3">
                  <c:v>70.7</c:v>
                </c:pt>
                <c:pt idx="4">
                  <c:v>64.2</c:v>
                </c:pt>
                <c:pt idx="5">
                  <c:v>63.3</c:v>
                </c:pt>
                <c:pt idx="6">
                  <c:v>64.7</c:v>
                </c:pt>
                <c:pt idx="7">
                  <c:v>71.7</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59.7</c:v>
                </c:pt>
                <c:pt idx="1">
                  <c:v>62.5</c:v>
                </c:pt>
                <c:pt idx="2">
                  <c:v>63.1</c:v>
                </c:pt>
                <c:pt idx="3">
                  <c:v>62.4</c:v>
                </c:pt>
                <c:pt idx="4">
                  <c:v>55</c:v>
                </c:pt>
                <c:pt idx="5">
                  <c:v>63.2</c:v>
                </c:pt>
                <c:pt idx="6">
                  <c:v>64.3</c:v>
                </c:pt>
                <c:pt idx="7">
                  <c:v>65.8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54.2</c:v>
                </c:pt>
                <c:pt idx="4">
                  <c:v>21.7</c:v>
                </c:pt>
                <c:pt idx="5">
                  <c:v>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inventario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(HKD,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9452</c:v>
                </c:pt>
                <c:pt idx="1">
                  <c:v>9712</c:v>
                </c:pt>
                <c:pt idx="2">
                  <c:v>10145</c:v>
                </c:pt>
                <c:pt idx="3">
                  <c:v>12366</c:v>
                </c:pt>
                <c:pt idx="4">
                  <c:v>11335</c:v>
                </c:pt>
                <c:pt idx="5">
                  <c:v>9473</c:v>
                </c:pt>
                <c:pt idx="6">
                  <c:v>10815</c:v>
                </c:pt>
                <c:pt idx="7">
                  <c:v>14632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9312</c:v>
                </c:pt>
                <c:pt idx="1">
                  <c:v>9391</c:v>
                </c:pt>
                <c:pt idx="2">
                  <c:v>11505</c:v>
                </c:pt>
                <c:pt idx="3">
                  <c:v>12535</c:v>
                </c:pt>
                <c:pt idx="4">
                  <c:v>10078</c:v>
                </c:pt>
                <c:pt idx="5">
                  <c:v>11862</c:v>
                </c:pt>
                <c:pt idx="6">
                  <c:v>13050</c:v>
                </c:pt>
                <c:pt idx="7">
                  <c:v>17754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51.3</c:v>
                </c:pt>
                <c:pt idx="1">
                  <c:v>46.2</c:v>
                </c:pt>
                <c:pt idx="2">
                  <c:v>56.2</c:v>
                </c:pt>
                <c:pt idx="3">
                  <c:v>60.8</c:v>
                </c:pt>
                <c:pt idx="4">
                  <c:v>52.7</c:v>
                </c:pt>
                <c:pt idx="5">
                  <c:v>54.3</c:v>
                </c:pt>
                <c:pt idx="6">
                  <c:v>55.4</c:v>
                </c:pt>
                <c:pt idx="7">
                  <c:v>73.8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11.1</c:v>
                </c:pt>
                <c:pt idx="1">
                  <c:v>11.1</c:v>
                </c:pt>
                <c:pt idx="2">
                  <c:v>11.1</c:v>
                </c:pt>
                <c:pt idx="3">
                  <c:v>11.1</c:v>
                </c:pt>
                <c:pt idx="4">
                  <c:v>11.1</c:v>
                </c:pt>
                <c:pt idx="5">
                  <c:v>11.1</c:v>
                </c:pt>
                <c:pt idx="6">
                  <c:v>11.1</c:v>
                </c:pt>
                <c:pt idx="7">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22.9</c:v>
                </c:pt>
                <c:pt idx="1">
                  <c:v>22.1</c:v>
                </c:pt>
                <c:pt idx="2">
                  <c:v>24.7</c:v>
                </c:pt>
                <c:pt idx="3">
                  <c:v>25.4</c:v>
                </c:pt>
                <c:pt idx="4">
                  <c:v>20.3</c:v>
                </c:pt>
                <c:pt idx="5">
                  <c:v>23.5</c:v>
                </c:pt>
                <c:pt idx="6">
                  <c:v>24.8</c:v>
                </c:pt>
                <c:pt idx="7">
                  <c:v>31.7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-1.99</c:v>
                </c:pt>
                <c:pt idx="1">
                  <c:v>-2.3</c:v>
                </c:pt>
                <c:pt idx="2">
                  <c:v>-2.15</c:v>
                </c:pt>
                <c:pt idx="3">
                  <c:v>-1.93</c:v>
                </c:pt>
                <c:pt idx="4">
                  <c:v>-2.36</c:v>
                </c:pt>
                <c:pt idx="5">
                  <c:v>-2.34</c:v>
                </c:pt>
                <c:pt idx="6">
                  <c:v>-2.27</c:v>
                </c:pt>
                <c:pt idx="7">
                  <c:v>-1.71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(HKD,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129</c:v>
                </c:pt>
                <c:pt idx="1">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(HKD,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455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5427</c:v>
                </c:pt>
                <c:pt idx="1">
                  <c:v>5785</c:v>
                </c:pt>
                <c:pt idx="2">
                  <c:v>6983</c:v>
                </c:pt>
                <c:pt idx="3">
                  <c:v>11527</c:v>
                </c:pt>
                <c:pt idx="4">
                  <c:v>9665</c:v>
                </c:pt>
                <c:pt idx="5">
                  <c:v>10316</c:v>
                </c:pt>
                <c:pt idx="6">
                  <c:v>10416</c:v>
                </c:pt>
                <c:pt idx="7">
                  <c:v>13781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300</c:v>
                </c:pt>
                <c:pt idx="1">
                  <c:v>285</c:v>
                </c:pt>
                <c:pt idx="2">
                  <c:v>31</c:v>
                </c:pt>
                <c:pt idx="3">
                  <c:v>681</c:v>
                </c:pt>
                <c:pt idx="4">
                  <c:v>350</c:v>
                </c:pt>
                <c:pt idx="5">
                  <c:v>448</c:v>
                </c:pt>
                <c:pt idx="6">
                  <c:v>481</c:v>
                </c:pt>
                <c:pt idx="7">
                  <c:v>512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6</c:v>
                </c:pt>
                <c:pt idx="1">
                  <c:v>1</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JPMorgan Chase &amp; Co. (incluye gestión, préstamo y custodia)</c:v>
                </c:pt>
                <c:pt idx="1">
                  <c:v>Gobierno de Hong Kong (Exchange Fund)</c:v>
                </c:pt>
                <c:pt idx="2">
                  <c:v>Computershare (fideicomiso del plan de acciones)</c:v>
                </c:pt>
                <c:pt idx="3">
                  <c:v>Resto (capital libre)</c:v>
                </c:pt>
              </c:strCache>
            </c:strRef>
          </c:cat>
          <c:val>
            <c:numRef>
              <c:f>Hoja1!$B$2:$B$5</c:f>
              <c:numCache>
                <c:formatCode>0.0"%"</c:formatCode>
                <c:ptCount val="4"/>
                <c:pt idx="0">
                  <c:v>6.92</c:v>
                </c:pt>
                <c:pt idx="1">
                  <c:v>6.17</c:v>
                </c:pt>
                <c:pt idx="2">
                  <c:v>0.3</c:v>
                </c:pt>
                <c:pt idx="3">
                  <c:v>92.7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-5.2</c:v>
                </c:pt>
                <c:pt idx="1">
                  <c:v>33.9</c:v>
                </c:pt>
                <c:pt idx="2">
                  <c:v>-2.9</c:v>
                </c:pt>
                <c:pt idx="3">
                  <c:v>14.7</c:v>
                </c:pt>
                <c:pt idx="4">
                  <c:v>73.7</c:v>
                </c:pt>
                <c:pt idx="5">
                  <c:v>8</c:v>
                </c:pt>
                <c:pt idx="6">
                  <c:v>-24.2</c:v>
                </c:pt>
                <c:pt idx="7">
                  <c:v>-18.4</c:v>
                </c:pt>
                <c:pt idx="8">
                  <c:v>14</c:v>
                </c:pt>
                <c:pt idx="9">
                  <c:v>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3.4</c:v>
                </c:pt>
                <c:pt idx="1">
                  <c:v>40.5</c:v>
                </c:pt>
                <c:pt idx="2">
                  <c:v>-10.1</c:v>
                </c:pt>
                <c:pt idx="3">
                  <c:v>13.4</c:v>
                </c:pt>
                <c:pt idx="4">
                  <c:v>-1</c:v>
                </c:pt>
                <c:pt idx="5">
                  <c:v>-12.1</c:v>
                </c:pt>
                <c:pt idx="6">
                  <c:v>-11.9</c:v>
                </c:pt>
                <c:pt idx="7">
                  <c:v>-10.6</c:v>
                </c:pt>
                <c:pt idx="8">
                  <c:v>22.3</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22.5</c:v>
                </c:pt>
                <c:pt idx="1">
                  <c:v>26.6</c:v>
                </c:pt>
                <c:pt idx="2">
                  <c:v>37.3</c:v>
                </c:pt>
                <c:pt idx="3">
                  <c:v>35.2</c:v>
                </c:pt>
                <c:pt idx="4">
                  <c:v>30</c:v>
                </c:pt>
                <c:pt idx="5">
                  <c:v>23.2</c:v>
                </c:pt>
                <c:pt idx="6">
                  <c:v>23.5</c:v>
                </c:pt>
                <c:pt idx="7">
                  <c:v>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23.4</c:v>
                </c:pt>
                <c:pt idx="1">
                  <c:v>23.4</c:v>
                </c:pt>
                <c:pt idx="2">
                  <c:v>23.4</c:v>
                </c:pt>
                <c:pt idx="3">
                  <c:v>23.4</c:v>
                </c:pt>
                <c:pt idx="4">
                  <c:v>23.4</c:v>
                </c:pt>
                <c:pt idx="5">
                  <c:v>23.4</c:v>
                </c:pt>
                <c:pt idx="6">
                  <c:v>23.4</c:v>
                </c:pt>
                <c:pt idx="7">
                  <c:v>23.4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HKEX</c:v>
                </c:pt>
                <c:pt idx="1">
                  <c:v>CME Group</c:v>
                </c:pt>
                <c:pt idx="2">
                  <c:v>Intercontinental Exchange</c:v>
                </c:pt>
                <c:pt idx="3">
                  <c:v>Nasdaq</c:v>
                </c:pt>
                <c:pt idx="4">
                  <c:v>Deutsche Börse</c:v>
                </c:pt>
                <c:pt idx="5">
                  <c:v>London Stock Exchange Group</c:v>
                </c:pt>
                <c:pt idx="6">
                  <c:v>Tradeweb</c:v>
                </c:pt>
                <c:pt idx="7">
                  <c:v>MSCI</c:v>
                </c:pt>
                <c:pt idx="8">
                  <c:v>S&amp;P Global</c:v>
                </c:pt>
              </c:strCache>
            </c:strRef>
          </c:cat>
          <c:val>
            <c:numRef>
              <c:f>Hoja1!$B$2:$B$10</c:f>
              <c:numCache>
                <c:formatCode>0.0"x"</c:formatCode>
                <c:ptCount val="9"/>
                <c:pt idx="0">
                  <c:v>18.6</c:v>
                </c:pt>
                <c:pt idx="1">
                  <c:v>19</c:v>
                </c:pt>
                <c:pt idx="2">
                  <c:v>13.8</c:v>
                </c:pt>
                <c:pt idx="3">
                  <c:v>16.1</c:v>
                </c:pt>
                <c:pt idx="4">
                  <c:v>14.1</c:v>
                </c:pt>
                <c:pt idx="5">
                  <c:v>9.4</c:v>
                </c:pt>
                <c:pt idx="6">
                  <c:v>16.8</c:v>
                </c:pt>
                <c:pt idx="7">
                  <c:v>20.2</c:v>
                </c:pt>
                <c:pt idx="8">
                  <c:v>17.2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HKEX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7.8</c:v>
                </c:pt>
              </c:numCache>
            </c:numRef>
          </c:xVal>
          <c:yVal>
            <c:numRef>
              <c:f>Hoja1!$C$2</c:f>
              <c:numCache>
                <c:formatCode>0.0"x"</c:formatCode>
                <c:ptCount val="1"/>
                <c:pt idx="0">
                  <c:v>18.6</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19</c:v>
                </c:pt>
              </c:numCache>
            </c:numRef>
          </c:yVal>
          <c:smooth val="0"/>
        </c:ser>
        <c:ser>
          <c:idx val="2"/>
          <c:order val="2"/>
          <c:tx>
            <c:strRef>
              <c:f>Hoja1!$A$4</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13.8</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16.1</c:v>
                </c:pt>
              </c:numCache>
            </c:numRef>
          </c:yVal>
          <c:smooth val="0"/>
        </c:ser>
        <c:ser>
          <c:idx val="4"/>
          <c:order val="4"/>
          <c:tx>
            <c:strRef>
              <c:f>Hoja1!$A$6</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14.1</c:v>
                </c:pt>
              </c:numCache>
            </c:numRef>
          </c:yVal>
          <c:smooth val="0"/>
        </c:ser>
        <c:ser>
          <c:idx val="5"/>
          <c:order val="5"/>
          <c:tx>
            <c:strRef>
              <c:f>Hoja1!$A$7</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6.5</c:v>
                </c:pt>
              </c:numCache>
            </c:numRef>
          </c:xVal>
          <c:yVal>
            <c:numRef>
              <c:f>Hoja1!$C$7</c:f>
              <c:numCache>
                <c:formatCode>0.0"x"</c:formatCode>
                <c:ptCount val="1"/>
                <c:pt idx="0">
                  <c:v>9.4</c:v>
                </c:pt>
              </c:numCache>
            </c:numRef>
          </c:yVal>
          <c:smooth val="0"/>
        </c:ser>
        <c:ser>
          <c:idx val="6"/>
          <c:order val="6"/>
          <c:tx>
            <c:strRef>
              <c:f>Hoja1!$A$8</c:f>
              <c:strCache>
                <c:ptCount val="1"/>
                <c:pt idx="0">
                  <c:v>Tradeweb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16.8</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10.2</c:v>
                </c:pt>
              </c:numCache>
            </c:numRef>
          </c:xVal>
          <c:yVal>
            <c:numRef>
              <c:f>Hoja1!$C$9</c:f>
              <c:numCache>
                <c:formatCode>0.0"x"</c:formatCode>
                <c:ptCount val="1"/>
                <c:pt idx="0">
                  <c:v>20.2</c:v>
                </c:pt>
              </c:numCache>
            </c:numRef>
          </c:yVal>
          <c:smooth val="0"/>
        </c:ser>
        <c:ser>
          <c:idx val="8"/>
          <c:order val="8"/>
          <c:tx>
            <c:strRef>
              <c:f>Hoja1!$A$10</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7.6</c:v>
                </c:pt>
              </c:numCache>
            </c:numRef>
          </c:xVal>
          <c:yVal>
            <c:numRef>
              <c:f>Hoja1!$C$10</c:f>
              <c:numCache>
                <c:formatCode>0.0"x"</c:formatCode>
                <c:ptCount val="1"/>
                <c:pt idx="0">
                  <c:v>17.2</c:v>
                </c:pt>
              </c:numCache>
            </c:numRef>
          </c:yVal>
          <c:smooth val="0"/>
        </c:ser>
        <c:axId val="10"/>
        <c:axId val="20"/>
      </c:scatterChart>
      <c:valAx>
        <c:axId val="10"/>
        <c:scaling>
          <c:orientation val="minMax"/>
          <c:max val="16"/>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MarketAxess Holdings</c:v>
                </c:pt>
                <c:pt idx="1">
                  <c:v>Adenza</c:v>
                </c:pt>
                <c:pt idx="2">
                  <c:v>IHS Markit</c:v>
                </c:pt>
                <c:pt idx="3">
                  <c:v>Refinitiv</c:v>
                </c:pt>
                <c:pt idx="4">
                  <c:v>Black Knight</c:v>
                </c:pt>
              </c:strCache>
            </c:strRef>
          </c:cat>
          <c:val>
            <c:numRef>
              <c:f>Hoja1!$B$2:$B$6</c:f>
              <c:numCache>
                <c:formatCode>0.0"x"</c:formatCode>
                <c:ptCount val="5"/>
                <c:pt idx="0">
                  <c:v>13</c:v>
                </c:pt>
                <c:pt idx="1">
                  <c:v>30.7</c:v>
                </c:pt>
                <c:pt idx="2">
                  <c:v>24</c:v>
                </c:pt>
                <c:pt idx="3">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(HKD,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15004</c:v>
                </c:pt>
                <c:pt idx="1">
                  <c:v>16427</c:v>
                </c:pt>
                <c:pt idx="2">
                  <c:v>17549</c:v>
                </c:pt>
                <c:pt idx="3">
                  <c:v>18695</c:v>
                </c:pt>
                <c:pt idx="4">
                  <c:v>19822</c:v>
                </c:pt>
                <c:pt idx="5">
                  <c:v>20768</c:v>
                </c:pt>
                <c:pt idx="6">
                  <c:v>21702</c:v>
                </c:pt>
                <c:pt idx="7">
                  <c:v>22462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(HKD,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95941</c:v>
                </c:pt>
                <c:pt idx="1">
                  <c:v>132736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(HKD) · precio actual 371,40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160.67</c:v>
                </c:pt>
                <c:pt idx="1">
                  <c:v>201.71</c:v>
                </c:pt>
                <c:pt idx="2">
                  <c:v>226.53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(HKD) · precio actual 371,40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(360,00 – 444,80)</c:v>
                </c:pt>
                <c:pt idx="1">
                  <c:v>Precio objetivo de los analistas (410,00 – 542,00)</c:v>
                </c:pt>
                <c:pt idx="2">
                  <c:v>Comparables: EV/EBITDA NTM (285,85 – 354,23)</c:v>
                </c:pt>
                <c:pt idx="3">
                  <c:v>Comparables: PER NTM (362,06 – 397,71)</c:v>
                </c:pt>
                <c:pt idx="4">
                  <c:v>Transacciones precedentes (EV/EBITDA) (262,25 – 494,46)</c:v>
                </c:pt>
                <c:pt idx="5">
                  <c:v>DCF (WACC y g ± 0,5) (185,70 – 222,09)</c:v>
                </c:pt>
                <c:pt idx="6">
                  <c:v>Escenarios (bajista – alcista) (160,67 – 226,53)</c:v>
                </c:pt>
                <c:pt idx="7">
                  <c:v>DCF con la prima implícita del mercado (4,2 %)</c:v>
                </c:pt>
                <c:pt idx="8">
                  <c:v>Precio actual (371,40)</c:v>
                </c:pt>
              </c:strCache>
            </c:strRef>
          </c:cat>
          <c:val>
            <c:numRef>
              <c:f>Hoja1!$B$2:$B$10</c:f>
              <c:numCache>
                <c:formatCode>#,##0</c:formatCode>
                <c:ptCount val="9"/>
                <c:pt idx="0">
                  <c:v>360</c:v>
                </c:pt>
                <c:pt idx="1">
                  <c:v>410</c:v>
                </c:pt>
                <c:pt idx="2">
                  <c:v>285.85</c:v>
                </c:pt>
                <c:pt idx="3">
                  <c:v>362.06</c:v>
                </c:pt>
                <c:pt idx="4">
                  <c:v>262.25</c:v>
                </c:pt>
                <c:pt idx="5">
                  <c:v>185.7</c:v>
                </c:pt>
                <c:pt idx="6">
                  <c:v>160.67</c:v>
                </c:pt>
                <c:pt idx="7">
                  <c:v>217.76</c:v>
                </c:pt>
                <c:pt idx="8">
                  <c:v>369.54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(360,00 – 444,80)</c:v>
                </c:pt>
                <c:pt idx="1">
                  <c:v>Precio objetivo de los analistas (410,00 – 542,00)</c:v>
                </c:pt>
                <c:pt idx="2">
                  <c:v>Comparables: EV/EBITDA NTM (285,85 – 354,23)</c:v>
                </c:pt>
                <c:pt idx="3">
                  <c:v>Comparables: PER NTM (362,06 – 397,71)</c:v>
                </c:pt>
                <c:pt idx="4">
                  <c:v>Transacciones precedentes (EV/EBITDA) (262,25 – 494,46)</c:v>
                </c:pt>
                <c:pt idx="5">
                  <c:v>DCF (WACC y g ± 0,5) (185,70 – 222,09)</c:v>
                </c:pt>
                <c:pt idx="6">
                  <c:v>Escenarios (bajista – alcista) (160,67 – 226,53)</c:v>
                </c:pt>
                <c:pt idx="7">
                  <c:v>DCF con la prima implícita del mercado (4,2 %)</c:v>
                </c:pt>
                <c:pt idx="8">
                  <c:v>Precio actual (371,40)</c:v>
                </c:pt>
              </c:strCache>
            </c:strRef>
          </c:cat>
          <c:val>
            <c:numRef>
              <c:f>Hoja1!$C$2:$C$10</c:f>
              <c:numCache>
                <c:formatCode>#,##0</c:formatCode>
                <c:ptCount val="9"/>
                <c:pt idx="0">
                  <c:v>84.80000000000001</c:v>
                </c:pt>
                <c:pt idx="1">
                  <c:v>132</c:v>
                </c:pt>
                <c:pt idx="2">
                  <c:v>68.38</c:v>
                </c:pt>
                <c:pt idx="3">
                  <c:v>35.64999999999998</c:v>
                </c:pt>
                <c:pt idx="4">
                  <c:v>232.20999999999998</c:v>
                </c:pt>
                <c:pt idx="5">
                  <c:v>36.390000000000015</c:v>
                </c:pt>
                <c:pt idx="6">
                  <c:v>65.86000000000001</c:v>
                </c:pt>
                <c:pt idx="7">
                  <c:v>30.200000000000017</c:v>
                </c:pt>
                <c:pt idx="8">
                  <c:v>3.7199999999999704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