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Recordati Industria Chimica e Farmaceutica S.p.A.</w:t>
      </w:r>
    </w:p>
    <w:p>
      <w:pPr>
        <w:spacing w:after="60"/>
        <w:rPr>
          <w:color w:val="52514E"/>
          <w:sz w:val="22"/>
          <w:szCs w:val="22"/>
        </w:rPr>
      </w:pPr>
      <w:r>
        <w:rPr>
          <w:color w:val="52514E"/>
          <w:sz w:val="22"/>
          <w:szCs w:val="22"/>
        </w:rPr>
        <w:t xml:space="preserve">REC · Euronext Milan (Borsa Italiana) · ISIN IT0003828271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53,00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62,73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+20,9 % (base +21,6 %)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51,93 EUR · mercado 59,97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11.077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Recordati Industria Chimica e Farmaceutica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 / IT0003828271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 / STOXX Europe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Productos farmacéuticos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Milán · 1926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https://recordati.com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43,76 – 54,45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11.077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13.010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17,7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62,73 EUR</w:t>
      </w:r>
      <w:r>
        <w:t xml:space="preserve"> frente a 53,00 · Rentabilidad a 12 meses </w:t>
      </w:r>
      <w:r>
        <w:rPr>
          <w:b/>
          <w:bCs/>
        </w:rPr>
        <w:t xml:space="preserve">+20,9 % (base +21,6 %)</w:t>
      </w:r>
      <w:r>
        <w:t xml:space="preserve"> · Valor intrínseco 51,93 EUR · con la prima implícita del mercado: 59,97 (+13,2 %) · Alcista / bajista +10,9 % / -29,5 %</w:t>
      </w:r>
    </w:p>
    <w:p>
      <w:pPr>
        <w:spacing w:after="100"/>
      </w:pPr>
      <w:r>
        <w:rPr>
          <w:b/>
        </w:rPr>
        <w:t xml:space="preserve">La recomendación y por qué.</w:t>
      </w:r>
      <w:r>
        <w:t xml:space="preserve"> Mantener con convicción media, y no comprar: la acción cotiza a 53,00 EUR, exactamente el precio de la OPA de exclusión «definitiva» de CVC y GBL, que ya tiene el control asegurado (Rossini, con el 46,82 %, ha entregado sus acciones; adhesiones del 50,39 % a 12-oct) y todas las autorizaciones [21, 36, 39]. Si la oferta se completa, el recorrido para un comprador nuevo es cero; si fracasara, el precio volvería hacia ≈ 44 EUR. Como empresa independiente, la regla a 12 meses daría un 20,9 % ponderado y un 21,6 % en el base (objetivo de 62,73 EUR), pero el valor intrínseco (51,93 EUR) queda un 2,0 % por debajo del precio, así que la regla también da Mantener. Para quien tenga acciones, lo racional es acudir a la OPA antes del 23-oct: quedarse fuera expone a una fusión con un oferente endeudado. La convicción es media y no baja aunque las reglas discrepen (con nuestro WACC, Mantener; con la prima del mercado, Comprar hasta 59,97 EUR) porque hay un hecho con fecha que manda sobre las dos: la OPA se resuelve el 23-oct. Subiría con el resultado definitivo de la oferta (por encima del 90 %, compra forzosa a 53,00) y bajaría si apareciera una contraoferta o la oferta fracasara.</w:t>
      </w:r>
    </w:p>
    <w:p>
      <w:pPr>
        <w:spacing w:after="100"/>
      </w:pPr>
      <w:r>
        <w:rPr>
          <w:b/>
        </w:rPr>
        <w:t xml:space="preserve">El negocio.</w:t>
      </w:r>
      <w:r>
        <w:t xml:space="preserve"> Recordati vende medicamentos de especialidad en Europa y medicamentos huérfanos en todo el mundo (Isturisa, Signifor, Enjaymo, Qarziba), con un margen EBITDA de la empresa del 37,9 % en 2025 [1]. ROIC del 14,8 % frente a un WACC del 7,53 % (7,2 puntos); la sostenibilidad del crecimiento es «Sí»: proyectamos un 4,9 % anual, menos de la mitad del histórico, apoyado en volumen de productos con exclusividad.</w:t>
      </w:r>
    </w:p>
    <w:p>
      <w:pPr>
        <w:spacing w:after="100"/>
      </w:pPr>
      <w:r>
        <w:rPr>
          <w:b/>
        </w:rPr>
        <w:t xml:space="preserve">Finanzas.</w:t>
      </w:r>
      <w:r>
        <w:t xml:space="preserve"> Ingresos de 2.618 M EUR en 2025 (+11,8 %) y guía de 2.730-2.800 M en 2026 [7]. Deuda neta de 1.917 M (1,9 veces el EBITDA) tras la compra de Enjaymo; rentabilidad por caja libre del 4,6 %. Altman Z de 3,66 y Beneish M de −2,55: sin alertas, aunque los «no recurrentes» se repiten cada año.</w:t>
      </w:r>
    </w:p>
    <w:p>
      <w:pPr>
        <w:spacing w:after="100"/>
      </w:pPr>
      <w:r>
        <w:rPr>
          <w:b/>
        </w:rPr>
        <w:t xml:space="preserve">Equipo y gobierno.</w:t>
      </w:r>
      <w:r>
        <w:t xml:space="preserve"> Resta. El oferente es el accionista de control con el presidente como coinversor; los cuatro independientes rechazaron el primer precio (51,29 EUR) y el consejo lo aprobó por 6 a 4 [24]. Con 53,00 EUR la aprobación fue unánime [25].</w:t>
      </w:r>
    </w:p>
    <w:p>
      <w:pPr>
        <w:spacing w:after="100"/>
      </w:pPr>
      <w:r>
        <w:rPr>
          <w:b/>
        </w:rPr>
        <w:t xml:space="preserve">Valoración.</w:t>
      </w:r>
      <w:r>
        <w:t xml:space="preserve"> El DCF da 52,88 EUR (valor terminal del 72 %); el DCF inverso dice que el precio descuenta un crecimiento del 4,8 % anual, el nuestro. Comparables (51,33) y transacciones (51,98) coinciden: la OPA paga un valor justo con nuestro coste de capital (con la prima del mercado, 59,97 EUR, cerca del consenso de 60,10). Los escenarios van de 37,35 a 58,79 EUR: asimetría desfavorable al precio de hoy.</w:t>
      </w:r>
    </w:p>
    <w:p>
      <w:pPr>
        <w:spacing w:after="100"/>
      </w:pPr>
      <w:r>
        <w:rPr>
          <w:b/>
        </w:rPr>
        <w:t xml:space="preserve">Riesgos y catalizadores.</w:t>
      </w:r>
      <w:r>
        <w:t xml:space="preserve"> Primero, la propia OPA (cero recorrido y exclusión). Segundo, el precio de los medicamentos en EE. UU. y los aranceles (−29,5 % en el bajista). Tercero, la concentración en Isturisa. El riesgo de la IA es bajo y, si acaso, positivo (diagnóstico de enfermedades raras). Sentimiento dividido sobre si 53 EUR es justo. Próximos resultados: 10-nov-2026.</w:t>
      </w:r>
    </w:p>
    <w:p>
      <w:pPr>
        <w:spacing w:after="100"/>
      </w:pPr>
      <w:r>
        <w:rPr>
          <w:b/>
        </w:rPr>
        <w:t xml:space="preserve">Qué cambiaría la decisión.</w:t>
      </w:r>
      <w:r>
        <w:t xml:space="preserve"> Solo una OPA fallida o una acción que siga cotizando con flotante tras la reapertura: entonces la empresa independiente sería compra por debajo de 51,93 EUR (valor intrínseco) si se mantienen el objetivo y la calidad.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Hasta el resultado de la OPA (23-oct-2026; reapertura hasta el 9-nov). Para la empresa independiente, 12 meses · Objetivo a 12 meses: </w:t>
      </w:r>
      <w:r>
        <w:rPr>
          <w:b/>
          <w:bCs/>
        </w:rPr>
        <w:t xml:space="preserve">62,73 EUR</w:t>
      </w:r>
      <w:r>
        <w:t xml:space="preserve"> (rentabilidad +20,9 % (base +21,6 %)) · Valor intrínseco: 51,93 EUR (-2,0 % sobre 53,00) · con la prima implícita del mercado: 59,97 (+13,2 %)</w:t>
      </w:r>
    </w:p>
    <w:p>
      <w:pPr>
        <w:spacing w:after="100"/>
      </w:pPr>
      <w:r>
        <w:t xml:space="preserve">Recordati es una farmacéutica italiana de 2.600 M EUR de ventas con dos negocios: especialidades de marca en Europa (59 % de las ventas, crecimiento del 2-4 %) y medicamentos huérfanos en todo el mundo (41 %, crecimiento de doble dígito con Isturisa y Enjaymo), con un margen EBITDA del 38 % y un ROIC del 14,8 % [1, 4].</w:t>
      </w:r>
    </w:p>
    <w:p>
      <w:pPr>
        <w:spacing w:after="100"/>
      </w:pPr>
      <w:r>
        <w:t xml:space="preserve">A 53,00 EUR, el precio es el de la OPA de exclusión de CVC y GBL, el mismo que da nuestro DCF (52,88) y el que pagan los comparables: la oferta es justa con un WACC del 7,53 % y algo baja con la prima que hoy pide el mercado (59,97). El control está asegurado y no quedan autorizaciones: la acción sale de bolsa a 53,00 EUR con una probabilidad muy alta.</w:t>
      </w:r>
    </w:p>
    <w:p>
      <w:pPr>
        <w:spacing w:after="100"/>
      </w:pPr>
      <w:r>
        <w:t xml:space="preserve">No hay tesis de compra mientras exista la oferta. Para el que tenga acciones, la decisión es acudir: el precio está en el rango justo de los asesores de los independientes (52-61 EUR) y quedarse fuera supone quedar en una sociedad no cotizada y endeudada tras la fusión.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2,90 = 44,66 · 19,3x × 3,27 = 63,11 · 22,8x × 3,51 = 80,03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 /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60,10 (nuestro base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 -29,5 %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7,5 %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frente a 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51,93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51,93 y 71,19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71,19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OPA fracasa y la acción cae por debajo de 51,93 EUR (valor intrínseco) con la regla a 12 meses en Comprar: pasaría a Comprar.</w:t>
      </w:r>
    </w:p>
    <w:p>
      <w:pPr>
        <w:pStyle w:val="ListParagraph"/>
        <w:numPr>
          <w:ilvl w:val="0"/>
          <w:numId w:val="2"/>
        </w:numPr>
        <w:spacing w:after="60"/>
      </w:pPr>
      <w:r>
        <w:t xml:space="preserve">Si aparece una contraoferta por encima de 53,00 EUR: Mantener hasta su resultado y acudir a la mejor.</w:t>
      </w:r>
    </w:p>
    <w:p>
      <w:pPr>
        <w:pStyle w:val="ListParagraph"/>
        <w:numPr>
          <w:ilvl w:val="0"/>
          <w:numId w:val="2"/>
        </w:numPr>
        <w:spacing w:after="60"/>
      </w:pPr>
      <w:r>
        <w:t xml:space="preserve">Si la acción sigue cotizando tras la exclusión fallida con un precio por encima de 60 EUR: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OPA a 53,00 EUR se completa: la acción cotiza exactamente a ese precio, sin diferencial de arbitraje.</w:t>
      </w:r>
    </w:p>
    <w:p>
      <w:pPr>
        <w:keepNext/>
        <w:spacing w:after="100"/>
      </w:pPr>
      <w:r>
        <w:rPr>
          <w:b/>
          <w:bCs/>
        </w:rPr>
        <w:t xml:space="preserve">Lo que creemos nosotros.</w:t>
      </w:r>
    </w:p>
    <w:p>
      <w:pPr>
        <w:spacing w:after="100"/>
      </w:pPr>
      <w:r>
        <w:t xml:space="preserve">Coincidimos: el control está asegurado y la oferta no tiene condiciones pendientes. Como empresa independiente, 53,00 EUR es el valor justo con nuestro WACC; el objetivo a 12 meses más alto (62,73) sale de un PER histórico de tipos bajos y no es alcanzable con la oferta.</w:t>
      </w:r>
    </w:p>
    <w:p>
      <w:pPr>
        <w:keepNext/>
        <w:spacing w:after="100"/>
      </w:pPr>
      <w:r>
        <w:rPr>
          <w:b/>
          <w:bCs/>
        </w:rPr>
        <w:t xml:space="preserve">Por qué podemos tener razón.</w:t>
      </w:r>
    </w:p>
    <w:p>
      <w:pPr>
        <w:spacing w:after="100"/>
      </w:pPr>
      <w:r>
        <w:t xml:space="preserve">No hay diferencia con el mercado que explotar: la única asimetría está en un fracaso de la oferta (−17 %) o en una contraoferta, que nadie ha anunciado en cinco meses.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del negocio</w:t>
      </w:r>
      <w:r>
        <w:t xml:space="preserve">: ROIC del 14,8 % frente a un WACC del 7,53 % y margen EBITDA del 38 %.</w:t>
      </w:r>
    </w:p>
    <w:p>
      <w:pPr>
        <w:pStyle w:val="ListParagraph"/>
        <w:numPr>
          <w:ilvl w:val="0"/>
          <w:numId w:val="2"/>
        </w:numPr>
        <w:spacing w:after="60"/>
      </w:pPr>
      <w:r>
        <w:rPr>
          <w:b/>
        </w:rPr>
        <w:t xml:space="preserve">Crecimiento con exclusividad</w:t>
      </w:r>
      <w:r>
        <w:t xml:space="preserve">: Isturisa +58 % y Enjaymo +31 % en el 1S26.</w:t>
      </w:r>
    </w:p>
    <w:p>
      <w:pPr>
        <w:pStyle w:val="ListParagraph"/>
        <w:numPr>
          <w:ilvl w:val="0"/>
          <w:numId w:val="2"/>
        </w:numPr>
        <w:spacing w:after="60"/>
      </w:pPr>
      <w:r>
        <w:rPr>
          <w:b/>
        </w:rPr>
        <w:t xml:space="preserve">Cuentas limpias</w:t>
      </w:r>
      <w:r>
        <w:t xml:space="preserve">: Altman Z de 3,66, Beneish M de −2,55, guía cumplida dos años seguidos.</w:t>
      </w:r>
    </w:p>
    <w:p>
      <w:pPr>
        <w:pStyle w:val="ListParagraph"/>
        <w:numPr>
          <w:ilvl w:val="0"/>
          <w:numId w:val="2"/>
        </w:numPr>
        <w:spacing w:after="60"/>
      </w:pPr>
      <w:r>
        <w:rPr>
          <w:b/>
        </w:rPr>
        <w:t xml:space="preserve">Precio de la OPA justo</w:t>
      </w:r>
      <w:r>
        <w:t xml:space="preserve">: 53,00 EUR coincide con nuestro DCF (52,88) y está en el rango de los asesores independientes.</w:t>
      </w:r>
    </w:p>
    <w:p>
      <w:pPr>
        <w:pStyle w:val="ListParagraph"/>
        <w:numPr>
          <w:ilvl w:val="0"/>
          <w:numId w:val="2"/>
        </w:numPr>
        <w:spacing w:after="60"/>
      </w:pPr>
      <w:r>
        <w:rPr>
          <w:b/>
        </w:rPr>
        <w:t xml:space="preserve">Salida líquida asegurada</w:t>
      </w:r>
      <w:r>
        <w:t xml:space="preserve"> para quien acuda (pago el 2-nov).</w:t>
      </w:r>
    </w:p>
    <w:p>
      <w:pPr>
        <w:pStyle w:val="Heading2"/>
      </w:pPr>
      <w:r>
        <w:t xml:space="preserve">En contra</w:t>
      </w:r>
    </w:p>
    <w:p>
      <w:pPr>
        <w:pStyle w:val="ListParagraph"/>
        <w:numPr>
          <w:ilvl w:val="0"/>
          <w:numId w:val="2"/>
        </w:numPr>
        <w:spacing w:after="60"/>
      </w:pPr>
      <w:r>
        <w:rPr>
          <w:b/>
        </w:rPr>
        <w:t xml:space="preserve">Recorrido nulo</w:t>
      </w:r>
      <w:r>
        <w:t xml:space="preserve">: la acción cotiza al precio de la OPA «definitiva».</w:t>
      </w:r>
    </w:p>
    <w:p>
      <w:pPr>
        <w:pStyle w:val="ListParagraph"/>
        <w:numPr>
          <w:ilvl w:val="0"/>
          <w:numId w:val="2"/>
        </w:numPr>
        <w:spacing w:after="60"/>
      </w:pPr>
      <w:r>
        <w:rPr>
          <w:b/>
        </w:rPr>
        <w:t xml:space="preserve">Exclusión de bolsa</w:t>
      </w:r>
      <w:r>
        <w:t xml:space="preserve">: quien no acuda puede quedar en una sociedad no cotizada y endeudada.</w:t>
      </w:r>
    </w:p>
    <w:p>
      <w:pPr>
        <w:pStyle w:val="ListParagraph"/>
        <w:numPr>
          <w:ilvl w:val="0"/>
          <w:numId w:val="2"/>
        </w:numPr>
        <w:spacing w:after="60"/>
      </w:pPr>
      <w:r>
        <w:rPr>
          <w:b/>
        </w:rPr>
        <w:t xml:space="preserve">Conflicto del accionista de control</w:t>
      </w:r>
      <w:r>
        <w:t xml:space="preserve">: el presidente coinvierte con el oferente; los independientes rechazaron el primer precio.</w:t>
      </w:r>
    </w:p>
    <w:p>
      <w:pPr>
        <w:pStyle w:val="ListParagraph"/>
        <w:numPr>
          <w:ilvl w:val="0"/>
          <w:numId w:val="2"/>
        </w:numPr>
        <w:spacing w:after="60"/>
      </w:pPr>
      <w:r>
        <w:rPr>
          <w:b/>
        </w:rPr>
        <w:t xml:space="preserve">Riesgo de precios en EE. UU.</w:t>
      </w:r>
      <w:r>
        <w:t xml:space="preserve">: el bajista vale un 29,5 % menos.</w:t>
      </w:r>
    </w:p>
    <w:p>
      <w:pPr>
        <w:pStyle w:val="ListParagraph"/>
        <w:numPr>
          <w:ilvl w:val="0"/>
          <w:numId w:val="2"/>
        </w:numPr>
        <w:spacing w:after="60"/>
      </w:pPr>
      <w:r>
        <w:rPr>
          <w:b/>
        </w:rPr>
        <w:t xml:space="preserve">Valor intrínseco por debajo del precio</w:t>
      </w:r>
      <w:r>
        <w:t xml:space="preserve"> (51,93 frente a 53,00 EUR).</w:t>
      </w:r>
    </w:p>
    <w:p>
      <w:pPr>
        <w:pStyle w:val="ListParagraph"/>
        <w:numPr>
          <w:ilvl w:val="0"/>
          <w:numId w:val="2"/>
        </w:numPr>
        <w:spacing w:after="60"/>
      </w:pPr>
      <w:r>
        <w:rPr>
          <w:b/>
        </w:rPr>
        <w:t xml:space="preserve">Concentración en Isturisa</w:t>
      </w:r>
      <w:r>
        <w:t xml:space="preserve"> y «no recurrentes» que se repiten.</w:t>
      </w:r>
    </w:p>
    <w:p>
      <w:pPr>
        <w:pStyle w:val="Heading2"/>
      </w:pPr>
      <w:r>
        <w:t xml:space="preserve">Qué tiene que pasar para que la tesis funcione</w:t>
      </w:r>
    </w:p>
    <w:p>
      <w:pPr>
        <w:spacing w:after="100"/>
      </w:pPr>
      <w:r>
        <w:t xml:space="preserve">El resultado definitivo de la OPA (23-26 de octubre) y de la reapertura (hasta el 9-nov): si supera el 90 %, habrá compra forzosa a 53,00 EUR; si no, fusión de exclusión con derecho de separación. Solo si la oferta fracasara o la acción siguiera cotizando con flotante relevante se reabre el análisis de la empresa independiente.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Adhesiones a la 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50,39 % de las acciones objeto (12-oct)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90 % del capital al cierre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entre compra forzosa y fusión.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Isturisa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 M EUR en el 1S26 (+58 %)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por debajo del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 36,5 % en 2026.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&lt;1,9x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3x (covenant)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de la compra puede bajar a la sociedad.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 / 11,6x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 / 18,2x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Recordati nace en 1926, cuando Giovanni Recordati convierte la farmacia familiar de Correggio en el «Laboratorio Farmacologico Reggiano»; en 1952 traslada la producción a Milán y en 1963 abre la planta química de Campoverde di Aprilia [1]. Cotiza en la Bolsa de Milán desde 1984 [1]. Su transformación tiene dos ejes: la internacionalización de las especialidades de marca por compras de redes comerciales en Europa, Rusia y Turquía, y la entrada en enfermedades raras con Orphan Europe (2007), la cartera de Lundbeck en EE. UU. (2012), Signifor e Isturisa de Novartis (2019), EUSA Pharma (2022) y Enjaymo de Sanofi (2024) [1]. En diciembre de 2018 la familia vendió el 51,8 % al consorcio de CVC (Rossini), que en 2026 lanzó con GBL una OPA para excluirla de bolsa [1,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Laboratorio Farmacologico Reggiano en Correggio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Milán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Orphan Europe: entrada en enfermedades metabólicas raras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una cartera de medicamentos huérfanos de Lundbeck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Recordati vende el 51,8 % (FIMEI) al consorcio de CVC (Rossini)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Signifor, Signifor LAR e Isturisa a Novartis: nace la franquicia de endocrinología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 Koremans, primer ejecutivo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EUSA Pharma (hemato-oncología rara)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los derechos mundiales de Enjaymo a Sanofi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amplía Isturisa a todo el síndrome de Cushing endógeno (15-abr-2025)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de Respighi BidCo (CVC y GBL) a 51,29 EUR, subida a 53,00 EUR el 6 de octubre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Recordati es una farmacéutica internacional con dos negocios. Specialty &amp; Primary Care (58,7 % de las ventas de 2025 [20]) vende medicamentos de marca maduros y licenciados (Zanidip/lercanidipina, Eligard, Urorec, Seloken, Livazo, Vazkepa, Procto-Glyvenol) a médicos especialistas y farmacias de Europa, Rusia y CEI, Turquía y norte de África, con red comercial propia en unos 30 países y socios en el resto [1]. Rare Diseases (41,3 %) vende medicamentos huérfanos en endocrinología (Isturisa para el síndrome de Cushing, Signifor), hemato-oncología (Enjaymo, Qarziba, Sylvant) y metabolismo (Carbaglu), con filiales en Europa, EE. UU., Japón, Latinoamérica y Australia [1]. Tiene diez plantas (siete farmacéuticas y dos de principios activos), más de 150 fabricantes por contrato y unos 4.700 empleados [1].</w:t>
      </w:r>
    </w:p>
    <w:p>
      <w:pPr>
        <w:pStyle w:val="Heading2"/>
      </w:pPr>
      <w:r>
        <w:t xml:space="preserve">Cómo gana dinero</w:t>
      </w:r>
    </w:p>
    <w:p>
      <w:pPr>
        <w:spacing w:after="100"/>
      </w:pPr>
      <w:r>
        <w:t xml:space="preserve">El modelo es comprar o licenciar medicamentos ya aprobados o en fase final y exprimirlos con una red comercial muy especializada: Recordati apenas descubre fármacos (I+D sin amortizaciones del 6,3 % de las ventas en 2025 [1]). En Specialty &amp; Primary Care el margen EBITDA del segmento es del 34,3 % [1]: marcas maduras con precio estable, poca inversión y erosión lenta por genéricos que la empresa compensa con licencias nuevas (Vazkepa en 2025). En Rare Diseases el margen es del 43,0 % [1]: pocos pacientes, precios altos, médicos prescriptores concentrados y crecimiento por volumen (diagnóstico y nuevas indicaciones, como Isturisa en EE. UU.). Casi todos los ingresos son recurrentes (tratamientos crónicos); la estacionalidad es baja salvo tos y resfriado. El apalancamiento operativo viene de la mezcla: cada euro de Rare Diseases deja más que uno de primaria.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Specialty &amp; Primary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Rare Diseases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Specialty &amp; Primary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Rare Diseases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[1]. Los clientes directos son mayoristas, farmacias hospitalarias y especializadas y, en EE. UU., distribuidores especializados; quien decide es el médico especialista y quien paga, el sistema público o la aseguradora. El poder de precios es dispar: en Europa los precios los fijan las agencias y bajan con los genéricos (Zanidip −6,4 % en 2025 por genéricos en España; acuerdo de 12,8 M EUR con la AIFA por el «payback» de Urorec [1, 7]); en Turquía la empresa sube precios por encima de la devaluación (+34,3 % en moneda local en el 1S26 [9]). En enfermedades raras el precio se sostiene y el crecimiento es de volumen: Isturisa +58 % en el 1S26 por pacientes nuevos en EE. UU.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Isturisa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indicación en EE. UU. para todo el síndrome de Cushing (abril de 2025); unos 1.400 pacientes activos netos en EE. UU. a cierre de 2025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Enjaymo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 a Sanofi en noviembre de 2024; 146,3 M en 2025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a cambio constante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Vazkepa, Cardicor ni Inrebic; efecto divisa de −2,6 % en el 1S26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 36,5 % por la inversión comercial en EE. UU. en el segundo semestre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&lt;1,9x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1.917,1 M EUR con arrendamientos y derivados de cobertura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empleado de 573,5 miles de EUR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doble. Para Rare Diseases, los medicamentos huérfanos con receta en el mundo, que Evaluate estima en una quinta parte de las ventas mundiales de medicamentos con receta en 2030 (≈ 320.000 M USD) [15, 16] y BCC Research en 233.900 M USD en 2023 [17]. Para Specialty &amp; Primary Care, las especialidades de marca maduras en Europa y CEI, sin tamaño publicado fiable con el mismo perímetro. Usamos el de huérfanos porque es el que crece y el que pesa en el beneficio incremental; las dos fuentes difieren en perímetro (BCC incluye más biológicos), así que tomamos la de BCC para la serie y Evaluate para el contraste.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233.900 M USD en 2023 (BCC Research) [17]; ≈ 320.000 M USD en 2030 según Evaluate (un quinto de 1,6 billones)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BCC Research; 2028e previsió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y nuevas indicaciones de medicamentos huérfanos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Huérfanos con un TCAC previsto superior al 10 % en 2025-2030 frente al 7,5 % del resto [15]; Isturisa +58 % en el 1S26 tras ampliar la indicación en EE. UU.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regulatorios a los huérfanos (exclusividad de 7 años en EE. UU. y 10 en la 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Orphan Drug Act de 1983 da exclusividad de mercado, créditos fiscales y ayudas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precios regulados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Zanidip −6,4 % en 2025 por genéricos en España; payback de la AIFA en Italia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de EE. UU. (nación más favorecida,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objetivos de 2027 excluyen expresamente el efecto de aranceles y de la nación más favorecida; EE. UU. es el 19,9 % de las ventas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mercados emergentes (lira turca, rublo,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divisa de −64,2 M EUR (−2,7 %) en 2025 y −34,5 M (−2,6 %) en el 1S26 [4,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huérfanos, pocos competidores por indicación; en primaria, competencia de genéricos y de otras marcas maduras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Pagadores públicos que fijan precios y aplican paybacks (AIFA) y aseguradoras de EE. UU. que retrasan las conversiones de Isturisa [7,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licenciantes (Novartis, Sanofi, Amarin, GSK) y de más de 150 fabricantes por contrato; pérdida de la licencia de Cardicor en 2026 [1,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exclusividad huérfana, aprobación regulatoria y red médica especializada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fármacos en Cushing, en anemia hemolítica por crioaglutininas y en cáncer de próstata (competidores de Eligard) [9].</w:t>
            </w:r>
          </w:p>
        </w:tc>
      </w:tr>
    </w:tbl>
    <w:p>
      <w:pPr>
        <w:spacing w:after="160" w:before="0"/>
      </w:pPr>
    </w:p>
    <w:p>
      <w:pPr>
        <w:pStyle w:val="Heading2"/>
      </w:pPr>
      <w:r>
        <w:t xml:space="preserve">Ciclo</w:t>
      </w:r>
    </w:p>
    <w:p>
      <w:pPr>
        <w:spacing w:after="100"/>
      </w:pPr>
      <w:r>
        <w:t xml:space="preserve">La demanda de medicamentos es poco cíclica: el grupo creció en 2020 y 2022 pese a la pandemia y a la inflación de costes, y en 2022 compensó con precio en Turquía y con la compra de EUSA [1]. Lo que mueve hoy el ciclo del sector son los múltiplos: el oferente justifica su precio por el «deterioro progresivo de las valoraciones de la farmacia europea de especialidades» [21].</w:t>
      </w:r>
    </w:p>
    <w:p>
      <w:pPr>
        <w:pStyle w:val="Heading2"/>
      </w:pPr>
      <w:r>
        <w:t xml:space="preserve">Regulación</w:t>
      </w:r>
    </w:p>
    <w:p>
      <w:pPr>
        <w:spacing w:after="100"/>
      </w:pPr>
      <w:r>
        <w:t xml:space="preserve">En la UE, la reforma de la legislación farmacéutica reduce la protección regulatoria de los medicamentos nuevos y modula la exclusividad huérfana; en Italia el «payback» obliga a devolver parte del gasto público que supera el techo (acuerdo de 12,8 M EUR por Urorec en 2025) [1, 7]. En EE. UU., la ley de reducción de la inflación (IRA) excluye en parte a los huérfanos de una sola indicación y la administración presiona con la nación más favorecida y aranceles, que los objetivos de 2027 de Recordati excluyen [1, 4]. En China se denegó el reembolso de Isturisa y la filial de enfermedades raras se liquida [1].</w:t>
      </w:r>
    </w:p>
    <w:p>
      <w:pPr>
        <w:pStyle w:val="Heading2"/>
      </w:pPr>
      <w:r>
        <w:t xml:space="preserve">Tendencias y disrupción</w:t>
      </w:r>
    </w:p>
    <w:p>
      <w:pPr>
        <w:spacing w:after="100"/>
      </w:pPr>
      <w:r>
        <w:t xml:space="preserve">Tres tendencias favorecen a Recordati: más diagnóstico de enfermedades raras, licencias de biotecnológicas que no tienen red comercial fuera de EE. UU. (Ionis, Moderna en 2026 [4]) y el traslado de las grandes farmacéuticas fuera de productos pequeños (Enjaymo, de Sanofi). En contra: genéricos en primaria, nuevos competidores en cáncer de próstata y la presión sobre los precios en EE. UU.</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Especialista mediano: 1.081 M EUR en enfermedades raras en 2025 [1], muy por debajo de Alexion (AstraZeneca), Sobi o Ipsen, pero líder en sus nichos (Isturisa es el único inhibidor de la síntesis de cortisol oral aprobado para todo el síndrome de Cushing en EE. UU. [7]; Enjaymo el único tratamiento dirigido para la enfermedad por crioaglutininas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Especialidades y raras (oncología, neurociencia, enfermedades raras); margen operativo core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y neurología con huérfanos (Zilbrysq, Rystiggo); EBIT de MarketScreener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Sobi (Swedish Orphan Biovitrum)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Hematología e inmunología raras; compite en hemato-oncología.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Chiesi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enfermedades raras (Chiesi Global Rare Diseases) y respiratorio.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Crinetics (Palsonify) y Corcept (Korlym)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en endocrinología (acromegalia y Cushing) frente a Signifor e Isturisa.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Pacientes crónicos estabilizados en tratamiento (Isturisa, Carbaglu, Enjaymo) rara vez cambian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Exclusividades huérfanas y licencias por producto con fecha de caducidad; en primaria, marcas sin patente que erosionan los genéricos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37,8 % frente al 33 % de margen operativo core de Ipsen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en unos 150 países que convierte licencias pequeñas en rentables; Vazkepa EBITDA positivo el primer año [1].</w:t>
            </w:r>
          </w:p>
        </w:tc>
      </w:tr>
    </w:tbl>
    <w:p>
      <w:pPr>
        <w:spacing w:after="160" w:before="0"/>
      </w:pPr>
    </w:p>
    <w:p>
      <w:pPr>
        <w:pStyle w:val="Heading2"/>
      </w:pPr>
      <w:r>
        <w:t xml:space="preserve">Amenazas</w:t>
      </w:r>
    </w:p>
    <w:p>
      <w:pPr>
        <w:spacing w:after="100"/>
      </w:pPr>
      <w:r>
        <w:t xml:space="preserve">Lo que erosiona el foso es la caducidad de cada producto: genéricos de lercanidipina, dutasterida y metoprolol en primaria (ya en marcha), pérdida de licencias (Cardicor en 2026) y competidores nuevos en Cushing y en cáncer de próstata. Probabilidad alta de erosión producto a producto; la defensa es comprar licencias nuevas a buen precio, que con deuda de 1,9 veces el EBITDA y un dueño de capital riesgo depende de la disciplina en el precio.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13,5 %</w:t>
      </w:r>
      <w:r>
        <w:t xml:space="preserve">, EBITDA </w:t>
      </w:r>
      <w:r>
        <w:rPr>
          <w:b/>
          <w:bCs/>
        </w:rPr>
        <w:t xml:space="preserve">13,3 %</w:t>
      </w:r>
      <w:r>
        <w:t xml:space="preserve">, BPA </w:t>
      </w:r>
      <w:r>
        <w:rPr>
          <w:b/>
          <w:bCs/>
        </w:rPr>
        <w:t xml:space="preserve">3,5 %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13,5 % anual entre 2021 y 2025 (de 1.580 a 2.618 M EUR), con una parte grande comprada: EUSA Pharma (2022, 136 M de ventas el primer año) y Enjaymo (finales de 2024, 146 M en 2025) [1, 3]. El crecimiento comparable a cambio constante fue del 8,3 % en 2025 y del 9,1 % en el 1S26 [4, 7], tirado por Isturisa (+58 % en el 1S26 tras la indicación ampliada en EE. UU.) y por Enjaymo; Specialty &amp; Primary Care crece un 2-4 % [4, 13]. El margen EBITDA de la empresa pasó del 38,1 % en 2021 al 36,1 % en 2022 (entrada de EUSA y costes de energía) y volvió al 37,9 % en 2025 por la mezcla: enfermedades raras ya son el 41 % de las ventas con un margen del 43 % frente al 34 % de especialidades [1]. El EBIT publicado crece menos que el EBITDA porque la amortización de intangibles de producto pasó de 98 a 216 M. La divisa restó un 2,6 % en el 1S26 (dólar, lira turca, rublo) [4, 6]. Ningún ejercicio queda fuera de comparación, salvo el salto de balance de 2024 por Enjaymo.</w:t>
      </w:r>
    </w:p>
    <w:p>
      <w:pPr>
        <w:pStyle w:val="Heading2"/>
      </w:pPr>
      <w:r>
        <w:t xml:space="preserve">Ajustes y partidas no recurrentes</w:t>
      </w:r>
    </w:p>
    <w:p>
      <w:pPr>
        <w:spacing w:after="100"/>
      </w:pPr>
      <w:r>
        <w:t xml:space="preserve">La empresa publica un EBITDA y un beneficio neto «ajustados» que excluyen costes no recurrentes y, en el beneficio, la amortización de intangibles y la revalorización de existencias de las compras. Los no recurrentes dentro del EBIT fueron de 14,4 M en 2021, 98,7 M en 2022 (integración de EUSA, deterioros), 68,6 M en 2023, 45,6 M en 2024 y 104,1 M en 2025 (reestructuración en Europa, costes de Enjaymo y de la venta del 5 % por Rossini) [1, 2, 3]; en el LTM, 56 M con costes de la OPA [5]. Se repiten todos los años: los tratamos como recurrentes en el BPA del objetivo a 12 meses solo en parte (BPA NIIF más los no recurrentes después de impuestos, sin sumar la amortización de intangibles). En 2021 hubo un ingreso fiscal extraordinario (patent box) que sacamos del BPA recurrente.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(29-jul-2026) la dirección repitió el mensaje del 1T: Rare Diseases sostiene el crecimiento (+22,0 % comparable a cambio constante, Isturisa +58 %, Enjaymo +31 %) y Specialty &amp; Primary Care aguanta plano (+0,6 %) pese a la pérdida de la licencia de Cardicor, el fin de algunos concursos de bajo margen en Alemania y una mala campaña de tos y resfriado [9]. El cambio de discurso frente al 1T está en Isturisa: en mayo admitieron una conversión lenta de pacientes inscritos a tratamiento en EE. UU. (bajas por el fin de ayudas del seguro público) y en julio dijeron que las conversiones subieron más de un 20 % sobre el 1T, aunque «es una métrica que tiene que seguir mejorando» [9, 10]. Los analistas preguntaron sobre todo por el margen de Specialty &amp; Primary Care, la reversión del beneficio puntual de Eligard en Turquía (competidor sin existencias) y el tamaño de zilganersen fuera de EE. UU.; la dirección se negó a dar cifras de zilganersen y no aceptó preguntas sobre la OPA de CVC y GBL, remitiendo al folleto [9]. Confirmó la guía de 2026 (ventas 2.730-2.800 M EUR, EBITDA 995-1.030 M, margen ≈ 36,5 %) y los objetivos de 2027 [4,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EUSA Pharma, consolidada desde marzo de 2022 (673 M EUR netos de caja): entra en balance y en 9,5 meses de la cuenta.; 2024: Derechos mundiales de Enjaymo comprados a Sanofi el 29-nov-2024 (781,7 M EUR con existencias): entran en el balance de 2024 y solo un mes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con las compras: de unos 1.000 M a finales de 2021 a 2.040 M a finales de 2025 (2,1 veces el EBITDA) tras pagar 782 M por Enjaymo con préstamos nuevos, y bajó a 1.917 M en junio de 2026 (menos de 1,9 veces) con la caja libre [1, 4, 5]. Los vencimientos están repartidos (313 M en 2026, 624 M en 2027, 430-440 M al año en 2028-2029) y el coste medio es del 3,8 % [1]. El circulante es alto y estable para una farmacéutica (29 % de las ventas): existencias de 540 M (≈ 240 días de coste de ventas, por los huérfanos de producción por campañas) y clientes de 570 M, con cobros lentos en Italia, Turquía y Rusia. Sin rating público.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1.832</w:t>
      </w:r>
      <w:r>
        <w:t xml:space="preserve">, conversión </w:t>
      </w:r>
      <w:r>
        <w:rPr>
          <w:b/>
          <w:bCs/>
        </w:rPr>
        <w:t xml:space="preserve">94 %</w:t>
      </w:r>
      <w:r>
        <w:t xml:space="preserve"> del beneficio neto; adquisiciones 1.458, dividendos 1.215, recompras 453.</w:t>
      </w:r>
    </w:p>
    <w:p>
      <w:pPr>
        <w:spacing w:after="100"/>
      </w:pPr>
      <w:r>
        <w:t xml:space="preserve">La conversión de beneficio en caja es buena: el flujo operativo cubrió el beneficio neto 1,3-1,5 veces en 2021-2025 porque la amortización de intangibles no es salida de caja [1, 2, 3]. El año anómalo es 2023: 383 M de «capex» incluyen el pago de los derechos de Isturisa y Signifor que quedaban (hitos a Novartis) y otras licencias; sin ellos, la inversión es de 70-100 M al año, un 3-4 % de las ventas, casi toda de mantenimiento (plantas de Milán, Turquía y Francia). El resto de la inversión de crecimiento va por compras (EUSA 673 M en 2022, Enjaymo 782 M en 2024) y licencias (Vazkepa e Inrebic 33 M en 2025; Moderna e Ionis 46 M en 2026) [1, 4]. Estimación propia: un 1-2 % de las ventas es capex de crecimiento; el resto de la expansión llega comprando. Dividendos y recompras (425 M en 2025) se llevan casi todo el flujo libre.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auditor EY desde 2020 con opinión favorable y sin cambios de criterio relevantes [1]. Los tres indicadores del motor van en la misma dirección: Altman Z de 3,66 (zona segura), Piotroski F de 7 sobre 9 (falla la liquidez corriente y el margen bruto, por la mezcla) y Beneish M de −2,55, por debajo del umbral de manipulación (−1,78), sin ninguna variable fuera de rango. Puntos a vigilar: los «no recurrentes» se repiten cada año (45-104 M) y el beneficio «ajustado» que guía la empresa excluye además la amortización de intangibles comprados (≈ 120 M), así que el ajustado supera al NIIF en un 40-50 %; nosotros usamos el NIIF con los no recurrentes después de impuestos. No capitaliza I+D propia salvo hitos de licencias; los pagos por compras de productos se amortizan en 10-15 años. La remuneración en acciones (opciones) es moderada (≈ 15 M al año) y se cubre con recompras. Sin diferencias materiales entre resultado contable y fiscal más allá del patent box de 2021.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«no recurrentes» que se repiten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14-104 M al año en 2021-2025 (4 % de las ventas en 2025); el beneficio ajustado de la guía los excluye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ajustado que excluye la amortización de intangibles comprados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Práctica habitual del sector; nosotros valoramos con el NIIF.</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Consejo dividido en la OPA del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cuatro independientes votaron contra el primer precio (51,29 EUR); es gobierno, no contabilidad, pero afecta a la confianza en las cifras del folleto [24].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796 M en 2025 (el 20 % del capital invertido medio); ha subido más de un 5 % en 1 de 4 años: compra única grande. ROIC publicado 14,8 %; sin fondo de comercio, 18,5 %.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9,1 % · </w:t>
      </w:r>
      <w:r>
        <w:rPr>
          <w:b/>
          <w:bCs/>
        </w:rPr>
        <w:t xml:space="preserve">WACC</w:t>
      </w:r>
      <w:r>
        <w:t xml:space="preserve">: 7,5 %.</w:t>
      </w:r>
    </w:p>
    <w:p>
      <w:pPr>
        <w:spacing w:after="100"/>
      </w:pPr>
      <w:r>
        <w:t xml:space="preserve">Recordati crea valor: ROIC del 14,8 % en 2025 frente a un WACC del 7,53 %, 7,2 puntos de diferencia, y del 18,5 % sin el fondo de comercio. El ROIC ha bajado desde el 19,7 % de 2021 porque el capital invertido casi se duplicó (de 2.129 a 3.999 M) con las compras de EUSA y Enjaymo y los derechos de Isturisa y Signifor, que aún no rinden lo que el negocio antiguo. Lo mueve el margen (NOPAT del 22,6 % de las ventas), no la rotación (0,5 veces), como en toda la farmacia con marcas. El ROIC incremental de 2021-2025 (9,1 %) es la señal de calidad del crecimiento: las compras rinden por encima del WACC pero bastante menos que la base; Enjaymo, a 782 M, necesita unos 100 M de NOPAT para llegar al 13 %. Frente a sus pares, por encima de Galderma, Faes y Almirall y por debajo de Ipsen (23 %) [31].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391,4 M EUR a 30-jun-2026 (428,8 M a dic-25) y programa de bonos privados con PGIM de hasta 220 M USD, de los que se han emitido 125 M EUR a 10 años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crédito público (deuda bancaria y colocaciones privadas)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tiene un covenant de deuda neta sobre EBITDA por debajo de 3 veces: a junio de 2026 estaba por debajo de 1,9 veces, con holgura amplia [4, 5]. Pensiones (TFR italiano y planes en Alemania y Francia) de 16 M, que van al puente. Provisiones por litigios y fiscales pequeñas (sin litigio material abierto) y pagos contingentes por hitos de licencias (hasta 110 M USD a Moderna por mRNA-3927 si se cumplen) que no figuran como deuda [1, 4]. Arrendamientos de 49 M (NIIF 16), incluidos en la deuda neta. No hay factoring sin recurso relevante declarado. Si la OPA triunfa, el folleto prevé que la deuda del oferente (financiación de la compra) baje a la sociedad por fusión: la deuda del grupo subiría mucho, un riesgo para un accionista minoritario que se quede [14].</w:t>
      </w:r>
    </w:p>
    <w:p>
      <w:pPr>
        <w:pStyle w:val="Heading1"/>
      </w:pPr>
      <w:r>
        <w:t xml:space="preserve">12. Asignación de capital</w:t>
      </w:r>
    </w:p>
    <w:p>
      <w:pPr>
        <w:pStyle w:val="Confianza"/>
        <w:spacing w:after="100"/>
      </w:pPr>
      <w:r>
        <w:t xml:space="preserve">Confianza: Media</w:t>
      </w:r>
    </w:p>
    <w:p>
      <w:pPr>
        <w:spacing w:after="100"/>
      </w:pPr>
      <w:r>
        <w:t xml:space="preserve">Dividendo de alrededor del 60 % del beneficio neto ajustado; en la práctica el DPA ha crecido cada año: 1,10 EUR (2021), 1,15, 1,20, 1,27 y 1,34 EUR (2025), con un dividendo a cuenta en noviembre y el complementario en mayo [1, 2, 3]. Recompras para cubrir los planes de opciones y acciones (157 M EUR en 2025). Prioridad declarada para la caja: compras y licencias en enfermedades raras y especialidades sin superar unas 3 veces el EBITDA de deuda neta [1, 11]. Desde el anuncio de la OPA, el folleto exige que no haya dividendos ni recompras hasta el pago de la oferta (condición de medidas defensivas)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Signifor, Signifor LAR e Isturisa (Novartis)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franquicia de endocrinología: 394,1 M EUR de ventas en 2025 e Isturisa creciendo +58 % en el 1S26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EUSA Pharma (Qarziba, Sylvant, Fotivda, Caphosol)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136,0 M EUR de ventas en 2022; deterioro de Caphosol de 3,3 M en 2025; Qarziba y Sylvant crecen un 6-7 % en el 1S26 [1,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Derechos mundiales de Enjaymo (Sanofi)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nuevos de 1.092 M EUR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146,3 M EUR de ventas en 2025 (+26,7 % pro forma) y 91,0 M en el 1S26 (+31,1 %); amortización de 35 M al año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Vazkepa (Amarin, 59 países) e Inrebic en Japón (BMS)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Vazkepa: 14,0 M EUR en el 1S26, objetivo de más de 40 M en 2027 y EBITDA positivo desde 2026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Licencias de mRNA-3927 (Moderna) y zilganersen (Ionis, fuera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desarrollo; 50 M USD iniciales más hasta 110 M USD por hitos a Moderna; lectura de datos de mRNA-3927 a finales de 2026 [4, 7].</w:t>
            </w:r>
          </w:p>
        </w:tc>
      </w:tr>
    </w:tbl>
    <w:p>
      <w:pPr>
        <w:spacing w:after="160" w:before="0"/>
      </w:pPr>
    </w:p>
    <w:p>
      <w:pPr>
        <w:spacing w:after="100"/>
      </w:pPr>
      <w:r>
        <w:t xml:space="preserve">Asignación de capital de comprador en serie disciplinado: en 2021-2025 generó unos 2.600 M de flujo operativo, invirtió unos 720 M en capex y licencias y 1.460 M en compras (EUSA, Enjaymo), y devolvió 1.670 M a los accionistas (dividendos y recompras), con la deuda neta subiendo de ≈ 1.000 a ≈ 2.040 M [1, 2, 3]. Las compras han funcionado razonablemente: EUSA y Enjaymo crecen y no hay deterioros relevantes (3,3 M en Caphosol). El dividendo creció cada año (de 1,10 a 1,34 EUR) con un reparto de ≈ 60 % del beneficio ajustado. Con la OPA, la asignación cambia de dueño: el oferente prevé fusionar su deuda con la sociedad, y el dividendo y las recompras quedan suspendidos hasta el pago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Koremans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diciembre de 2021, antes en la dirección de una gran farmacéutica de genéricos y especialidades. Con él las ventas pasaron de 1.580 M EUR (2021) a 2.618 M (2025) y el EBITDA de 602 a 991 M, cumpliendo la guía de 2025 [1, 7]. Acudió a la OPA con 78.426 acciones el 7-sep-2026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Recordati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Nieto del fundador, consejero desde 1998 y presidente. Vendió el control a CVC en 2018 y es coinversor del consorcio oferente de 2026 [14, 22]. Ejerció 200.000 opciones a 30,73 EUR el 30-jul-2026 y su sociedad Arisca acudió a la OPA con 122.903 acciones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McClellan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tras la salida de Luigi La Corte el 22-dic-2025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Pescatore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Rare Diseases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unidad que crece un 22 % comparable en el 1S26 y responde en las conferencias por el lanzamiento de Isturisa en EE. UU.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Alberto Martinez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Specialty &amp; Primary Care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el negocio de primaria, con margen del 34 % y la reorganización comercial de Italia y España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2.600-2.670 M EUR; EBITDA 970-1.000 M; beneficio neto ajustado 640-670 M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2.618,4 M; EBITDA 991,1 M; beneficio ajustado 651,1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2.730-2.800 M EUR; EBITDA 995-1.030 M (≈ 36,5 %); beneficio ajustado 655-685 M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Confirmada en julio con el 1S26: ventas 1.410,8 M (+6,6 %) y EBITDA 540,2 M (38,3 %)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en la ejecución: cumplió la guía de 2025 con un efecto divisa en contra de 64 M EUR y la reconfirma en 2026 [7]. El único cambio de la cúpula financiera es el del director financiero en diciembre de 2025. La credibilidad hacia el minoritario es otra cuestión: el primer ejecutivo y el presidente votaron a favor del primer precio de la OPA (51,29 EUR) y el presidente se sienta en los dos lados como coinversor del consorcio [14, 24]. Sin plan de sucesión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Recordati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Koremans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Luigi La Corte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(ex director financiero hasta dic-25)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Giampiero Mazza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Cathrin Petty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Stratton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Diva Moriani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riesgos y sostenibilidad (presidenta); Retribuciones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Joanna Le Couilliard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Piergiorgio Peluso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riesgos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Stephen Sands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riesgos y sostenibilidad; Retribuciones y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Andrea Recordati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6,15 / ventas 15,55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Rossini S.à r.l. (consorcio de CVC)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concierto con el oferente; acciones ya entregadas a la OPA)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un 5 % en febrero de 2025 a 55,70 EUR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CVC Capital Partners IX (directo, tras la compra del 15-oct)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concierto con el oferente, más un swap de rendimiento total sobre otro 4,90 %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bolsa en octubre de 2026 a 53,00 EUR como máximo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 Mountain S.à r.l. (GBL)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concierto con el oferente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2026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5,02 % a cierre de 2025; 4,923 % comunicado el 5-feb-2026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4.312.045 acciones a 30-jun-2026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Koremans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 Recordati (presidente), ejercicio de opciones a 30,73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Luigi La Corte (consejero, ex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Luigi La Corte (consejero, ex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Koremans (consejero delegado): acude a la OPA a 51,29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Arisca S.r.l. (Andrea Recordati): acude a la OPA a 51,29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Luigi La Corte: acude a la OPA a 53,00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en 2025 703.000 EUR fijos, 300.000 EUR por pacto de no competencia, 921.000 EUR de variable anual y 53.000 EUR en especie (1,98 M EUR en total), más 1,10 M EUR de valor razonable de planes en acciones; 44,9 veces la remuneración media del grupo [23]. El variable a largo plazo es el plan de acciones por resultados 2023-2025 (y el nuevo 2026-2028), con métricas de EBITDA, beneficio por acción y rentabilidad total para el accionista; la OPA aceleró el plan en el 2T26 (coste no recurrente) [9, 23]. Hay cláusulas de recuperación. La política de 2025 recibió un 8,8 % de votos en contra [23]. Lo que no gusta: el pacto de no competencia cobra cada año como si fuera fijo.</w:t>
      </w:r>
    </w:p>
    <w:p>
      <w:pPr>
        <w:pStyle w:val="Heading2"/>
      </w:pPr>
      <w:r>
        <w:t xml:space="preserve">Operaciones vinculadas, estructura de control y defensas</w:t>
      </w:r>
    </w:p>
    <w:p>
      <w:pPr>
        <w:spacing w:after="100"/>
      </w:pPr>
      <w:r>
        <w:t xml:space="preserve">Recordati está controlada por Rossini (consorcio de CVC) con el 46,82 %, bajo su «dirección y coordinación» [22]. En 2026 el propio controlador lanzó con GBL una OPA para excluirla de bolsa, con el presidente Andrea Recordati como coinversor [14]. El consejo dio por justo el primer precio (51,29 EUR) por 6 votos a 4: votaron a favor los consejeros ligados al controlador, el presidente y el primer ejecutivo, y en contra los cuatro independientes con la opinión de Rothschild [24]; tras la subida a 53,00 EUR el consejo la acogió por unanimidad [25]. Una acción, un voto, sin blindajes estatutarios; la defensa del minoritario depende de la umbral del 66,67 % (renunciable por el oferente) y, si se fusiona para excluirla, del derecho de separación [14].</w:t>
      </w:r>
    </w:p>
    <w:p>
      <w:pPr>
        <w:pStyle w:val="Heading2"/>
      </w:pPr>
      <w:r>
        <w:t xml:space="preserve">Señales de alerta</w:t>
      </w:r>
    </w:p>
    <w:p>
      <w:pPr>
        <w:pStyle w:val="ListParagraph"/>
        <w:numPr>
          <w:ilvl w:val="0"/>
          <w:numId w:val="2"/>
        </w:numPr>
        <w:spacing w:after="60"/>
      </w:pPr>
      <w:r>
        <w:t xml:space="preserve">OPA del accionista de control con el presidente como coinversor: conflicto de interés en el consejo, que aprobó el primer precio con el voto en contra de los cuatro independientes [14, 24].</w:t>
      </w:r>
    </w:p>
    <w:p>
      <w:pPr>
        <w:pStyle w:val="ListParagraph"/>
        <w:numPr>
          <w:ilvl w:val="0"/>
          <w:numId w:val="2"/>
        </w:numPr>
        <w:spacing w:after="60"/>
      </w:pPr>
      <w:r>
        <w:t xml:space="preserve">Directivos y consejeros acudiendo a la OPA y vendiendo en 2026 (primer ejecutivo, presidente, ex director financiero) [26].</w:t>
      </w:r>
    </w:p>
    <w:p>
      <w:pPr>
        <w:pStyle w:val="ListParagraph"/>
        <w:numPr>
          <w:ilvl w:val="0"/>
          <w:numId w:val="2"/>
        </w:numPr>
        <w:spacing w:after="60"/>
      </w:pPr>
      <w:r>
        <w:t xml:space="preserve">Cambio de director financiero en diciembre de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(17-feb-2026, confirmados el 29-jul): ingresos de 2.730-2.800 M EUR, EBITDA de 995-1.030 M (≈ 36,5 % de margen, por la inversión comercial en EE. UU. del segundo semestre) y beneficio neto ajustado de 655-685 M [7, 9]. Plan 2025-2027 (2025): ingresos de 3.000-3.200 M, EBITDA de 1.140-1.225 M y beneficio ajustado de 770-820 M en 2027, con compras de licencias incluidas y sin el efecto de aranceles o del precio de nación más favorecida en EE. UU. [11]. Historial: cumplió la guía de 2024 y de 2025 (2.618 M de ingresos, en la parte baja-media de 2.600-2.670) [7, 12]. Con la OPA en curso, la empresa no ha actualizado el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51,30 – 71,00</w:t>
            </w:r>
          </w:p>
        </w:tc>
      </w:tr>
    </w:tbl>
    <w:p>
      <w:pPr>
        <w:spacing w:after="160" w:before="0"/>
      </w:pPr>
    </w:p>
    <w:p>
      <w:pPr>
        <w:pStyle w:val="Heading2"/>
      </w:pPr>
      <w:r>
        <w:t xml:space="preserve">Revisiones de estimaciones</w:t>
      </w:r>
    </w:p>
    <w:p>
      <w:pPr>
        <w:spacing w:after="100"/>
      </w:pPr>
      <w:r>
        <w:t xml:space="preserve">Una sola fuente con estimaciones completas (MarketScreener, 8 analistas) [29]; el precio objetivo y la recomendación media se contrastan con prensa (Equita comprar con 69 EUR; Intermonte, no acudir a 51,29) [35, 41]. El BPA de 2026 apenas se ha movido en tres meses (2,47 EUR) tras unos resultados del 1S26 algo mejores de lo esperado en Isturisa; el de 2027-2028 subió un 2-3 % desde mayo por Enjaymo y el dólar más estable. Desde la OPA, varios analistas han dejado de publicar o pasado a «bajo revisión».</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3,2 % en 12 meses, por encima del índice europeo de salud (sector) y algo por debajo del Stoxx 600 [28]. El último medio año lo explica la OPA: el 22-may-2026 el consorcio CVC-GBL anunció una oferta de exclusión a 51,29 EUR (prima del 16,6 % sobre el precio sin oferta de ≈ 44 EUR) [40], y la acción se pegó al precio de la oferta; tras subirla a 53,00 EUR el 6-oct [21], cotiza exactamente a ese precio, con muy poca volatilidad (7,4 % en 60 sesiones). Antes de la oferta, la acción llevaba dos años lateral (44-55 EUR) pese a ganar un 7-10 % al año, por el miedo al precio de los medicamentos en EE. UU. (nación más favorecida) y a los aranceles, y por la venta del 5 % de Rossini en febrero de 2025.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 +3,1 % / +5,7 % / +3,2 %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 +19,2 %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el resultado definitivo de la OPA a 53,00 EUR (plazo hasta el 23-oct-2026; reapertura posible hasta el 9-nov). Si se completa, la acción se excluye y no hay compra; solo se reabre el análisis si la oferta fracasa o la acción sigue cotizando con flotante tras la reapertura.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OPA de exclusión de Respighi BidCo (CVC y GBL) a 51,29 EUR el 22-may-2026, con una prima del 16,6 % [40]. Por debajo del umbral del 15 %, pero es el único movimiento relevante del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definitivo de la OPA (fin del plazo el 23-oct-2026; resultado provisional hacia el 26-oct)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oferente sube la OPA de 51,29 a 53,00 EUR por acción (con dividendo), la declara «definitiva» y prorroga la aceptación hasta el 23-oct-2026; pago el 2-nov y posible reapertura del 3 al 9-nov [21, 35]. El precio de mercado (53,00) es el de la oferta: comprar hoy no tiene recorrido si la OPA se completa.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definitivo de la OPA; si se completa, la acción sale de bolsa a 53,00 EUR y el análisis no tiene compra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Adhesiones del 50,39 % de las acciones objeto de la oferta (100,04 M), incluidas las de Rossini (46,82 % del capital); el umbral del 66,67 % es renunciable por el oferente y, con las compras de CVC fuera de la OPA, el control está asegurado [36,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no llega al 90 %, la exclusión será por fusión: el minoritario que no acuda se queda en una sociedad no cotizada o ejerce el derecho de separación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CVC compra en bolsa y fuera de la OPA (un 0,66 % por contrato) a 52,98-53,00 EUR y llega al 4,16 % directo, más un swap de rendimiento total sobre otro 4,90 % [27,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Autorizaciones de competencia, inversión extranjera (golden power) y subvenciones extranjeras de la UE obtenidas: la oferta ya no tiene condiciones regulatorias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acoge por unanimidad el precio de 53,00 EUR; con 51,29 los cuatro independientes (asesorados por Rothschild, rango DCF de 52,01-61,25) lo habían rechazado y el consejo lo aprobó por 6 a 4 [24, 25]. Palliser (fondo activista) pide 60 EUR; Equita mantiene comprar con 69 EUR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(Koremans), el presidente (Arisca, sociedad de Andrea Recordati, que reinvierte en el oferente) y el exdirector financiero acuden a la OPA; La Corte vende además en bolsa en agosto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aprueba los resultados de los nueve meses el 10-nov-2026 y la conferencia es el 11-nov [38]: después del cierre de la OPA.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cotiza al precio de la OPA (53,00 EUR) porque el oferente tiene el control asegurado (Rossini, 46,82 %, ya ha entregado sus acciones; CVC y GBL suman otro 7,4 % más un swap del 4,9 %), la oferta es «definitiva» y ya no le quedan autorizaciones pendientes [21, 37, 39]. Para un comprador nuevo el recorrido es cero si la oferta se completa, y bajista si fracasara (el precio sin oferta era de ≈ 44 EUR). Por eso el veredicto es «retrasa» hasta el resultado: la valoración independiente (objetivo a 12 meses de 62,73 EUR) no es alcanzable mientras exista la oferta. Para quien tenga acciones, lo racional es acudir: quedarse fuera de una sociedad que se fusionará con un oferente endeudado es peor.</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Recordati cotiza con descuento frente a su historia: 12,6 veces el EBITDA de los últimos 12 meses frente a una media de 14,7 veces al cierre de 2021-2025, y un PER de 22,3 veces frente a 25,9. Con el PER adelantado (precio de cierre entre el BPA recurrente del año siguiente) la mediana de 2021-2025 es de 20,6 veces y hoy paga 18,0 veces el de 2027. Lo que ha cambiado no es el negocio (crece más y con más margen que en 2021) sino los tipos (el Bund pasó del 0 % al 3,5 %) y el riesgo regulatorio en EE. UU. (precios de nación más favorecida, aranceles), que ha bajado los múltiplos de toda la farmacia europea [28]. La OPA pone hoy un techo: el precio ya no lo fija el múltiplo.</w:t>
      </w:r>
    </w:p>
    <w:p>
      <w:pPr>
        <w:pStyle w:val="Heading1"/>
      </w:pPr>
      <w:r>
        <w:t xml:space="preserve">18. Comparables cotizados</w:t>
      </w:r>
    </w:p>
    <w:p>
      <w:pPr>
        <w:pStyle w:val="Confianza"/>
        <w:spacing w:after="100"/>
      </w:pPr>
      <w:r>
        <w:t xml:space="preserve">Confianza: Media</w:t>
      </w:r>
    </w:p>
    <w:p>
      <w:pPr>
        <w:spacing w:after="100"/>
      </w:pPr>
      <w:r>
        <w:t xml:space="preserve">Farmacéuticas europeas de especialidad y enfermedades raras con modelo parecido (marcas propias, compras y licencias, venta mundial): Ipsen y UCB (enfermedades raras y especialidades), Galderma (especialidad de alto crecimiento, como techo), y Faes, Almirall y Rovi (especialidades medianas europeas). Fuera: Sobi (el proveedor no daba sus cifras con fiabilidad), Chiesi y Alfasigma (no cotizan), y las grandes (Novartis, Sanofi), con otro tamaño y otra cartera. Cifras de Stock Analysis y MarketScreener a 7-oct llevadas al cierre del 14-oct [31,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11,3x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14,1x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 / 17,6x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-3,6 + 1,38 × crecimiento; R² = 0,93. Para el crecimiento esperado de la empresa (7,7 %), el múltiplo ajustado es 7,0x y el valor por acción, 28,23.</w:t>
      </w:r>
    </w:p>
    <w:p>
      <w:pPr>
        <w:spacing w:after="100"/>
      </w:pPr>
      <w:r>
        <w:t xml:space="preserve">Recordati queda en el centro del mapa: crecimiento esperado del 7,7 % (mediana de los comparables del 11,3 %) con el margen EBITDA más alto del grupo junto a Ipsen (38 %) y un ROIC del 14,8 %. Su EV/EBITDA de los próximos 12 meses (11,6 veces) es casi la mediana (11,4) y su PER (18,2 veces) es la mediana (17,7). La dispersión es enorme: Galderma (38,9 veces el beneficio) crece al 19 % y Ipsen (11,7 veces) arrastra la incertidumbre de su cartera tras el fin de Somatuline. Ni prima ni descuento: el mercado paga a Recordati lo que paga por el sector, y la mejor calidad de su margen se compensa con su deuda (1,9 veces, cuando Ipsen, Almirall y Rovi no tienen) y con el riesgo de concentración en Isturisa. El múltiplo razonable es 11-12 veces el EBITDA, el de la OPA (12,4 veces).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Recordati (OPA de exclusión, precio final 53,00 EUR)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Respighi BidCo (CVC Fund IX, GBL y coinversores)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53,00 EUR × 204,8 M acciones en circulación + deuda neta de 1.917 M y 21 M de pensiones a 30-jun-26, sobre ventas y EBITDA de los últimos 12 meses (2.705 y 1.035 M). Prima del 16,6 % sobre el precio no alterado del 25-mar-2026 [5,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Derechos mundiales de Enjaymo (sutimlimab)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Recordati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825 M USD iniciales más hitos de hasta 250 M USD; 781,7 M EUR pagados con existencias. Ventas 2024 pro forma de ≈ 115 M EUR (estimación propia: 146,3 M de 2025 ÷ 1,267) [2,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EUSA Pharma (Qarziba, Sylvant, Fotivda, Caphosol)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neto de caja de 673,3 M EUR; ventas anualizadas de ≈ 170 M (estimación propia: 136,0 M en 9,5 meses de 2022)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47,25 – 65,37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tres operaciones con múltiplo verificable, y por ventas: la propia OPA (valor de empresa de 12.793 M, 4,73 veces las ventas y 12,4 veces el EBITDA, prima del 16,6 %) [14, 21] y las dos compras de Recordati, Enjaymo a Sanofi (782 M, ≈ 6,8 veces sus ventas de entonces) y EUSA Pharma (673 M, ≈ 4,0 veces) [2, 7]. La OPA es la referencia relevante: es lo que un comprador informado (con acceso a datos internos) paga hoy por el control, y coincide con el DCF independiente. Las compras de terceros en enfermedades raras (Chiesi-Amryt, Alfasigma-Intercept) no publicaron EBITDA. Peso del 15 %: la mediana de la muestra (4,73 veces las ventas) da 51,98 EUR.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+5,6 % en 2026 (fijo: guía de 2.730-2.800 M, con la divisa restando ≈ 1,4 puntos) [7, 9], +7,5 % en 2027 (por debajo del plan, 3.000-3.200 M, que incluye compras de licencias aún no hechas) [11], +6,5 % en 2028 y bajada al 2,5 % en 2032. Es menos que el consenso (3.028 y 3.224 M en 2027-2028 [29]) y que la TCAC de 2021-2025 (13,5 %, con compras). El motor es el volumen de enfermedades raras (Isturisa, Enjaymo, Qarziba, Vazkepa) y la estabilidad de especialidades (+2-3 %); el precio resta (genéricos en Europa, presión en EE. UU.). No modelamos compras futuras: si se hacen, se suman al capex.</w:t>
      </w:r>
    </w:p>
    <w:p>
      <w:pPr>
        <w:keepNext/>
        <w:spacing w:after="100"/>
      </w:pPr>
      <w:r>
        <w:rPr>
          <w:b/>
          <w:bCs/>
        </w:rPr>
        <w:t xml:space="preserve">Márgenes.</w:t>
      </w:r>
    </w:p>
    <w:p>
      <w:pPr>
        <w:spacing w:after="100"/>
      </w:pPr>
      <w:r>
        <w:t xml:space="preserve">Margen EBITDA de la empresa del 36,6 % en 2026 (guía: ≈ 36,5 %, por la inversión comercial en EE. UU.) [7], subiendo al 38 % en 2028-2029 por la mezcla hacia enfermedades raras (margen del segmento del 43 %) y bajando al 36,5 % en 2032 cuando Signifor e Isturisa pierdan exclusividad en algunos mercados y la competencia de genéricos crezca. El margen es algo menor que el del consenso (37,8 % y 38,5 % en 2027-2028) porque los «no recurrentes» se repiten.</w:t>
      </w:r>
    </w:p>
    <w:p>
      <w:pPr>
        <w:keepNext/>
        <w:spacing w:after="100"/>
      </w:pPr>
      <w:r>
        <w:rPr>
          <w:b/>
          <w:bCs/>
        </w:rPr>
        <w:t xml:space="preserve">Inversión y circulante.</w:t>
      </w:r>
    </w:p>
    <w:p>
      <w:pPr>
        <w:spacing w:after="100"/>
      </w:pPr>
      <w:r>
        <w:t xml:space="preserve">Capex (inmovilizado e intangibles, incluidas licencias e hitos de producto) del 7,0 % de las ventas, convergiendo al 6,8 % (igual que la amortización) en 2032: es la media de 2021-2025 sin compras de empresas (6,9 %), que incluye el pago de 2023 por los derechos de Isturisa y Signifor. Amortización del 7,6 % al 6,8 % (incluye la de intangibles comprados, que baja según vencen). Circulante del 29 % de las ventas (29,2 % en 2025). Impuestos del 24 % (23,7 % en 2025, con patent box).</w:t>
      </w:r>
    </w:p>
    <w:p>
      <w:pPr>
        <w:keepNext/>
        <w:spacing w:after="100"/>
      </w:pPr>
      <w:r>
        <w:rPr>
          <w:b/>
          <w:bCs/>
        </w:rPr>
        <w:t xml:space="preserve">Coste del capital.</w:t>
      </w:r>
    </w:p>
    <w:p>
      <w:pPr>
        <w:spacing w:after="100"/>
      </w:pPr>
      <w:r>
        <w:t xml:space="preserve">Tasa libre: Bund a 10 años, 3,45 % el 15-oct-2026 [33]. Prima de mercado del 5,5 % más 0,5 puntos de prima adicional: domicilio italiano (diferencial del BTP de ≈ 0,9 puntos), aunque Italia es solo ≈ 15 % de las ventas, y concentración en Isturisa. Beta de 0,80: la mensual de 5 años es de 0,70 y la ajustada de 0,80; la semanal de 2 años, 0,77 [28]. Coste de la deuda del 3,8 % antes de impuestos (tipo medio publicado) [1] y peso de la deuda del 15 % a valor de mercado (deuda neta de 1.917 M frente a una capitalización de 11.077 M). WACC del 7,53 %.</w:t>
      </w:r>
    </w:p>
    <w:p>
      <w:pPr>
        <w:keepNext/>
        <w:spacing w:after="100"/>
      </w:pPr>
      <w:r>
        <w:rPr>
          <w:b/>
          <w:bCs/>
        </w:rPr>
        <w:t xml:space="preserve">Valor terminal.</w:t>
      </w:r>
    </w:p>
    <w:p>
      <w:pPr>
        <w:spacing w:after="100"/>
      </w:pPr>
      <w:r>
        <w:t xml:space="preserve">Gordon con crecimiento del 2,0 %, la inflación esperada en euros: la cartera se renueva con licencias y compras, pero cada producto acaba perdiendo exclusividad. Implica un múltiplo de salida de unas 11 veces el EBITDA, por debajo del de la OPA (12,4 veces) y de la media histórica (14,7 veces). El valor terminal pesa un 72 %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(reinvierte el 36 %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(histórico: 9,1 %)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frente al 4,9 %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256 M, el 5 % del NOPAT, con un capex bruto medio del 6,9 % de las ventas). En un negocio de activos ligeros, el crecimiento medio del 4,9 %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Isturisa (+58 % en el 1S26), Enjaymo y Qarziba (≈ 7,5 %); precio −0,5 % (Europa); divisa −1,4 %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enfermedades raras y lanzamientos (Vazkepa, más de 40 M), ≈ 6,5 %; licencias pequeñas ya firmadas, +1 % [4,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enfermedades raras (Isturisa en Cushing ampliado en EE. UU., Enjaymo en Europa y Japón).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menor; precio −0,5 % por genéricos de Signifor y presión de precios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Isturisa madura en EE. UU.</w:t>
            </w:r>
          </w:p>
        </w:tc>
      </w:tr>
    </w:tbl>
    <w:p>
      <w:pPr>
        <w:spacing w:after="160" w:before="0"/>
      </w:pPr>
    </w:p>
    <w:p>
      <w:pPr>
        <w:spacing w:after="100"/>
      </w:pPr>
      <w:r>
        <w:t xml:space="preserve">Sí, con la prueba a mano porque la reinversión es pequeña (5 % del NOPAT: capex igual a la amortización). El crecimiento proyectado (4,9 % de media) es menos de la mitad del histórico (13,5 %, con compras) y del comparable a cambio constante (8-9 % en 2025-2026), y menos que el mercado de medicamentos huérfanos (TCAC del 12,2 % a 2028 [17]). Sale de volumen de productos ya aprobados con exclusividad (Isturisa, Enjaymo, Qarziba) y de licencias ya pagadas, no de precio (resta medio punto) ni de cuota nueva. Poder de precios: en huérfanos sin alternativa los precios se mantienen; en especialidades bajan algo cada año. Lo que la proyección no cubre es la renovación de la cartera más allá de 2030: el capex del 6,8-7,0 % incluye licencias pequeñas, no compras grandes. Ninguna de las pruebas falla. El riesgo no es el ritmo, sino el precio de Isturisa en EE. UU.</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36,6 % (base: 36,5 %)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7,5 %)</w:t>
            </w:r>
          </w:p>
        </w:tc>
      </w:tr>
    </w:tbl>
    <w:p>
      <w:pPr>
        <w:spacing w:after="160" w:before="0"/>
      </w:pPr>
    </w:p>
    <w:p>
      <w:pPr>
        <w:spacing w:after="100"/>
      </w:pPr>
      <w:r>
        <w:t xml:space="preserve">El DCF da 52,88 EUR por acción, igual que el precio (−0,2 %) y que la OPA, con el valor terminal en el 72 % del total. El DCF inverso confirma que el precio está en su sitio: con nuestro margen, los 53,00 EUR justifican un crecimiento del 4,8 % anual entre 2027 y 2032, exactamente el que proyectamos, y la rentabilidad implícita (7,5 %) es nuestro WACC. Con la prima implícita del mercado (4,20 %) el valor sube a 64,67 EUR. Es decir, la OPA paga un valor justo con nuestro coste de capital y barato con el que pide hoy el mercado; coincide con los rangos de los asesores de los independientes (Rothschild 52,01-61,25; Lazard 51,44-61,41) [14].</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reforma de precios de EE. UU. (nación más favorecida) y los aranceles recortan el precio de Isturisa y Enjaymo, Signifor pierde la exclusividad antes de lo previsto y los genéricos presionan en Europa: el crecimiento cae 2 puntos, el margen 2 puntos y el WACC sube medio punto.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Isturisa y Enjaymo siguen creciendo, especialidades crece un 2-3 %, el margen sube al 38 % por la mezcla y la empresa cumple casi el plan de 2027 sin compras grandes.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Además, mRNA-3927 (acidemia propiónica) y sutimlimab en trombocitopenia inmune dan datos positivos, la empresa compra licencias con buen retorno y el margen sube un punto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50,48 EUR (-4,8 %).</w:t>
      </w:r>
    </w:p>
    <w:p>
      <w:pPr>
        <w:spacing w:after="100"/>
      </w:pPr>
      <w:r>
        <w:t xml:space="preserve">Asimetría desfavorable al precio de hoy: el bajista (37,35 EUR) pierde un 29,5 % y el alcista (58,79) gana un 10,9 %; el base (52,88) está en el precio. Es la imagen de una acción que cotiza al precio de una OPA justa: el comprador ya paga el caso base. El bajista no es cosmético: el precio de nación más favorecida en EE. UU. y los aranceles sobre medicamentos son riesgos reales en 2026-2027 y EE. UU. ya aporta ≈ 25 % de las ventas, casi todas en enfermedades raras. Con la prima del mercado el reparto mejora (44,52-71,82 EUR).</w:t>
      </w:r>
    </w:p>
    <w:p>
      <w:pPr>
        <w:pStyle w:val="Heading1"/>
      </w:pPr>
      <w:r>
        <w:t xml:space="preserve">22. Suma de partes</w:t>
      </w:r>
    </w:p>
    <w:p>
      <w:pPr>
        <w:pStyle w:val="Confianza"/>
        <w:spacing w:after="100"/>
      </w:pPr>
      <w:r>
        <w:t xml:space="preserve">Confianza: Media</w:t>
      </w:r>
    </w:p>
    <w:p>
      <w:pPr>
        <w:spacing w:after="100"/>
      </w:pPr>
      <w:r>
        <w:t xml:space="preserve">No aplica: los dos segmentos (Specialty &amp; Primary Care y Rare Diseases) comparten producción, estructura y caja, y la empresa no los venderá por separado; la valoración por suma de partes con los múltiplos de Ipsen (huérfanos) y de las especialidades europeas da un valor parecido al DCF y no añade información.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51,93 EUR (-2,0 % sobre 53,00).</w:t>
      </w:r>
    </w:p>
    <w:p>
      <w:pPr>
        <w:spacing w:after="100"/>
      </w:pPr>
      <w:r>
        <w:t xml:space="preserve">Pesos: DCF 45 %, escenarios 25 %, comparables 15 % y transacciones 15 %. El DCF es el método natural para una cartera de productos con flujos previsibles; los escenarios recogen el riesgo regulatorio en EE. UU.; comparables y transacciones (con la propia OPA) sirven de contraste y dan valores muy parecidos (51-52 EUR). Todos los métodos se concentran en 51-53 EUR: el valor intrínseco (51,93 EUR) está un 2,0 % por debajo del precio. El consenso (60,10 EUR, 8 analistas) está por encima porque usa el beneficio ajustado de la empresa y la prima de mercado más baja; con la prima implícita del mercado nuestro valor sería de 59,97 EUR, casi el del consenso.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(18x) a mitad de camino hacia la mediana de 5 años (20.6x)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+53,5 %</w:t>
            </w:r>
          </w:p>
        </w:tc>
      </w:tr>
    </w:tbl>
    <w:p>
      <w:pPr>
        <w:spacing w:after="160" w:before="0"/>
      </w:pPr>
    </w:p>
    <w:p>
      <w:pPr>
        <w:spacing w:after="100"/>
      </w:pPr>
      <w:r>
        <w:rPr>
          <w:b/>
          <w:bCs/>
        </w:rPr>
        <w:t xml:space="preserve">Objetivo a 12 meses (ponderado):</w:t>
      </w:r>
      <w:r>
        <w:t xml:space="preserve"> 62,73 EUR · rentabilidad +20,9 % (base +21,6 %) · señal Mantener.</w:t>
      </w:r>
    </w:p>
    <w:p>
      <w:pPr>
        <w:spacing w:after="100"/>
      </w:pPr>
      <w:r>
        <w:t xml:space="preserve">Para comparar, con la regla v2 (historia al cierre, mismo precio): 15,3x / 18,0x / 23,4x, 17,7 %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 (3,27 EUR) queda un 7,6 % por debajo del consenso (3,54) [29]: proyectamos menos ingresos (3.165 frente a 3.224 M, sin compras de licencias no firmadas) y algo menos de margen (38,0 % frente a 38,5 %), porque tratamos como recurrente una parte de los «no recurrentes». Nuestro objetivo base a 12 meses (63,11 EUR) está un 5 % por encima del objetivo medio de los analistas (60,10), porque la regla común parte de un PER histórico más alto que el de los analistas; la diferencia es pequeña y no cambia la lectura.</w:t>
      </w:r>
    </w:p>
    <w:p>
      <w:pPr>
        <w:keepNext/>
        <w:spacing w:after="100"/>
      </w:pPr>
      <w:r>
        <w:rPr>
          <w:b/>
          <w:bCs/>
        </w:rPr>
        <w:t xml:space="preserve">Del valor intrínseco al objetivo a 12 meses.</w:t>
      </w:r>
    </w:p>
    <w:p>
      <w:pPr>
        <w:spacing w:after="100"/>
      </w:pPr>
      <w:r>
        <w:t xml:space="preserve">El objetivo a 12 meses de la empresa independiente (62,73 EUR ponderado; +20,9 % con dividendo) supera al valor intrínseco (51,93): la regla común devuelve el PER hacia su mediana histórica (20,6 veces), que se formó con tipos casi nulos. No es alcanzable en la práctica: la OPA «definitiva» a 53,00 EUR, con el control ya asegurado, fija el precio de salida para casi todo el capital. El BPA crece un 15 % anual de 2025 a 2028 en nuestro base (de 2,12 NIIF a 3,27 recurrente), por la mezcla de la base de BPA (NIIF frente a recurrente) y por Isturisa y Enjaymo; sin el cambio de base, ≈ 10 %.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aceptación de la OPA a 53,00 EUR (resultado provisional ≈ 26-oct)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completa, la acción se excluye a 53,00 EUR; si fracasa, vuelve hacia el precio sin oferta (≈ 44 EUR)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 la OPA; reapertura del plazo del 3 al 9-nov (pago el 17-nov) si se dan las condiciones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ventana para acudir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compra forzosa si supera el 90 %/95 % o fusión con el oferente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minoritario que no acuda puede quedar en una sociedad no cotizada y más endeudada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2026; irrelevante para el precio si la OPA se completa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mRNA-3927 (Moderna) en acidemia propiónica y plan de fase 3 de pasireotida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crecimiento más allá de 2028 (en el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3 de sutimlimab (Enjaymo) en trombocitopenia inmune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Ampliaría el mercado de Enjaymo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EE. UU. sobre precios de nación más favorecida y aranceles a medicamentos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principal riesgo de la empresa independiente (escenario bajista, −29,5 %)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OPA de exclusión a 53,00 EUR: recorrido nulo para un comprador nuevo; si fracasa, vuelta al precio sin oferta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 operación corporativa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si se completa; ≈ −17 % si fracasa (precio sin oferta de ≈ 44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asegurado y autorizaciones obtenidas: el fracaso es muy improbable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la OPA el 23-26 de octubre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 atrapado tras la exclusión por fusión con el oferente (deuda de la compra en la sociedad)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−30 % para quien no acuda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 de separación en la fusión a un valor legal; compra forzosa al precio de la OPA por encima del 90 %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final de adhesiones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medicamentos en EE. UU. (nación más favorecida)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Medicamentos huérfanos con pocos pacientes, en parte exentos; producción en Europa y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Órdenes ejecutivas y acuerdos de precio de la administración estadounidense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Isturisa y fin de exclusividad de Signifor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20 productos huérfanos y licencias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Isturisa por debajo del 15 %; genéricos de pasireotida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del accionista de control (oferente con el presidente como coinversor)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(precio de la OPA por debajo del valor justo de los independientes)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subido a 53,00 EUR y aprobado por unanimidad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la fusión posterior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(dólar, lira turca, rublo)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divisa por encima de −3 % en un semestre</w:t>
            </w:r>
          </w:p>
        </w:tc>
      </w:tr>
    </w:tbl>
    <w:p>
      <w:pPr>
        <w:spacing w:after="160" w:before="0"/>
      </w:pPr>
    </w:p>
    <w:p>
      <w:pPr>
        <w:pStyle w:val="Heading2"/>
      </w:pPr>
      <w:r>
        <w:t xml:space="preserve">Pre-mortem</w:t>
      </w:r>
    </w:p>
    <w:p>
      <w:pPr>
        <w:spacing w:after="100"/>
      </w:pPr>
      <w:r>
        <w:t xml:space="preserve">Octubre de 2027: quien compró a 53,00 EUR en octubre de 2026 no ha acudido a la oferta y tiene acciones de una sociedad que ya no cotiza. La historia más probable: la OPA se cierra con el 88 % del capital, por debajo del umbral de la compra forzosa; el oferente fusiona Respighi BidCo con Recordati, la deuda de la compra (más de 5.000 M) pasa a la sociedad y el derecho de separación se fija a la media de cotización de los seis meses anteriores, unos 52 EUR. El minoritario cobra menos que la OPA o se queda en una sociedad sin liquidez ni dividendo. Mientras tanto, Isturisa sufre la primera rebaja de precio en EE. UU. por la regla de nación más favorecida. El indicador que lo habría anticipado: el folleto ya decía que la exclusión por fusión era el plan si no se llegaba al 90 %, y que no se pagarían dividendos.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Positivo · </w:t>
      </w:r>
      <w:r>
        <w:rPr>
          <w:b/>
          <w:bCs/>
        </w:rPr>
        <w:t xml:space="preserve">Efecto en valor (3-5 años):</w:t>
      </w:r>
      <w:r>
        <w:t xml:space="preserve"> +0 % a +3 % a 3-5 años</w:t>
      </w:r>
    </w:p>
    <w:p>
      <w:pPr>
        <w:spacing w:after="100"/>
      </w:pPr>
      <w:r>
        <w:t xml:space="preserve">La IA no sustituye lo que vende Recordati: medicamentos con patente o exclusividad huérfana, registrados y fabricados bajo normas sanitarias, cuya demanda depende del diagnóstico de enfermedades raras, no del trabajo humano que un modelo pueda automatizar. Por el lado positivo, la IA acelera el diagnóstico de enfermedades raras (más pacientes identificados para Isturisa o Carbaglu) y abarata el desarrollo clínico y la farmacovigilancia; por el negativo, también abarata el descubrimiento para competidores grandes, que podrían entrar antes en sus nichos. Señal a vigilar: herramientas de diagnóstico con IA aprobadas para síndrome de Cushing o hemoglobinuria.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Research</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Los asuntos ESG que tocan las cifras son tres: acceso y precio de los medicamentos (paybacks en Italia, reembolso denegado en China que llevó a liquidar la filial, presión de precios en EE. UU.) [1, 7]; calidad y suministro (más de 150 fabricantes por contrato; un desabastecimiento de un competidor dio a Eligard un beneficio puntual en Turquía [9]); y gobierno con accionista de control, que en 2026 decide una OPA con los independientes en contra del primer precio. Las emisiones (alcances 1 y 2 de 38.740 t CO2e en 2024, objetivo −20 % en 2030) no mueven el valor [1].</w:t>
      </w:r>
    </w:p>
    <w:p>
      <w:pPr>
        <w:pStyle w:val="Heading2"/>
      </w:pPr>
      <w:r>
        <w:t xml:space="preserve">Controversias</w:t>
      </w:r>
    </w:p>
    <w:p>
      <w:pPr>
        <w:spacing w:after="100"/>
      </w:pPr>
      <w:r>
        <w:t xml:space="preserve">Acuerdo de 12,8 M EUR con la AIFA en 2025 por el payback de Urorec de ejercicios anteriores [7]; liquidación voluntaria de la filial china de enfermedades raras tras denegarse el reembolso de Isturisa [1]. Sin sanciones relevantes de reguladores en los tres últimos años en los documentos revisados.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alcanzará la oferta y, si no llega al 90 %, en qué condiciones y a qué valor de separación se hará la fusión?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qué recibe el minoritario que no acuda.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tras la fusión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deuda de la compra pasará a la sociedad y con qué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riesgo de cualquier accionista que se quede.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en EE. UU. podría quedar sujeta a precios de nación más favorecida?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(−29,5 %).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Isturisa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pacientes nuevos netos por trimestre gana en Cushing ampliado y cuándo pierde la exclusividad?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crecimiento proyectado.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repiten cada año costes de 50-100 M fuera del EBITDA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el beneficio recurrente del de la guía.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Italia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OPA y las adhesiones; la discusión es si conviene acudir a 53 EUR o arriesgarse a quedar en minoría; recuerda que el 50,39 % de adhesiones incluye el 46,82 % de Rossini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Altroconsumo (guía para el ahorrador)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al particular la elección entre acudir y quedarse; el tono es de resignación ante un precio «definitivo»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Milano Finanza (prensa con debate de minoritarios)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carta del fondo activista Palliser (precio justo de al menos 60 EUR) y la presión de minoritarios que forzó la subida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Websim (comentario de bróker e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«la ejecución continua refuerza el valor independiente a largo plazo»; los independientes juzgaron inadecuado el precio inicial [43,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SoldiOnline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la OPA tras la prórroga: fin el 23-oct, pago el 2-nov, reapertura del 3 al 9-nov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OPA demasiado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rangos DCF de los expertos de los independientes (Rothschild 52,01-61,25 EUR) y del consejo (Lazard 51,44-61,41 EUR) quedan por encima o alrededor de 53 EUR; nuestro valor intrínseco también. Tienen razón en que el precio no paga el control con holgura (prima del 16,6 %).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Acudir o quedarse en minoría tras la exclusión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oferente supera el 66,67 % puede fusionar y excluir la acción; quedarse da derecho de separación pero sin liquidez. Lo recoge la sección de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negocio (Isturisa, Enjaymo)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los datos: Rare Diseases +22 % comparable en el 1S26.</w:t>
            </w:r>
          </w:p>
        </w:tc>
      </w:tr>
    </w:tbl>
    <w:p>
      <w:pPr>
        <w:spacing w:after="160" w:before="0"/>
      </w:pPr>
    </w:p>
    <w:p>
      <w:pPr>
        <w:spacing w:after="100"/>
      </w:pPr>
      <w:r>
        <w:t xml:space="preserve">El debate no es sobre el negocio, que casi todos ven bien, sino sobre la OPA: si 53 EUR es justo y si conviene acudir. El sentimiento contradice al consenso de analistas en el objetivo (60,10 EUR de media) solo en apariencia: los particulares saben que, con una OPA «definitiva» y el control asegurado, el precio de mercado ya no lo fija el valor intrínseco. No anticipa un riesgo que el informe no tenga. Sin acceso a foros de particulares con mensajes (FinanzaOnline da 403),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45 (26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29,0 % frente a 29,2 %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Mantener, relativa Comprar))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(sin consenso previo); 2) MarketScreener (solo consenso anual vigente); 3) prensa italiana (Websim y Milano Finanza sin cifras de consenso trimestral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21 del informe anual 2025 (solo calendario y tipo medio del 3,80 %); 2) relación semestral 2026; 3) folleto de la OPA (deuda de la sociedad oferente, no del emisor)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especialidades maduras en Europa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cifra de mercado); 2) IQVIA citado por la empresa (solo crecimiento del mercado relevante); 3) EFPIA y Evaluate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(cuotas por producto no publicadas); 2) presentaciones de resultados (solo índice de evolución 105 de la cartera promocionada); 3) Evaluate y BCC (mercado mundial de huérfanos: cuota del 0,4 %, sin significado)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remuneración en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2026 (solo voto de 2025); 2) web de la junta 2026 (acta no descargada);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la junta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cada directivo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2026 (tabla de participaciones sin totales legibles); 2) comunicaciones de internal dealing (operaciones, no saldos); 3) folleto de la OPA (reinversión del presidente sin porcentaje en Recordati)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«Outperform» medio, sin recuento); 2) Investing (página no accesible sin JavaScript); 3) prensa italiana (recomendaciones sueltas: Equita comprar 69 EUR, Intermonte no acudir)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CONSOB, posiciones cortas netas (sin publicación ≥ 0,5 % localizada); 2) Stock Analysis (no da cortos de Milán);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EV/EBITDA de compras de terceros en enfermedades raras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las compras de Chiesi-Amryt y Alfasigma-Intercept (sin EBITDA publicado); 2) folleto de la OPA (operaciones comparables de los asesores, sin desglose por operación); 3) prensa (múltiplos de ventas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FinanzaOnline (403); 2) Reddit y Stocktwits (bloqueados o sin símbolo de Milán); 3) Investing.com Italia (requiere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con debate y comentarios de Rankia en su lugar</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Consolidated Financial Statements 2025 (cuentas NIIF 2025 y 2024, notas, segmentos,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https://dg0hkcpvy5xbq.cloudfront.net/wp-content/uploads/2026/04/01132611/Recordati-Group-Integrated-Consolidated-Financial-Statements-2025.pdf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Consolidated Financial Statements 2024 (cuentas NIIF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https://dg0hkcpvy5xbq.cloudfront.net/wp-content/uploads/2025/03/28100338/Integrated-Consolidated-Financial-Statements-2024.pdf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2022 (cuentas NIIF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https://dg0hkcpvy5xbq.cloudfront.net/wp-content/uploads/2022/12/27103611/consolidated-financial-statement-2022.pdf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solid momentum of the group continues first half 2026 (nota de resultados del 1S26 con cuentas resumidas)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 (vía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https://www.biospace.com/press-releases/recordati-solid-momentum-of-the-group-continues-first-half-2026-net-revenue-6-6-ebitda-8-8-adjusted-net-income-6-7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First Half 2026 (posición financiera neta, autocartera, arrendamientos)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https://dg0hkcpvy5xbq.cloudfront.net/wp-content/uploads/2026/07/01124804/ENG_Recordati-Group-Interim-report-First-Half-2026_WEB.pdf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Q1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https://dg0hkcpvy5xbq.cloudfront.net/wp-content/uploads/2026/05/12171324/Press-Release_Q1-2026-Results-FINAL.pdf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preliminary FY 2025 results and 2026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https://dg0hkcpvy5xbq.cloudfront.net/wp-content/uploads/2026/02/17165247/Press-Release_FY-2025-Results-FINAL.pdf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releases: 9M 2025, H1 2025 y Q1 2025 results (cuentas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https://dg0hkcpvy5xbq.cloudfront.net/wp-content/uploads/2025/11/11184339/Press-Release_9M-2025-Results-FINAL.pdf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conference call transcript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https://dg0hkcpvy5xbq.cloudfront.net/wp-content/uploads/2026/07/01115612/Recordati-H1-2026-Results-Transcript.pdf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results conference call transcript (13-may-2026)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https://dg0hkcpvy5xbq.cloudfront.net/wp-content/uploads/2026/05/14112834/Recordati-Q1-2026-Transcript.pdf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2025-2027 three-year plan (objetivos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https://dg0hkcpvy5xbq.cloudfront.net/wp-content/uploads/2025/04/28174155/Press-Release-2025-2027-3Y-Plan.pdf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FY 2024 preliminary results (Q1-Q4 2024 por diferencia)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https://dg0hkcpvy5xbq.cloudfront.net/wp-content/uploads/2025/02/13110440/Press-Release_FY-2024-preliminary-results.pdf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https://dg0hkcpvy5xbq.cloudfront.net/wp-content/uploads/2026/07/29112630/Recordati-H1-2026-results-presentation.pdf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Offer Document: voluntary totalitarian tender offer by Respighi BidCo S.p.A. on Recordati shares (condiciones, A.1)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Respighi BidCo S.p.A. / CONSOB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https://dg0hkcpvy5xbq.cloudfront.net/wp-content/uploads/2026/07/20200006/1.-Offer-Document_ENG.pdf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Evaluate releases 2025 Orphan Drug Report: orphan drug sales will continue to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Manufacturing Chemist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https://manufacturingchemist.com/evaluate-orphan-drug-report-2025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Orphan drugs to make up one fifth of global Rx drug sales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Pharma Letter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https://www.thepharmaletter.com/orphan-drugs-to-make-up-one-fifth-of-global-rx-drug-sales-by-2030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Markets for Orphan Drugs (233.900 M USD en 2023, 415.200 M en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https://www.bccresearch.com/market-research/pharmaceuticals/orphan-drugs-market-report.html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Financial Data Forecasts Estimates (ventas y EBIT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https://www.marketscreener.com/quote/stock/IPSEN-5137/finances/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Financial Data Forecasts Estimates (ventas y EBIT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https://www.marketscreener.com/quote/stock/UCB-5963/finances/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Key Results (peso de los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https://annualreport.recordati.com/key-results/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pursuant to Articles 36 and 43: increase in the consideration of the Offer to Euro 53.00 per share; extension of the acceptance period until 23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Respighi BidCo S.p.A. (vía Recordati)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https://dg0hkcpvy5xbq.cloudfront.net/wp-content/uploads/2026/10/06063408/Comunicato-ex-art.-36-e-43_ENG.pdf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and Ownership Structure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https://dg0hkcpvy5xbq.cloudfront.net/wp-content/uploads/2026/04/01141113/Corporate-Governance-Report-EN-2025.pdf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the Remuneration Policy and the Remuneration Paid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https://dg0hkcpvy5xbq.cloudfront.net/wp-content/uploads/2026/03/27162003/Recordati_Rem-Report-2026-ENG.pdf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Approval of the Issuer’s Statement (art. 103 TUF): el consejo da por justo 51,29 EUR por 6 votos a 4; los cuatro independientes lo juzgan inadecuado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https://dg0hkcpvy5xbq.cloudfront.net/wp-content/uploads/2026/07/15232436/press-release-15-july-2026-1.pdf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Board of Directors unanimously welcomes the increase of the consideration of the voluntary public tender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https://dg0hkcpvy5xbq.cloudfront.net/wp-content/uploads/2026/10/07205832/3.-Recordati-Press-Release-7-October-2026.pdf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dealing 2026: Koremans (29-jul y 7-sep), Andrea Recordati y Arisca (30-jul y 10-sep), La Corte (20/21-ago y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https://recordati.com/governance-internal-dealing/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signing of a sale and purchase agreement concerning approximately 0.66% of the share capital (participaciones de los que actúan de concierto)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Respighi BidCo S.p.A. (vía Recordati)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https://dg0hkcpvy5xbq.cloudfront.net/wp-content/uploads/2026/10/16055908/Comunicato-Acquisti_SPA_-Acquisti-fuori-OPA_ENG.pdf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(REC.MI, EXSA.DE, EXV4.DE) hasta el 14-oct-2026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https://finance.yahoo.com/quote/REC.MI/history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Financial Data Forecasts Estimates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https://www.marketscreener.com/quote/stock/RECORDATI-159075/finances/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Consensus (8 analistas, objetivo medio 60,10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https://www.marketscreener.com/quote/stock/RECORDATI-159075/consensus/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europeos a 7-oct-2026 (Stock Analysis y MarketScreener: Galderma, UCB, Ipsen, Faes, Almirall, Rovi), recogidos en el informe de Almirall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https://stockanalysis.com/quote/epa/IPN/statistics/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de cierre del 7 y del 14-oct-2026 de GALD.SW, UCB.BR, IPN.PA, FAE.MC, ALM.MC y ROVI.MC (puesta al día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https://finance.yahoo.com/quote/IPN.PA/history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R10XX): 3,45 %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Cvc rilancia il prezzo a 53 euro dopo le contestazioni e proroga l’opa al 23 ottobre (Equita: comprar, objetivo 69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https://www.milanofinanza.it/news/recordati-cvc-rilancia-il-prezzo-a-53-euro-dopo-le-contestazioni-e-proroga-l-opa-al-23-ottobre-202610060806567956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Recordati: prezzo a 53 euro, adesioni e scadenza (adhesiones al 12-oct según Borsa Italiana)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https://rankia.it/opa-recordati/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(art. 41): compras de CVC del 15-oct-2026 a 52,98-53,00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Respighi BidCo S.p.A. (vía Recordati)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https://dg0hkcpvy5xbq.cloudfront.net/wp-content/uploads/2026/10/15200232/Comunicato-Acquisti-ex-art.-41_c.-2_lett.-c_ENG-6.pdf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consejo de los nueve meses el 10-nov-2026 y conferencia el 11-nov-2026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https://recordati.com/investor-events/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(art. 36): obtención de las autorizaciones de competencia, FDI y FSR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Respighi BidCo S.p.A. (vía Recordati)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https://dg0hkcpvy5xbq.cloudfront.net/wp-content/uploads/2026/10/07205048/1.-Comunicato-ex-art.-36_ENG.pdf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consorzio CVC-GBL lancia OPA per delisting a 51,29 euro per azione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https://www.teleborsa.it/AMP/News/2026/05/22/recordati-consorzio-cvc-gbl-lancia-opa-per-delisting-a-51-29-euro-per-azione-11.html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Intermonte boccia l’opa low cost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https://www.milanofinanza.it/news/recordati-intermonte-boccia-l-opa-low-cost-2705411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CVC rilancia l’Opa a 53 euro per azione. Cosa fare?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Altroconsumo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https://www.altroconsumo.it/investi/investire/azioni/news/recordati-opa-cvc-rilancio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 La continua execution rafforza il valore standalone di lungo termine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https://www.websim.it/azioni/blue-chip/recordati-la-continua-execution-rafforza-il-valore-standalone-di-lungo-termine-20260729073312/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 OPA Respighi: prezzo inadeguato per gli Amministratori Indipendenti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https://www.websim.it/azioni/blue-chip/recordati-opa-respighi-prezzo-inadeguato-per-gli-amministratori-indipendenti/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su Recordati: CVC e GBL alzano a 53 euro e prorogano i tempi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SoldiOnline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https://www.soldionline.it/notizie/azioni-italia/opa-su-recordati-cvc-e-gbl-alzano-a-53-euro-e-prorogano-i-tempi</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16 oct 2026.</w:t>
      </w:r>
    </w:p>
    <w:p>
      <w:pPr>
        <w:pStyle w:val="Nota"/>
        <w:spacing w:after="100"/>
      </w:pPr>
      <w:r>
        <w:t xml:space="preserve">Recordati no tiene XBRL utilizable en filings.xbrl.org para 2025 (solo un extracto parcial hasta 2024): las cuentas 2021-2025 se copian de los estados NIIF de los informes anuales de 2022, 2024 y 2025, y el LTM de la relación semestral de junio de 2026. La cuenta va por función; «no recurrentes» suma los costes que la empresa excluye de su EBITDA (reestructuración, costes de compras y de la OPA, revalorización de existencias de compras), de modo que el EBITDA del motor es el de la empresa. Precio: cierre del 14-oct-2026 (53,00 EUR); Yahoo no publica todavía el del 15-oct. Comparables de Stock Analysis y MarketScreener a 7-oct llevados al cierre del 14-oct con la variación de precio. Una OPA de exclusión pendiente (53,00 EUR, «definitiva», hasta el 23-oct) domina la decisión: la valoración es la de la empresa independiente y la recomendación tiene en cuenta la oferta. Sin foros de particulares legibles (FinanzaOnline da 403): el sentimiento sale de prensa y blogs.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Recordati Industria Chimica e Farmaceutica S.p.A. (REC)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(43,76 – 54,45)</c:v>
                </c:pt>
                <c:pt idx="1">
                  <c:v>Precio objetivo de los analistas (51,30 – 71,00)</c:v>
                </c:pt>
                <c:pt idx="2">
                  <c:v>Comparables: EV/EBITDA NTM (34,79 – 56,21)</c:v>
                </c:pt>
                <c:pt idx="3">
                  <c:v>Comparables: PER NTM (44,57 – 57,00)</c:v>
                </c:pt>
                <c:pt idx="4">
                  <c:v>Transacciones precedentes (EV/ventas) (47,25 – 65,37)</c:v>
                </c:pt>
                <c:pt idx="5">
                  <c:v>DCF (WACC y g ± 0,5) (44,51 – 64,92)</c:v>
                </c:pt>
                <c:pt idx="6">
                  <c:v>Escenarios (bajista – alcista) (37,35 – 58,79)</c:v>
                </c:pt>
                <c:pt idx="7">
                  <c:v>DCF con la prima implícita del mercado (4,2 %)</c:v>
                </c:pt>
                <c:pt idx="8">
                  <c:v>Precio actual (53,00)</c:v>
                </c:pt>
              </c:strCache>
            </c:strRef>
          </c:cat>
          <c:val>
            <c:numRef>
              <c:f>Hoja1!$B$2:$B$10</c:f>
              <c:numCache>
                <c:formatCode>#,##0.0</c:formatCode>
                <c:ptCount val="9"/>
                <c:pt idx="0">
                  <c:v>43.76</c:v>
                </c:pt>
                <c:pt idx="1">
                  <c:v>51.3</c:v>
                </c:pt>
                <c:pt idx="2">
                  <c:v>34.79</c:v>
                </c:pt>
                <c:pt idx="3">
                  <c:v>44.57</c:v>
                </c:pt>
                <c:pt idx="4">
                  <c:v>47.25</c:v>
                </c:pt>
                <c:pt idx="5">
                  <c:v>44.51</c:v>
                </c:pt>
                <c:pt idx="6">
                  <c:v>37.35</c:v>
                </c:pt>
                <c:pt idx="7">
                  <c:v>57.5</c:v>
                </c:pt>
                <c:pt idx="8">
                  <c:v>52.74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(43,76 – 54,45)</c:v>
                </c:pt>
                <c:pt idx="1">
                  <c:v>Precio objetivo de los analistas (51,30 – 71,00)</c:v>
                </c:pt>
                <c:pt idx="2">
                  <c:v>Comparables: EV/EBITDA NTM (34,79 – 56,21)</c:v>
                </c:pt>
                <c:pt idx="3">
                  <c:v>Comparables: PER NTM (44,57 – 57,00)</c:v>
                </c:pt>
                <c:pt idx="4">
                  <c:v>Transacciones precedentes (EV/ventas) (47,25 – 65,37)</c:v>
                </c:pt>
                <c:pt idx="5">
                  <c:v>DCF (WACC y g ± 0,5) (44,51 – 64,92)</c:v>
                </c:pt>
                <c:pt idx="6">
                  <c:v>Escenarios (bajista – alcista) (37,35 – 58,79)</c:v>
                </c:pt>
                <c:pt idx="7">
                  <c:v>DCF con la prima implícita del mercado (4,2 %)</c:v>
                </c:pt>
                <c:pt idx="8">
                  <c:v>Precio actual (53,00)</c:v>
                </c:pt>
              </c:strCache>
            </c:strRef>
          </c:cat>
          <c:val>
            <c:numRef>
              <c:f>Hoja1!$C$2:$C$10</c:f>
              <c:numCache>
                <c:formatCode>#,##0.0</c:formatCode>
                <c:ptCount val="9"/>
                <c:pt idx="0">
                  <c:v>10.690000000000005</c:v>
                </c:pt>
                <c:pt idx="1">
                  <c:v>19.700000000000003</c:v>
                </c:pt>
                <c:pt idx="2">
                  <c:v>21.42</c:v>
                </c:pt>
                <c:pt idx="3">
                  <c:v>12.43</c:v>
                </c:pt>
                <c:pt idx="4">
                  <c:v>18.120000000000005</c:v>
                </c:pt>
                <c:pt idx="5">
                  <c:v>20.410000000000004</c:v>
                </c:pt>
                <c:pt idx="6">
                  <c:v>21.439999999999998</c:v>
                </c:pt>
                <c:pt idx="7">
                  <c:v>16.060000000000002</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Specialty &amp; Primary Care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1196.2</c:v>
                </c:pt>
                <c:pt idx="1">
                  <c:v>1257.5</c:v>
                </c:pt>
                <c:pt idx="2">
                  <c:v>1367.6</c:v>
                </c:pt>
                <c:pt idx="3">
                  <c:v>1507.7</c:v>
                </c:pt>
                <c:pt idx="4">
                  <c:v>1536.9</c:v>
                </c:pt>
              </c:numCache>
            </c:numRef>
          </c:val>
        </c:ser>
        <c:ser>
          <c:idx val="1"/>
          <c:order val="1"/>
          <c:tx>
            <c:strRef>
              <c:f>Hoja1!$C$1</c:f>
              <c:strCache>
                <c:ptCount val="1"/>
                <c:pt idx="0">
                  <c:v>Rare Diseases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383.9</c:v>
                </c:pt>
                <c:pt idx="1">
                  <c:v>595.8</c:v>
                </c:pt>
                <c:pt idx="2">
                  <c:v>714.7</c:v>
                </c:pt>
                <c:pt idx="3">
                  <c:v>833.9</c:v>
                </c:pt>
                <c:pt idx="4">
                  <c:v>1081.4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Specialty &amp; Primary Care</c:v>
                </c:pt>
                <c:pt idx="1">
                  <c:v>Rare Diseases</c:v>
                </c:pt>
              </c:strCache>
            </c:strRef>
          </c:cat>
          <c:val>
            <c:numRef>
              <c:f>Hoja1!$B$2:$B$3</c:f>
              <c:numCache>
                <c:formatCode>General</c:formatCode>
                <c:ptCount val="2"/>
                <c:pt idx="0">
                  <c:v>58.7</c:v>
                </c:pt>
                <c:pt idx="1">
                  <c:v>41.3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EE. UU.</c:v>
                </c:pt>
                <c:pt idx="1">
                  <c:v>Italia</c:v>
                </c:pt>
                <c:pt idx="2">
                  <c:v>España</c:v>
                </c:pt>
                <c:pt idx="3">
                  <c:v>Rusia, Ucrania y otros CEI</c:v>
                </c:pt>
                <c:pt idx="4">
                  <c:v>Francia</c:v>
                </c:pt>
                <c:pt idx="5">
                  <c:v>Alemania</c:v>
                </c:pt>
                <c:pt idx="6">
                  <c:v>Turquía</c:v>
                </c:pt>
                <c:pt idx="7">
                  <c:v>Otros</c:v>
                </c:pt>
              </c:strCache>
            </c:strRef>
          </c:cat>
          <c:val>
            <c:numRef>
              <c:f>Hoja1!$B$2:$B$9</c:f>
              <c:numCache>
                <c:formatCode>0"%"</c:formatCode>
                <c:ptCount val="8"/>
                <c:pt idx="0">
                  <c:v>19.9</c:v>
                </c:pt>
                <c:pt idx="1">
                  <c:v>12.6</c:v>
                </c:pt>
                <c:pt idx="2">
                  <c:v>8.6</c:v>
                </c:pt>
                <c:pt idx="3">
                  <c:v>7</c:v>
                </c:pt>
                <c:pt idx="4">
                  <c:v>6.9</c:v>
                </c:pt>
                <c:pt idx="5">
                  <c:v>6.7</c:v>
                </c:pt>
                <c:pt idx="6">
                  <c:v>4.8</c:v>
                </c:pt>
                <c:pt idx="7">
                  <c:v>33.5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(BCC Research; 2028e previsión))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2028e</c:v>
                </c:pt>
              </c:strCache>
            </c:strRef>
          </c:cat>
          <c:val>
            <c:numRef>
              <c:f>Hoja1!$B$2:$B$3</c:f>
              <c:numCache>
                <c:formatCode>#,##0</c:formatCode>
                <c:ptCount val="2"/>
                <c:pt idx="0">
                  <c:v>233900</c:v>
                </c:pt>
                <c:pt idx="1">
                  <c:v>415200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Recordati</c:v>
                </c:pt>
                <c:pt idx="1">
                  <c:v>Ipsen</c:v>
                </c:pt>
                <c:pt idx="2">
                  <c:v>UCB</c:v>
                </c:pt>
                <c:pt idx="3">
                  <c:v>Sobi (Swedish Orphan Biovitrum)</c:v>
                </c:pt>
                <c:pt idx="4">
                  <c:v>Chiesi</c:v>
                </c:pt>
                <c:pt idx="5">
                  <c:v>Crinetics (Palsonify) y Corcept (Korlym)</c:v>
                </c:pt>
              </c:strCache>
            </c:strRef>
          </c:cat>
          <c:val>
            <c:numRef>
              <c:f>Hoja1!$B$2:$B$7</c:f>
              <c:numCache>
                <c:formatCode>0.0"%"</c:formatCode>
                <c:ptCount val="6"/>
                <c:pt idx="0">
                  <c:v>29.6</c:v>
                </c:pt>
                <c:pt idx="1">
                  <c:v>32.9</c:v>
                </c:pt>
                <c:pt idx="2">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1580.1</c:v>
                </c:pt>
                <c:pt idx="1">
                  <c:v>1853.3</c:v>
                </c:pt>
                <c:pt idx="2">
                  <c:v>2082.3</c:v>
                </c:pt>
                <c:pt idx="3">
                  <c:v>2341.6</c:v>
                </c:pt>
                <c:pt idx="4">
                  <c:v>2618.4</c:v>
                </c:pt>
                <c:pt idx="5">
                  <c:v>2765</c:v>
                </c:pt>
                <c:pt idx="6">
                  <c:v>2972</c:v>
                </c:pt>
                <c:pt idx="7">
                  <c:v>3166</c:v>
                </c:pt>
                <c:pt idx="8">
                  <c:v>3324</c:v>
                </c:pt>
                <c:pt idx="9">
                  <c:v>3457</c:v>
                </c:pt>
                <c:pt idx="10">
                  <c:v>3561</c:v>
                </c:pt>
                <c:pt idx="11">
                  <c:v>3650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602.1999999999999</c:v>
                </c:pt>
                <c:pt idx="1">
                  <c:v>672.7</c:v>
                </c:pt>
                <c:pt idx="2">
                  <c:v>769.6</c:v>
                </c:pt>
                <c:pt idx="3">
                  <c:v>865.9</c:v>
                </c:pt>
                <c:pt idx="4">
                  <c:v>991.1</c:v>
                </c:pt>
                <c:pt idx="5">
                  <c:v>1012</c:v>
                </c:pt>
                <c:pt idx="6">
                  <c:v>1115</c:v>
                </c:pt>
                <c:pt idx="7">
                  <c:v>1203</c:v>
                </c:pt>
                <c:pt idx="8">
                  <c:v>1263</c:v>
                </c:pt>
                <c:pt idx="9">
                  <c:v>1296</c:v>
                </c:pt>
                <c:pt idx="10">
                  <c:v>1317</c:v>
                </c:pt>
                <c:pt idx="11">
                  <c:v>1332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72.9</c:v>
                </c:pt>
                <c:pt idx="1">
                  <c:v>69.4</c:v>
                </c:pt>
                <c:pt idx="2">
                  <c:v>68.3</c:v>
                </c:pt>
                <c:pt idx="3">
                  <c:v>68.3</c:v>
                </c:pt>
                <c:pt idx="4">
                  <c:v>68.3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38.1</c:v>
                </c:pt>
                <c:pt idx="1">
                  <c:v>36.3</c:v>
                </c:pt>
                <c:pt idx="2">
                  <c:v>37</c:v>
                </c:pt>
                <c:pt idx="3">
                  <c:v>37</c:v>
                </c:pt>
                <c:pt idx="4">
                  <c:v>37.9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31.9</c:v>
                </c:pt>
                <c:pt idx="1">
                  <c:v>28.9</c:v>
                </c:pt>
                <c:pt idx="2">
                  <c:v>30.1</c:v>
                </c:pt>
                <c:pt idx="3">
                  <c:v>29.2</c:v>
                </c:pt>
                <c:pt idx="4">
                  <c:v>29.6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24.4</c:v>
                </c:pt>
                <c:pt idx="1">
                  <c:v>16.9</c:v>
                </c:pt>
                <c:pt idx="2">
                  <c:v>18.7</c:v>
                </c:pt>
                <c:pt idx="3">
                  <c:v>17.8</c:v>
                </c:pt>
                <c:pt idx="4">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11.9</c:v>
                </c:pt>
                <c:pt idx="3">
                  <c:v>11.4</c:v>
                </c:pt>
                <c:pt idx="4">
                  <c:v>13.4</c:v>
                </c:pt>
                <c:pt idx="5">
                  <c:v>10.6</c:v>
                </c:pt>
                <c:pt idx="6">
                  <c:v>4.9</c:v>
                </c:pt>
                <c:pt idx="7">
                  <c:v>8.3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71</c:v>
                </c:pt>
                <c:pt idx="1">
                  <c:v>71</c:v>
                </c:pt>
                <c:pt idx="2">
                  <c:v>78</c:v>
                </c:pt>
                <c:pt idx="3">
                  <c:v>81</c:v>
                </c:pt>
                <c:pt idx="4">
                  <c:v>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195</c:v>
                </c:pt>
                <c:pt idx="1">
                  <c:v>273</c:v>
                </c:pt>
                <c:pt idx="2">
                  <c:v>224</c:v>
                </c:pt>
                <c:pt idx="3">
                  <c:v>249</c:v>
                </c:pt>
                <c:pt idx="4">
                  <c:v>237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152</c:v>
                </c:pt>
                <c:pt idx="1">
                  <c:v>145</c:v>
                </c:pt>
                <c:pt idx="2">
                  <c:v>146</c:v>
                </c:pt>
                <c:pt idx="3">
                  <c:v>146</c:v>
                </c:pt>
                <c:pt idx="4">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395.09999999999997</c:v>
                </c:pt>
                <c:pt idx="1">
                  <c:v>355.2</c:v>
                </c:pt>
                <c:pt idx="2">
                  <c:v>91.8</c:v>
                </c:pt>
                <c:pt idx="3">
                  <c:v>488.9</c:v>
                </c:pt>
                <c:pt idx="4">
                  <c:v>500.49999999999994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386</c:v>
                </c:pt>
                <c:pt idx="1">
                  <c:v>312.3</c:v>
                </c:pt>
                <c:pt idx="2">
                  <c:v>389.2</c:v>
                </c:pt>
                <c:pt idx="3">
                  <c:v>416.5</c:v>
                </c:pt>
                <c:pt idx="4">
                  <c:v>443.6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19.7</c:v>
                </c:pt>
                <c:pt idx="1">
                  <c:v>16.3</c:v>
                </c:pt>
                <c:pt idx="2">
                  <c:v>15.9</c:v>
                </c:pt>
                <c:pt idx="3">
                  <c:v>14.3</c:v>
                </c:pt>
                <c:pt idx="4">
                  <c:v>14.8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7.5</c:v>
                </c:pt>
                <c:pt idx="1">
                  <c:v>7.5</c:v>
                </c:pt>
                <c:pt idx="2">
                  <c:v>7.5</c:v>
                </c:pt>
                <c:pt idx="3">
                  <c:v>7.5</c:v>
                </c:pt>
                <c:pt idx="4">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27.9</c:v>
                </c:pt>
                <c:pt idx="1">
                  <c:v>21.3</c:v>
                </c:pt>
                <c:pt idx="2">
                  <c:v>24.1</c:v>
                </c:pt>
                <c:pt idx="3">
                  <c:v>23.4</c:v>
                </c:pt>
                <c:pt idx="4">
                  <c:v>23.4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1.24</c:v>
                </c:pt>
                <c:pt idx="1">
                  <c:v>2.13</c:v>
                </c:pt>
                <c:pt idx="2">
                  <c:v>2.06</c:v>
                </c:pt>
                <c:pt idx="3">
                  <c:v>2.5</c:v>
                </c:pt>
                <c:pt idx="4">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313.3</c:v>
                </c:pt>
                <c:pt idx="1">
                  <c:v>624</c:v>
                </c:pt>
                <c:pt idx="2">
                  <c:v>431.8</c:v>
                </c:pt>
                <c:pt idx="3">
                  <c:v>442.9</c:v>
                </c:pt>
                <c:pt idx="4">
                  <c:v>379.4</c:v>
                </c:pt>
                <c:pt idx="5">
                  <c:v>252.2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0.3</c:v>
                </c:pt>
                <c:pt idx="1">
                  <c:v>673.3</c:v>
                </c:pt>
                <c:pt idx="2">
                  <c:v>0</c:v>
                </c:pt>
                <c:pt idx="3">
                  <c:v>781.7</c:v>
                </c:pt>
                <c:pt idx="4">
                  <c:v>2.7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216.7</c:v>
                </c:pt>
                <c:pt idx="1">
                  <c:v>230.6</c:v>
                </c:pt>
                <c:pt idx="2">
                  <c:v>246</c:v>
                </c:pt>
                <c:pt idx="3">
                  <c:v>253.7</c:v>
                </c:pt>
                <c:pt idx="4">
                  <c:v>267.6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101.8</c:v>
                </c:pt>
                <c:pt idx="1">
                  <c:v>52.3</c:v>
                </c:pt>
                <c:pt idx="2">
                  <c:v>22.7</c:v>
                </c:pt>
                <c:pt idx="3">
                  <c:v>119</c:v>
                </c:pt>
                <c:pt idx="4">
                  <c:v>157.1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3</c:v>
                </c:pt>
                <c:pt idx="1">
                  <c:v>1</c:v>
                </c:pt>
                <c:pt idx="2">
                  <c:v>2</c:v>
                </c:pt>
                <c:pt idx="3">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Rossini S.à r.l. (consorcio de CVC)</c:v>
                </c:pt>
                <c:pt idx="1">
                  <c:v>CVC Capital Partners IX (directo, tras la compra del 15-oct)</c:v>
                </c:pt>
                <c:pt idx="2">
                  <c:v>Black Mountain S.à r.l. (GBL)</c:v>
                </c:pt>
                <c:pt idx="3">
                  <c:v>FMR LLC (Fidelity)</c:v>
                </c:pt>
                <c:pt idx="4">
                  <c:v>Autocartera</c:v>
                </c:pt>
              </c:strCache>
            </c:strRef>
          </c:cat>
          <c:val>
            <c:numRef>
              <c:f>Hoja1!$B$2:$B$6</c:f>
              <c:numCache>
                <c:formatCode>0.0"%"</c:formatCode>
                <c:ptCount val="5"/>
                <c:pt idx="0">
                  <c:v>46.82</c:v>
                </c:pt>
                <c:pt idx="1">
                  <c:v>4.16</c:v>
                </c:pt>
                <c:pt idx="2">
                  <c:v>3.25</c:v>
                </c:pt>
                <c:pt idx="3">
                  <c:v>4.92</c:v>
                </c:pt>
                <c:pt idx="4">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40.7</c:v>
                </c:pt>
                <c:pt idx="1">
                  <c:v>-15.8</c:v>
                </c:pt>
                <c:pt idx="2">
                  <c:v>27.3</c:v>
                </c:pt>
                <c:pt idx="3">
                  <c:v>23.4</c:v>
                </c:pt>
                <c:pt idx="4">
                  <c:v>27.3</c:v>
                </c:pt>
                <c:pt idx="5">
                  <c:v>-29.5</c:v>
                </c:pt>
                <c:pt idx="6">
                  <c:v>29.3</c:v>
                </c:pt>
                <c:pt idx="7">
                  <c:v>6.2</c:v>
                </c:pt>
                <c:pt idx="8">
                  <c:v>-1.6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10.7</c:v>
                </c:pt>
                <c:pt idx="1">
                  <c:v>-11</c:v>
                </c:pt>
                <c:pt idx="2">
                  <c:v>28.4</c:v>
                </c:pt>
                <c:pt idx="3">
                  <c:v>-1.8</c:v>
                </c:pt>
                <c:pt idx="4">
                  <c:v>24.6</c:v>
                </c:pt>
                <c:pt idx="5">
                  <c:v>-10.3</c:v>
                </c:pt>
                <c:pt idx="6">
                  <c:v>15.5</c:v>
                </c:pt>
                <c:pt idx="7">
                  <c:v>8.5</c:v>
                </c:pt>
                <c:pt idx="8">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20.9</c:v>
                </c:pt>
                <c:pt idx="1">
                  <c:v>14.2</c:v>
                </c:pt>
                <c:pt idx="2">
                  <c:v>15.3</c:v>
                </c:pt>
                <c:pt idx="3">
                  <c:v>14.7</c:v>
                </c:pt>
                <c:pt idx="4">
                  <c:v>12.3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14.7</c:v>
                </c:pt>
                <c:pt idx="1">
                  <c:v>14.7</c:v>
                </c:pt>
                <c:pt idx="2">
                  <c:v>14.7</c:v>
                </c:pt>
                <c:pt idx="3">
                  <c:v>14.7</c:v>
                </c:pt>
                <c:pt idx="4">
                  <c:v>14.7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Recordati</c:v>
                </c:pt>
                <c:pt idx="1">
                  <c:v>Galderma</c:v>
                </c:pt>
                <c:pt idx="2">
                  <c:v>UCB</c:v>
                </c:pt>
                <c:pt idx="3">
                  <c:v>Ipsen</c:v>
                </c:pt>
                <c:pt idx="4">
                  <c:v>Faes Farma</c:v>
                </c:pt>
                <c:pt idx="5">
                  <c:v>Almirall</c:v>
                </c:pt>
                <c:pt idx="6">
                  <c:v>Rovi</c:v>
                </c:pt>
              </c:strCache>
            </c:strRef>
          </c:cat>
          <c:val>
            <c:numRef>
              <c:f>Hoja1!$B$2:$B$8</c:f>
              <c:numCache>
                <c:formatCode>0.0"x"</c:formatCode>
                <c:ptCount val="7"/>
                <c:pt idx="0">
                  <c:v>11.6</c:v>
                </c:pt>
                <c:pt idx="1">
                  <c:v>24.2</c:v>
                </c:pt>
                <c:pt idx="2">
                  <c:v>11.7</c:v>
                </c:pt>
                <c:pt idx="3">
                  <c:v>5.9</c:v>
                </c:pt>
                <c:pt idx="4">
                  <c:v>11</c:v>
                </c:pt>
                <c:pt idx="5">
                  <c:v>7.3</c:v>
                </c:pt>
                <c:pt idx="6">
                  <c:v>12.4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Recordati</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7.7</c:v>
                </c:pt>
              </c:numCache>
            </c:numRef>
          </c:xVal>
          <c:yVal>
            <c:numRef>
              <c:f>Hoja1!$C$2</c:f>
              <c:numCache>
                <c:formatCode>0.0"x"</c:formatCode>
                <c:ptCount val="1"/>
                <c:pt idx="0">
                  <c:v>11.6</c:v>
                </c:pt>
              </c:numCache>
            </c:numRef>
          </c:yVal>
          <c:smooth val="0"/>
        </c:ser>
        <c:ser>
          <c:idx val="1"/>
          <c:order val="1"/>
          <c:tx>
            <c:strRef>
              <c:f>Hoja1!$A$3</c:f>
              <c:strCache>
                <c:ptCount val="1"/>
                <c:pt idx="0">
                  <c:v>Galderma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19.3</c:v>
                </c:pt>
              </c:numCache>
            </c:numRef>
          </c:xVal>
          <c:yVal>
            <c:numRef>
              <c:f>Hoja1!$C$3</c:f>
              <c:numCache>
                <c:formatCode>0.0"x"</c:formatCode>
                <c:ptCount val="1"/>
                <c:pt idx="0">
                  <c:v>24.2</c:v>
                </c:pt>
              </c:numCache>
            </c:numRef>
          </c:yVal>
          <c:smooth val="0"/>
        </c:ser>
        <c:ser>
          <c:idx val="2"/>
          <c:order val="2"/>
          <c:tx>
            <c:strRef>
              <c:f>Hoja1!$A$4</c:f>
              <c:strCache>
                <c:ptCount val="1"/>
                <c:pt idx="0">
                  <c:v>UCB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11.4</c:v>
                </c:pt>
              </c:numCache>
            </c:numRef>
          </c:xVal>
          <c:yVal>
            <c:numRef>
              <c:f>Hoja1!$C$4</c:f>
              <c:numCache>
                <c:formatCode>0.0"x"</c:formatCode>
                <c:ptCount val="1"/>
                <c:pt idx="0">
                  <c:v>11.7</c:v>
                </c:pt>
              </c:numCache>
            </c:numRef>
          </c:yVal>
          <c:smooth val="0"/>
        </c:ser>
        <c:ser>
          <c:idx val="3"/>
          <c:order val="3"/>
          <c:tx>
            <c:strRef>
              <c:f>Hoja1!$A$5</c:f>
              <c:strCache>
                <c:ptCount val="1"/>
                <c:pt idx="0">
                  <c:v>Ipsen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5.9</c:v>
                </c:pt>
              </c:numCache>
            </c:numRef>
          </c:yVal>
          <c:smooth val="0"/>
        </c:ser>
        <c:ser>
          <c:idx val="4"/>
          <c:order val="4"/>
          <c:tx>
            <c:strRef>
              <c:f>Hoja1!$A$6</c:f>
              <c:strCache>
                <c:ptCount val="1"/>
                <c:pt idx="0">
                  <c:v>Faes Farma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12.6</c:v>
                </c:pt>
              </c:numCache>
            </c:numRef>
          </c:xVal>
          <c:yVal>
            <c:numRef>
              <c:f>Hoja1!$C$6</c:f>
              <c:numCache>
                <c:formatCode>0.0"x"</c:formatCode>
                <c:ptCount val="1"/>
                <c:pt idx="0">
                  <c:v>11</c:v>
                </c:pt>
              </c:numCache>
            </c:numRef>
          </c:yVal>
          <c:smooth val="0"/>
        </c:ser>
        <c:ser>
          <c:idx val="5"/>
          <c:order val="5"/>
          <c:tx>
            <c:strRef>
              <c:f>Hoja1!$A$7</c:f>
              <c:strCache>
                <c:ptCount val="1"/>
                <c:pt idx="0">
                  <c:v>Almirall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6.5</c:v>
                </c:pt>
              </c:numCache>
            </c:numRef>
          </c:xVal>
          <c:yVal>
            <c:numRef>
              <c:f>Hoja1!$C$7</c:f>
              <c:numCache>
                <c:formatCode>0.0"x"</c:formatCode>
                <c:ptCount val="1"/>
                <c:pt idx="0">
                  <c:v>7.3</c:v>
                </c:pt>
              </c:numCache>
            </c:numRef>
          </c:yVal>
          <c:smooth val="0"/>
        </c:ser>
        <c:ser>
          <c:idx val="6"/>
          <c:order val="6"/>
          <c:tx>
            <c:strRef>
              <c:f>Hoja1!$A$8</c:f>
              <c:strCache>
                <c:ptCount val="1"/>
                <c:pt idx="0">
                  <c:v>Rovi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12.4</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Recordati (OPA de exclusión, precio final 53,00 EUR)</c:v>
                </c:pt>
                <c:pt idx="1">
                  <c:v>Derechos mundiales de Enjaymo (sutimlimab)</c:v>
                </c:pt>
                <c:pt idx="2">
                  <c:v>EUSA Pharma (Qarziba, Sylvant, Fotivda, Caphosol)</c:v>
                </c:pt>
              </c:strCache>
            </c:strRef>
          </c:cat>
          <c:val>
            <c:numRef>
              <c:f>Hoja1!$B$2:$B$4</c:f>
              <c:numCache>
                <c:formatCode>0.0"x"</c:formatCode>
                <c:ptCount val="3"/>
                <c:pt idx="0">
                  <c:v>12.4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589</c:v>
                </c:pt>
                <c:pt idx="1">
                  <c:v>632</c:v>
                </c:pt>
                <c:pt idx="2">
                  <c:v>691</c:v>
                </c:pt>
                <c:pt idx="3">
                  <c:v>741</c:v>
                </c:pt>
                <c:pt idx="4">
                  <c:v>765</c:v>
                </c:pt>
                <c:pt idx="5">
                  <c:v>787</c:v>
                </c:pt>
                <c:pt idx="6">
                  <c:v>798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3610</c:v>
                </c:pt>
                <c:pt idx="1">
                  <c:v>9376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53,00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37.35</c:v>
                </c:pt>
                <c:pt idx="1">
                  <c:v>52.88</c:v>
                </c:pt>
                <c:pt idx="2">
                  <c:v>58.79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(43,76 – 54,45)</c:v>
                </c:pt>
                <c:pt idx="1">
                  <c:v>Precio objetivo de los analistas (51,30 – 71,00)</c:v>
                </c:pt>
                <c:pt idx="2">
                  <c:v>Comparables: EV/EBITDA NTM (34,79 – 56,21)</c:v>
                </c:pt>
                <c:pt idx="3">
                  <c:v>Comparables: PER NTM (44,57 – 57,00)</c:v>
                </c:pt>
                <c:pt idx="4">
                  <c:v>Transacciones precedentes (EV/ventas) (47,25 – 65,37)</c:v>
                </c:pt>
                <c:pt idx="5">
                  <c:v>DCF (WACC y g ± 0,5) (44,51 – 64,92)</c:v>
                </c:pt>
                <c:pt idx="6">
                  <c:v>Escenarios (bajista – alcista) (37,35 – 58,79)</c:v>
                </c:pt>
                <c:pt idx="7">
                  <c:v>DCF con la prima implícita del mercado (4,2 %)</c:v>
                </c:pt>
                <c:pt idx="8">
                  <c:v>Precio actual (53,00)</c:v>
                </c:pt>
              </c:strCache>
            </c:strRef>
          </c:cat>
          <c:val>
            <c:numRef>
              <c:f>Hoja1!$B$2:$B$10</c:f>
              <c:numCache>
                <c:formatCode>#,##0.0</c:formatCode>
                <c:ptCount val="9"/>
                <c:pt idx="0">
                  <c:v>43.76</c:v>
                </c:pt>
                <c:pt idx="1">
                  <c:v>51.3</c:v>
                </c:pt>
                <c:pt idx="2">
                  <c:v>34.79</c:v>
                </c:pt>
                <c:pt idx="3">
                  <c:v>44.57</c:v>
                </c:pt>
                <c:pt idx="4">
                  <c:v>47.25</c:v>
                </c:pt>
                <c:pt idx="5">
                  <c:v>44.51</c:v>
                </c:pt>
                <c:pt idx="6">
                  <c:v>37.35</c:v>
                </c:pt>
                <c:pt idx="7">
                  <c:v>57.5</c:v>
                </c:pt>
                <c:pt idx="8">
                  <c:v>52.74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(43,76 – 54,45)</c:v>
                </c:pt>
                <c:pt idx="1">
                  <c:v>Precio objetivo de los analistas (51,30 – 71,00)</c:v>
                </c:pt>
                <c:pt idx="2">
                  <c:v>Comparables: EV/EBITDA NTM (34,79 – 56,21)</c:v>
                </c:pt>
                <c:pt idx="3">
                  <c:v>Comparables: PER NTM (44,57 – 57,00)</c:v>
                </c:pt>
                <c:pt idx="4">
                  <c:v>Transacciones precedentes (EV/ventas) (47,25 – 65,37)</c:v>
                </c:pt>
                <c:pt idx="5">
                  <c:v>DCF (WACC y g ± 0,5) (44,51 – 64,92)</c:v>
                </c:pt>
                <c:pt idx="6">
                  <c:v>Escenarios (bajista – alcista) (37,35 – 58,79)</c:v>
                </c:pt>
                <c:pt idx="7">
                  <c:v>DCF con la prima implícita del mercado (4,2 %)</c:v>
                </c:pt>
                <c:pt idx="8">
                  <c:v>Precio actual (53,00)</c:v>
                </c:pt>
              </c:strCache>
            </c:strRef>
          </c:cat>
          <c:val>
            <c:numRef>
              <c:f>Hoja1!$C$2:$C$10</c:f>
              <c:numCache>
                <c:formatCode>#,##0.0</c:formatCode>
                <c:ptCount val="9"/>
                <c:pt idx="0">
                  <c:v>10.690000000000005</c:v>
                </c:pt>
                <c:pt idx="1">
                  <c:v>19.700000000000003</c:v>
                </c:pt>
                <c:pt idx="2">
                  <c:v>21.42</c:v>
                </c:pt>
                <c:pt idx="3">
                  <c:v>12.43</c:v>
                </c:pt>
                <c:pt idx="4">
                  <c:v>18.120000000000005</c:v>
                </c:pt>
                <c:pt idx="5">
                  <c:v>20.410000000000004</c:v>
                </c:pt>
                <c:pt idx="6">
                  <c:v>21.439999999999998</c:v>
                </c:pt>
                <c:pt idx="7">
                  <c:v>16.060000000000002</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