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TMX Group Limited</w:t>
      </w:r>
    </w:p>
    <w:p>
      <w:pPr>
        <w:spacing w:after="60"/>
        <w:rPr>
          <w:color w:val="52514E"/>
          <w:sz w:val="22"/>
          <w:szCs w:val="22"/>
        </w:rPr>
      </w:pPr>
      <w:r>
        <w:rPr>
          <w:color w:val="52514E"/>
          <w:sz w:val="22"/>
          <w:szCs w:val="22"/>
        </w:rPr>
        <w:t xml:space="preserve">X · Toronto Stock Exchange (TSX) · ISIN CA87262K1057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CAD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54,31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59,52 CAD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+11,3 %)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64,26 CAD · mercado 78,87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15.011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TMX Group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 / CA87262K1057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Stock Exchange (TSX)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(Ontario) · 2008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https://www.tmx.com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54,31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44,10 – 57,27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15.011 M CAD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18.765 M CAD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34,5 M CAD/día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59,52 CAD</w:t>
      </w:r>
      <w:r>
        <w:t xml:space="preserve"> frente a 54,31 · Rentabilidad a 12 meses </w:t>
      </w:r>
      <w:r>
        <w:rPr>
          <w:b/>
          <w:bCs/>
        </w:rPr>
        <w:t xml:space="preserve">+11,3 % (base +11,3 %)</w:t>
      </w:r>
      <w:r>
        <w:t xml:space="preserve"> · Valor intrínseco 64,26 CAD · con la prima implícita del mercado: 78,87 (+45,2 %) · Alcista / bajista +40,3 % / -11,8 %</w:t>
      </w:r>
    </w:p>
    <w:p>
      <w:pPr>
        <w:spacing w:after="100"/>
      </w:pPr>
      <w:r>
        <w:rPr>
          <w:b/>
        </w:rPr>
        <w:t xml:space="preserve">La recomendación y por qué.</w:t>
      </w:r>
      <w:r>
        <w:t xml:space="preserve"> Mantener, con convicción media. El objetivo a 12 meses es de 59,52 CAD, un 11,3 % por encima del precio de 54,31 CAD con el dividendo (ponderada); en el caso base, también +11,3 %. No llega al 15 % que pide la regla para comprar. El valor intrínseco es de 64,26 CAD (+18,3 %) y el objetivo medio de los analistas, de 65,55. La razón: TMX es un buen negocio a un precio razonable, a 19,5 veces nuestro beneficio ajustado de 2027 frente a una mediana histórica de 18,85, y casi toda la rentabilidad a 12 meses sale del crecimiento del beneficio, no del múltiplo. La convicción es media porque las reglas coinciden (Mantener a 12 meses; el valor intrínseco y la prima del mercado darían Comprar) y el negocio es previsible, pero la compra de MEMX añade riesgo; subiría con un precio por debajo de 52,56 CAD o con un 3T26 (29-oct) que confirme el orgánico de doble dígito, y bajaría si la deuda pasa de 2,5 veces el EBITDA ajustado.</w:t>
      </w:r>
    </w:p>
    <w:p>
      <w:pPr>
        <w:spacing w:after="100"/>
      </w:pPr>
      <w:r>
        <w:rPr>
          <w:b/>
        </w:rPr>
        <w:t xml:space="preserve">El negocio.</w:t>
      </w:r>
      <w:r>
        <w:t xml:space="preserve"> TMX tiene el monopolio de la infraestructura del mercado canadiense (TSX, TSXV, Montreal Exchange, las cámaras CDCC y CDS) y un negocio global de datos e índices (VettaFi, RAFI, Trayport) que ya es el 41 % de los ingresos [1]. El margen EBITDA publicado es del 55,4 % y el ROIC del 9,1 % frente a un WACC del 7,52 % (+1,6 puntos), lastrado por el fondo de comercio de las compras. Veredicto de calidad: </w:t>
      </w:r>
      <w:r>
        <w:rPr>
          <w:b/>
        </w:rPr>
        <w:t xml:space="preserve">No</w:t>
      </w:r>
      <w:r>
        <w:t xml:space="preserve"> llega al umbral de cartera (ROIC − WACC ≥ 5), aunque el foso es amplio. La sostenibilidad del crecimiento es </w:t>
      </w:r>
      <w:r>
        <w:rPr>
          <w:b/>
        </w:rPr>
        <w:t xml:space="preserve">Sí</w:t>
      </w:r>
      <w:r>
        <w:t xml:space="preserve">: el orgánico proyectado está por debajo del reciente y del mercado.</w:t>
      </w:r>
    </w:p>
    <w:p>
      <w:pPr>
        <w:spacing w:after="100"/>
      </w:pPr>
      <w:r>
        <w:rPr>
          <w:b/>
        </w:rPr>
        <w:t xml:space="preserve">Finanzas.</w:t>
      </w:r>
      <w:r>
        <w:t xml:space="preserve"> Los ingresos crecen un 15 % anual en 2021-2025 y un 16 % en el 2T26 (12 % orgánico) [7]. La deuda neta ajustada es de 2.875 M (2,7 veces el EBITDA) contando las compras de RAFI y Cboe. El BPA ajustado (2,13 CAD en 2025) supera al publicado (1,49) en un 43 % por la amortización de compras.</w:t>
      </w:r>
    </w:p>
    <w:p>
      <w:pPr>
        <w:spacing w:after="100"/>
      </w:pPr>
      <w:r>
        <w:rPr>
          <w:b/>
        </w:rPr>
        <w:t xml:space="preserve">Comparación con sus pares.</w:t>
      </w:r>
      <w:r>
        <w:t xml:space="preserve"> A 22,5 veces el beneficio de los próximos doce meses, TMX cotiza en línea con la mediana de ICE, CME, Nasdaq, Deutsche Börse, LSEG, Tradeweb, MSCI y Euronext (23,4 veces), con más crecimiento y menos ROIC [20]. Es más cara que Euronext (20,8 veces), que sale también en Mantener.</w:t>
      </w:r>
    </w:p>
    <w:p>
      <w:pPr>
        <w:spacing w:after="100"/>
      </w:pPr>
      <w:r>
        <w:rPr>
          <w:b/>
        </w:rPr>
        <w:t xml:space="preserve">Equipo y gobierno.</w:t>
      </w:r>
      <w:r>
        <w:t xml:space="preserve"> Consejero delegado desde 2020 que ha doblado los ingresos y cumplido su guía; consejo de 12 con 11 independientes y voto de remuneración del 95,5 % [14]. La ley limita al 10 % la participación de un accionista: no hay OPA posible.</w:t>
      </w:r>
    </w:p>
    <w:p>
      <w:pPr>
        <w:spacing w:after="100"/>
      </w:pPr>
      <w:r>
        <w:rPr>
          <w:b/>
        </w:rPr>
        <w:t xml:space="preserve">Valoración.</w:t>
      </w:r>
      <w:r>
        <w:t xml:space="preserve"> El DCF da 68,30 CAD; el precio descuenta un crecimiento del 4,0 % anual frente al 7,8 % de nuestro base. Con la prima del mercado (4,2 %), 87,14. Nuestro BPA de 2027 queda un 13,5 % por encima del consenso solo porque es ajustado.</w:t>
      </w:r>
    </w:p>
    <w:p>
      <w:pPr>
        <w:spacing w:after="100"/>
      </w:pPr>
      <w:r>
        <w:rPr>
          <w:b/>
        </w:rPr>
        <w:t xml:space="preserve">Riesgos y catalizadores.</w:t>
      </w:r>
      <w:r>
        <w:t xml:space="preserve"> El mayor riesgo es pagar demasiado por las compras, sobre todo MEMX (≈ 800 M USD, cierre en el 2S27). Después, volúmenes y múltiplo: en el bajista a 12 meses la acción cae a 42,53 CAD. El riesgo de IA es medio y mixto: toca datos e índices (41 %), no la infraestructura regulada. Catalizadores: 3T26 el 29-oct-2026, cierre de Cboe Canadá y resultados anuales en febrero.</w:t>
      </w:r>
    </w:p>
    <w:p>
      <w:pPr>
        <w:spacing w:after="100"/>
      </w:pPr>
      <w:r>
        <w:rPr>
          <w:b/>
        </w:rPr>
        <w:t xml:space="preserve">Qué cambiaría la decisión.</w:t>
      </w:r>
      <w:r>
        <w:t xml:space="preserve"> Compraríamos por debajo de 52,56 CAD y venderíamos por encima de 67,16. Pasaríamos a Vender si la deuda supera 2,5 veces el EBITDA ajustado tras MEMX o si el orgánico trimestral baja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59,52 CAD</w:t>
      </w:r>
      <w:r>
        <w:t xml:space="preserve"> (rentabilidad +11,3 % (base +11,3 %)) · Valor intrínseco: 64,26 CAD (+18,3 % sobre 54,31) · con la prima implícita del mercado: 78,87 (+45,2 %)</w:t>
      </w:r>
    </w:p>
    <w:p>
      <w:pPr>
        <w:spacing w:after="100"/>
      </w:pPr>
      <w:r>
        <w:t xml:space="preserve">TMX es el dueño de la infraestructura del mercado de capitales canadiense —cotización, negociación, derivados, compensación y depósito— y la ha usado para construir un negocio global de datos, índices y energía que ya aporta el 41 % de los ingresos [1]. Gana dinero con un margen EBITDA ajustado cercano al 60 % y más de la mitad de ingresos recurrentes.</w:t>
      </w:r>
    </w:p>
    <w:p>
      <w:pPr>
        <w:spacing w:after="100"/>
      </w:pPr>
      <w:r>
        <w:t xml:space="preserve">El precio de 54,31 CAD descuenta un crecimiento del 4,0 % anual en 2027-2032, muy por debajo del orgánico reciente (12-15 %); a 22,5 veces el beneficio de los próximos doce meses cotiza en línea con sus comparables y a 19,5 veces nuestro BPA ajustado de 2027, cerca de su mediana histórica.</w:t>
      </w:r>
    </w:p>
    <w:p>
      <w:pPr>
        <w:spacing w:after="100"/>
      </w:pPr>
      <w:r>
        <w:t xml:space="preserve">Para invertir hay que creer que las compras de 2026-2027 (RAFI, Cboe, MEMX) rendirán por encima de su coste y que los índices y los datos seguirán creciendo a doble dígito. El valor a largo plazo existe (64,26 CAD), pero a 12 meses la rentabilidad esperada (11,3 %) no llega al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2,78 = 42,53 · 19,2x × 3,10 = 59,52 · 23,4x × 3,27 = 76,52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11,3 %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65,55 (nuestro base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64,26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 /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7,5 %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78,87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52,56 y 67,16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67,16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52,56 CAD: pasaríamos a Comprar.</w:t>
      </w:r>
    </w:p>
    <w:p>
      <w:pPr>
        <w:pStyle w:val="ListParagraph"/>
        <w:numPr>
          <w:ilvl w:val="0"/>
          <w:numId w:val="2"/>
        </w:numPr>
        <w:spacing w:after="60"/>
      </w:pPr>
      <w:r>
        <w:t xml:space="preserve">Precio por encima de 67,16 CAD: pasaríamos a Vender o reducir.</w:t>
      </w:r>
    </w:p>
    <w:p>
      <w:pPr>
        <w:pStyle w:val="ListParagraph"/>
        <w:numPr>
          <w:ilvl w:val="0"/>
          <w:numId w:val="2"/>
        </w:numPr>
        <w:spacing w:after="60"/>
      </w:pPr>
      <w:r>
        <w:t xml:space="preserve">Si la deuda supera 2,5 veces el EBITDA ajustado tras MEMX, bajaríamos el caso base.</w:t>
      </w:r>
    </w:p>
    <w:p>
      <w:pPr>
        <w:pStyle w:val="ListParagraph"/>
        <w:numPr>
          <w:ilvl w:val="0"/>
          <w:numId w:val="2"/>
        </w:numPr>
        <w:spacing w:after="60"/>
      </w:pPr>
      <w:r>
        <w:t xml:space="preserve">Si el orgánico trimestral baja del 5 %, revisaríamos el crecimiento de 2027-2028.</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moderado (4 % anual implícito) y un múltiplo en línea con los comparables; los analistas, más optimistas, ven 65,55 CAD de objetivo medio.</w:t>
      </w:r>
    </w:p>
    <w:p>
      <w:pPr>
        <w:keepNext/>
        <w:spacing w:after="100"/>
      </w:pPr>
      <w:r>
        <w:rPr>
          <w:b/>
          <w:bCs/>
        </w:rPr>
        <w:t xml:space="preserve">Lo que creemos nosotros.</w:t>
      </w:r>
    </w:p>
    <w:p>
      <w:pPr>
        <w:spacing w:after="100"/>
      </w:pPr>
      <w:r>
        <w:t xml:space="preserve">Vemos un valor intrínseco algo superior (64,26 CAD) y un objetivo a 12 meses de 59,52, un 9,2 % por debajo del de los analistas, porque no damos al múltiplo prima sobre su historia.</w:t>
      </w:r>
    </w:p>
    <w:p>
      <w:pPr>
        <w:keepNext/>
        <w:spacing w:after="100"/>
      </w:pPr>
      <w:r>
        <w:rPr>
          <w:b/>
          <w:bCs/>
        </w:rPr>
        <w:t xml:space="preserve">Por qué podemos tener razón.</w:t>
      </w:r>
    </w:p>
    <w:p>
      <w:pPr>
        <w:spacing w:after="100"/>
      </w:pPr>
      <w:r>
        <w:t xml:space="preserve">El PER adelantado de TMX ha estado entre 17,9 y 21,3 veces en siete años; los analistas aplican múltiplos cercanos a los de ICE o Nasdaq, que tienen más escala. No tenemos una visión distinta del negocio; sí del múltiplo y del riesgo de las compras.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AD) · precio actual 54,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regulado en Canadá</w:t>
      </w:r>
      <w:r>
        <w:t xml:space="preserve">: única bolsa principal, única cámara de derivados y único depositario.</w:t>
      </w:r>
    </w:p>
    <w:p>
      <w:pPr>
        <w:pStyle w:val="ListParagraph"/>
        <w:numPr>
          <w:ilvl w:val="0"/>
          <w:numId w:val="2"/>
        </w:numPr>
        <w:spacing w:after="60"/>
      </w:pPr>
      <w:r>
        <w:rPr>
          <w:b/>
        </w:rPr>
        <w:t xml:space="preserve">Crecimiento orgánico</w:t>
      </w:r>
      <w:r>
        <w:t xml:space="preserve">: 15 % en 2025 y 12 % en el 2T26.</w:t>
      </w:r>
    </w:p>
    <w:p>
      <w:pPr>
        <w:pStyle w:val="ListParagraph"/>
        <w:numPr>
          <w:ilvl w:val="0"/>
          <w:numId w:val="2"/>
        </w:numPr>
        <w:spacing w:after="60"/>
      </w:pPr>
      <w:r>
        <w:rPr>
          <w:b/>
        </w:rPr>
        <w:t xml:space="preserve">Datos e índices globales</w:t>
      </w:r>
      <w:r>
        <w:t xml:space="preserve">: VettaFi, RAFI y Trayport, el 41 % de los ingresos, crecen a doble dígito.</w:t>
      </w:r>
    </w:p>
    <w:p>
      <w:pPr>
        <w:pStyle w:val="ListParagraph"/>
        <w:numPr>
          <w:ilvl w:val="0"/>
          <w:numId w:val="2"/>
        </w:numPr>
        <w:spacing w:after="60"/>
      </w:pPr>
      <w:r>
        <w:rPr>
          <w:b/>
        </w:rPr>
        <w:t xml:space="preserve">Precio razonable</w:t>
      </w:r>
      <w:r>
        <w:t xml:space="preserve">: el precio descuenta un 4 % de crecimiento anual frente al 7,8 % de nuestro base.</w:t>
      </w:r>
    </w:p>
    <w:p>
      <w:pPr>
        <w:pStyle w:val="ListParagraph"/>
        <w:numPr>
          <w:ilvl w:val="0"/>
          <w:numId w:val="2"/>
        </w:numPr>
        <w:spacing w:after="60"/>
      </w:pPr>
      <w:r>
        <w:rPr>
          <w:b/>
        </w:rPr>
        <w:t xml:space="preserve">Gobierno sólido</w:t>
      </w:r>
      <w:r>
        <w:t xml:space="preserve">: consejo independiente, rating AA bajo y dividendo creciente.</w:t>
      </w:r>
    </w:p>
    <w:p>
      <w:pPr>
        <w:pStyle w:val="Heading2"/>
      </w:pPr>
      <w:r>
        <w:t xml:space="preserve">En contra</w:t>
      </w:r>
    </w:p>
    <w:p>
      <w:pPr>
        <w:pStyle w:val="ListParagraph"/>
        <w:numPr>
          <w:ilvl w:val="0"/>
          <w:numId w:val="2"/>
        </w:numPr>
        <w:spacing w:after="60"/>
      </w:pPr>
      <w:r>
        <w:rPr>
          <w:b/>
        </w:rPr>
        <w:t xml:space="preserve">ROIC apenas sobre el WACC</w:t>
      </w:r>
      <w:r>
        <w:t xml:space="preserve">: 9,1 % frente a 7,52 % por el fondo de comercio de las compras.</w:t>
      </w:r>
    </w:p>
    <w:p>
      <w:pPr>
        <w:pStyle w:val="ListParagraph"/>
        <w:numPr>
          <w:ilvl w:val="0"/>
          <w:numId w:val="2"/>
        </w:numPr>
        <w:spacing w:after="60"/>
      </w:pPr>
      <w:r>
        <w:rPr>
          <w:b/>
        </w:rPr>
        <w:t xml:space="preserve">Comprador en serie</w:t>
      </w:r>
      <w:r>
        <w:t xml:space="preserve">: MEMX (≈ 800 M USD) llevará la deuda al techo del objetivo.</w:t>
      </w:r>
    </w:p>
    <w:p>
      <w:pPr>
        <w:pStyle w:val="ListParagraph"/>
        <w:numPr>
          <w:ilvl w:val="0"/>
          <w:numId w:val="2"/>
        </w:numPr>
        <w:spacing w:after="60"/>
      </w:pPr>
      <w:r>
        <w:rPr>
          <w:b/>
        </w:rPr>
        <w:t xml:space="preserve">Rentabilidad a 12 meses del 11,3 %</w:t>
      </w:r>
      <w:r>
        <w:t xml:space="preserve">: por debajo del umbral de compra (15 %).</w:t>
      </w:r>
    </w:p>
    <w:p>
      <w:pPr>
        <w:pStyle w:val="ListParagraph"/>
        <w:numPr>
          <w:ilvl w:val="0"/>
          <w:numId w:val="2"/>
        </w:numPr>
        <w:spacing w:after="60"/>
      </w:pPr>
      <w:r>
        <w:rPr>
          <w:b/>
        </w:rPr>
        <w:t xml:space="preserve">Cifras ajustadas</w:t>
      </w:r>
      <w:r>
        <w:t xml:space="preserve">: el BPA ajustado supera al publicado en un 43 %.</w:t>
      </w:r>
    </w:p>
    <w:p>
      <w:pPr>
        <w:pStyle w:val="ListParagraph"/>
        <w:numPr>
          <w:ilvl w:val="0"/>
          <w:numId w:val="2"/>
        </w:numPr>
        <w:spacing w:after="60"/>
      </w:pPr>
      <w:r>
        <w:rPr>
          <w:b/>
        </w:rPr>
        <w:t xml:space="preserve">Exposición a la IA en datos e índices</w:t>
      </w:r>
      <w:r>
        <w:t xml:space="preserve">: la acción cayó un 8,6 % el 3-feb-2026 con el sector.</w:t>
      </w:r>
    </w:p>
    <w:p>
      <w:pPr>
        <w:pStyle w:val="Heading2"/>
      </w:pPr>
      <w:r>
        <w:t xml:space="preserve">Qué tiene que pasar para que la tesis funcione</w:t>
      </w:r>
    </w:p>
    <w:p>
      <w:pPr>
        <w:spacing w:after="100"/>
      </w:pPr>
      <w:r>
        <w:t xml:space="preserve">La tesis depende de que las compras de 2026 se integren sin sustos y de que el orgánico se mantenga por encima del 6-8 % cuando la volatilidad se normalice. La señal de que no se cumple sería una deuda por encima de 2,5 veces el EBITDA ajustado o un crecimiento de Global Insights por debajo del 8 %.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8 %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veces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Techo del objetivo y del rating</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replicados de VettaFi y RAFI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263.000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los ingresos de índices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recurrente anualizado de Trayport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276 M CAD (4T25)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más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volumen canadiense de renta variable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(4T25)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Foso en la negociación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22,5x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TMX Group nace en 2008 de la unión de TSX Group (Bolsa de Toronto y TSX Venture) con la Bourse de Montréal, el mercado de derivados de Canadá. En 2012 la compró el consorcio de bancos y fondos canadienses Maple, que añadió el depositario CDS y Alpha; los acuerdos de nombramiento de Maple vencieron en 2018 [1, 2]. Desde 2017 se transforma en una empresa de datos y tecnología: Trayport (negociación de energía europea), AST Canada (2021), el control de BOX en EE. UU. (2022), Wall Street Horizon, VettaFi (2024), Newsfile, Verity (2025) y, en 2026, RAFI Indices, Cboe Australia y Canadá y la combinación de BOX con MEMX [1, 5, 9]. Hoy más del 50 % de los ingresos llega de fuera de Canadá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TSX Group y Bourse de Montréal: nace TMX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Maple: consorcio de bancos y pensiones canadienses compra TMX y añade CDS y Alpha.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Trayport, la red de negociación de energía de Europa, a ICE.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 Canada (agente de transferencia) y Tradesignal.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BOX Options Market (EE. UU.) y compra de Wall Street Horizon.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la acción 5×1 (junio).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VettaFi al 100 % (1.126,5 M) y objetivo TM2X: duplicar los ingresos a 2.000 M en 5-7 años.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la posnegociación modernizada de CDS y AlphaX US; compra Verity, Bond Indices, ETF Stream e índices nucleares.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RAFI Indices (683,2 M) y Cboe Australia y Canadá (409,9 M); acuerdo para combinar BOX con MEMX (59 % de TMX).</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TMX opera la infraestructura de los mercados de capitales de Canadá y una cartera creciente de datos fuera de él. En Canadá: la Bolsa de Toronto (TSX) y TSX Venture, Alpha, el mercado de derivados de Montreal (MX), las cámaras CDCC (derivados y repos) y CDS (compensación, liquidación y depósito de acciones y renta fija), TSX Trust (agente de transferencia y fiduciario) y Shorcan [1]. Fuera: BOX Options Market (opciones de EE. UU.), AlphaX US, TMX Trayport (red de negociación de energía europea con 10.419 licencias), TMX VettaFi (índices y distribución digital para ETF), TMX Datalinx (datos de mercado, Verity y Wall Street Horizon) y, desde 2026, RAFI Indices y TMX Australia Exchange [1, 9]. Clientes: emisores cotizados (casi el 50 % de las mineras cotizadas del mundo), bancos e intermediarios, gestoras de ETF y operadores de energía [10].</w:t>
      </w:r>
    </w:p>
    <w:p>
      <w:pPr>
        <w:pStyle w:val="Heading2"/>
      </w:pPr>
      <w:r>
        <w:t xml:space="preserve">Cómo gana dinero</w:t>
      </w:r>
    </w:p>
    <w:p>
      <w:pPr>
        <w:spacing w:after="100"/>
      </w:pPr>
      <w:r>
        <w:t xml:space="preserve">Cuatro motores de ingreso. Recurrente: datos, índices, licencias de Trayport, cuotas de mantenimiento de cotización y custodia (la mayor parte de Global Insights, el 41 % del total en 2025). Transaccional: comisiones por contrato en MX y BOX y por acción negociada en TSX, más las ampliaciones de capital, que dependen de la volatilidad y del ciclo de las mineras [2]. Intereses de saldos de clientes en TSX Trust y CDS, ligados a los tipos [10]. Los precios suben cada año: +3-4 % en Trayport (IPC británico), cuotas de mantenimiento de cotización +8-9 % en 2026 por el aumento del 28 % de la capitalización de los emisores, +1-2 % en Datalinx [2]. El apalancamiento operativo es alto: los gastos son personal y sistemas, y en el 1S26 los ingresos crecieron un 16 % con gastos +9 %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Insights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negociación y compensación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de capital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variable y fija: negociación y compensación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-171.400,0 %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Insights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negociación y compensación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de capital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variable y fija: negociación y compensación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En Trayport el precio se revisa cada diciembre con el IPC del país del contrato y las licencias crecen un 6 % anual; la dirección habla de crecimiento a largo plazo «alto un dígito a doble dígito» [10]. El poder de precios es visible en las cuotas de cotización (ligadas a la capitalización de los emisores) y en los datos regulados, aunque la autoridad canadiense revisa las tarifas: CDS propone bajar 4-5 M de comisiones y devolvió 23,9 M en 2025 a sus participantes [9]. La competencia en negociación de acciones existe (cuota combinada de TSX y TSXV del 61 % en el 4T25, −2 puntos), pero cotización, compensación y depósito son casi monopolios en Canadá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Trayport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usuarios de la red de energía europea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Conexiones de Trayport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Conexiones entre operadores, brókeres y bolsas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recurrente anualizado de Trayport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236 M CAD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276 M CAD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(+14 % en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ligado al IPC británico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replicados de VettaFi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52.000 M USD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 M USD (dic-25); ≈ 263.000 M con RAFI</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las comisiones de índices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contratos de MX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+33 % a dic-25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Volumen de renta variable canadiense (TSX, TSXV, Alpha)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TSX +27 %, TSXV +60 %, Alpha −4 %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Infraestructura de mercados y datos financieros: bolsas y cámaras de acciones y derivados, posnegociación, datos e índices [11]. Para TMX el mercado relevante es doble: la infraestructura canadiense (cotización, negociación y compensación, donde es casi único proveedor) y el gasto mundial en datos y análisis de mercados financieros, donde compiten Trayport, VettaFi y Datalinx. Usamos el segundo para tamaño y crecimiento porque es el único con cifra de fuente independiente; no hay cifra de ingresos del sector de bolsas, solo volúmenes de la FIA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en 2025 de gasto mundial en datos y análisis de mercados financieros, +6,5 % (Burton-Taylor)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undial en datos y análisis de mercados financier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volumen negociado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renta variable canadiense +32 % y de MX +15 % en el 1S26; VIX medio de 19,4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mineras y ETF en Canadá</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239 ETF nuevos en TSX en 2025 (récord) y 125.800 M CAD de entradas netas; financiación minera +53 %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indexación y los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replicados de VettaFi +49 % en 2025; índices ≈ 7.200 M USD de mercado, +13,4 % [10,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Corporate Solutions −5 % en el 4T25 por menores tipos y saldos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los datos y regulación de tarifas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aprobadas en Datalinx para 2026 (+1-2 %); CDS propone rebajas de 4-5 M [2,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acciones con varios mercados en Canadá (cuota de TSX y TSXV del 61 %), pero cotización, compensación y depósito sin rival doméstico; TMX compra el tercer mercado (Cboe Canada) [10,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canadienses concentrados y regulador que revisa tarifas; CDS devuelve 17-24 M al año a sus participantes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sistemas; ningún proveedor crítico más allá de la nube.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bolsa y cámara reconocidas por la OSC y la AMF; efecto red en liquidez. Entrada posible en negociación (Cboe, Nasdaq CXC) y en criptoactivos y tokenización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privados, doble cotización en EE. UU., negociación 24 horas y datos generados con IA [1, 10].</w:t>
            </w:r>
          </w:p>
        </w:tc>
      </w:tr>
    </w:tbl>
    <w:p>
      <w:pPr>
        <w:spacing w:after="160" w:before="0"/>
      </w:pPr>
    </w:p>
    <w:p>
      <w:pPr>
        <w:pStyle w:val="Heading2"/>
      </w:pPr>
      <w:r>
        <w:t xml:space="preserve">Ciclo</w:t>
      </w:r>
    </w:p>
    <w:p>
      <w:pPr>
        <w:spacing w:after="100"/>
      </w:pPr>
      <w:r>
        <w:t xml:space="preserve">Volúmenes y ampliaciones en máximos: financiación en TSX +29 % y en TSXV +108 % en el 1S26, índice S&amp;P/TSX por encima de 30.000 desde sep-2025 [9, 10]. El negocio de TMX es defensivo con bolsillos cíclicos: en 2022 los ingresos crecieron un 14 % (BOX incluido) aunque cayeron las ampliaciones; en 2020 subieron un 7 % [5]. Lo cíclico (ampliaciones adicionales, volúmenes) pesa alrededor de un tercio de los ingresos; lo recurrente, el resto.</w:t>
      </w:r>
    </w:p>
    <w:p>
      <w:pPr>
        <w:pStyle w:val="Heading2"/>
      </w:pPr>
      <w:r>
        <w:t xml:space="preserve">Regulación</w:t>
      </w:r>
    </w:p>
    <w:p>
      <w:pPr>
        <w:spacing w:after="100"/>
      </w:pPr>
      <w:r>
        <w:t xml:space="preserve">TMX opera bajo órdenes de reconocimiento de la Comisión de Valores de Ontario y de la Autorité des marchés financiers de Quebec: ninguna persona puede tener más del 10 % de sus acciones sin aprobación, las tarifas de compensación y de datos regulados necesitan autorización y el consejo debe tener residentes de Quebec y expertos en derivados [1]. En tramitación: rebajas de comisiones de CDS (4-5 M al año, pendiente desde 2025), aprobaciones de Cboe Canada en Canadá y de MEMX en EE. UU. (SEC, 2S27), y la entrada del Banco de Canadá en la plataforma de colateral CCMS y en la cámara de repos de CDCC a principios de 2027 [9].</w:t>
      </w:r>
    </w:p>
    <w:p>
      <w:pPr>
        <w:pStyle w:val="Heading2"/>
      </w:pPr>
      <w:r>
        <w:t xml:space="preserve">Tendencias y disrupción</w:t>
      </w:r>
    </w:p>
    <w:p>
      <w:pPr>
        <w:spacing w:after="100"/>
      </w:pPr>
      <w:r>
        <w:t xml:space="preserve">Tres tendencias que la dirección nombra: IA, tokenización y negociación 24 horas, más el auge de los mercados privados [10]. TMX gana con la indexación (VettaFi, RAFI) y con la demanda de datos para IA, y podría perder si la negociación 24 horas o la tokenización desplazan liquidez fuera de TSX, o si los emisores pequeños prefieren capital privado. La compra de Cboe Canada elimina al tercer mercado doméstico y reduce la competencia en negociación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Canadá en cotización, negociación (61 % del volumen de valores de TSX y TSXV en el 4T25), derivados (MX, único), compensación y depósito (CDS y CDCC, únicos); en datos e índices mundiales es un actor de nicho frente a Bloomberg, LSEG o MSCI [10,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Bolsas, cámaras y datos hipotecarios; vendió Trayport a TMX en 2017.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Futuros y opciones de tipos, índices, energía y agrícolas.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Eurex, Clearstream, datos e índices (STOXX), compite con Trayport en energía vía EEX.</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(Workspace), FTSE Russell, LCH; margen EBIT bajo por la amortización de Refinitiv.</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Bolsa europea de tamaño parecido; integra compensación y depositarios.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Cboe Global Markets (Canadá, en venta a TMX)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mercado de acciones de Canadá; su venta a TMX está pendiente de aprobación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concentrada en TSX y MX; Trayport conecta 29.413 terminales de energía europea [6,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Emisores cotizados y participantes de CDS integrados en su infraestructura; licencias de Trayport con renovación anual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Reconocimiento regulatorio como bolsa y cámara; límite legal del 10 % a la propiedad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compartidas (posnegociación modernizada en 2025) y margen EBIT de 45 %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canadiense solo sostiene un operador integrado; TMX compra al tercero (Cboe Canada) [5].</w:t>
            </w:r>
          </w:p>
        </w:tc>
      </w:tr>
    </w:tbl>
    <w:p>
      <w:pPr>
        <w:spacing w:after="160" w:before="0"/>
      </w:pPr>
    </w:p>
    <w:p>
      <w:pPr>
        <w:pStyle w:val="Heading2"/>
      </w:pPr>
      <w:r>
        <w:t xml:space="preserve">Amenazas</w:t>
      </w:r>
    </w:p>
    <w:p>
      <w:pPr>
        <w:spacing w:after="100"/>
      </w:pPr>
      <w:r>
        <w:t xml:space="preserve">Tres amenazas con probabilidad media: (1) que la autoridad canadiense recorte tarifas de compensación o de datos (la de CDS ya está en revisión); (2) que la negociación y la financiación se vayan a EE. UU. o a mercados privados, sobre todo si las mineras crecen con capital privado; (3) que los datos de mercado se abaraten con IA o con distribuidores nuevos (más expuestos Datalinx y Verity). La parte con más foso, cotización, compensación y depósito canadienses, es la menos amenazada [2, 10].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15,0 %</w:t>
      </w:r>
      <w:r>
        <w:t xml:space="preserve">, EBITDA </w:t>
      </w:r>
      <w:r>
        <w:rPr>
          <w:b/>
          <w:bCs/>
        </w:rPr>
        <w:t xml:space="preserve">14,2 %</w:t>
      </w:r>
      <w:r>
        <w:t xml:space="preserve">, BPA </w:t>
      </w:r>
      <w:r>
        <w:rPr>
          <w:b/>
          <w:bCs/>
        </w:rPr>
        <w:t xml:space="preserve">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A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980,7 M en 2021 a 1.717,2 M en 2025, un 15,0 % anual compuesto, con dos partes de compras: BOX añadió 118,5 M en 2022 y VettaFi la mayor parte de los 185,5 M que ganó Global Insights en 2024 [4, 5]. El orgánico fue del 15 % en 2025 (sin Bond Indices, ETF Stream, Verity y los índices nucleares) y del 12 % en el 2T26 [7, 10]. El margen EBITDA publicado bajó de 59,0 % en 2021 a 54,6 % en 2023 por la mezcla (BOX y VettaFi tienen márgenes menores que la bolsa canadiense) y la inflación de personal, y ha vuelto a 55,4 % en 2025 y 57,7 % en el 1S26 por apalancamiento operativo: los ingresos del 1S26 suben un 16 % y los gastos un 9 % [1, 8]. El beneficio neto publicado es ruidoso: 2022 lleva 177,9 M de plusvalía de BOX, 2024 57,1 M de VettaFi, 2025 38,5 M de pérdidas de cambio en préstamos internos en dólares y 26,5 M de ajustes de pagos contingentes, y el 1S26 83,8 M de un acuerdo judicial cobrado [2, 5, 8].</w:t>
      </w:r>
    </w:p>
    <w:p>
      <w:pPr>
        <w:pStyle w:val="Heading2"/>
      </w:pPr>
      <w:r>
        <w:t xml:space="preserve">Ajustes y partidas no recurrentes</w:t>
      </w:r>
    </w:p>
    <w:p>
      <w:pPr>
        <w:spacing w:after="100"/>
      </w:pPr>
      <w:r>
        <w:t xml:space="preserve">Las cifras de la cuenta son las publicadas. TMX publica además un BPA ajustado que suma la amortización de intangibles de compras (114,4 M antes de impuestos en 2025), los costes de compras e integración (10,1 M), litigios (14,1 M), la reorganización de 2025 (12,0 M), el cargo del registro de auditoría consolidado de BOX (7,3 M), los ajustes de pagos contingentes (26,5 M) y las diferencias de cambio de la financiación interna (38,5 M): 2,13 CAD en 2025 frente a 1,49 publicados [2]. Como partidas no recurrentes dentro del EBITDA solo se devuelven litigios, reorganización y el cargo de BOX (33,4 M en 2025; 26,6 M en los 12 meses a junio de 2026): los costes de compras se repiten cada año en un comprador en serie y se quedan dentro. El acuerdo judicial de 83,8 M del 1T26 está en «otros ingresos», fuera del EBITDA [8]. El BPA ajustado solo se usa para la historia del PER y el objetivo a 12 meses.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4T25 (6-feb-2026) la dirección vendió «el mejor año de la historia»: ingresos +18 %, orgánico +15 %, BPA ajustado +25 %, deuda sobre EBITDA ajustado de 2,2 veces (1,9 neta del exceso de caja) y dividendo +9 % [10]. Los analistas preguntaron sobre todo por Trayport (ingresos planos varios trimestres, aunque el ingreso recurrente anualizado sube un 17 % a 276 M CAD) y por las palancas de Montreal Exchange cuando se acaben los programas de creadores de mercado; la respuesta fue la de siempre: crecimiento «alto un dígito a doble dígito» a largo plazo, nuevos activos (petróleo refinado) y nuevas geografías, sin cifras de corto plazo [10]. El discurso cambió entre el 4T25 y el 2T26: de ejecutar a comprar. En seis meses TMX anunció Cboe Australia y Canadá (409,9 M), RAFI Indices (683,2 M) y la combinación de BOX con MEMX (unos 1.127 M de efectivo por el 59 %), y recompró 151,2 M de acciones [8, 9]. El 2T26 batió: ingresos +16 %, orgánico +12 %, BPA ajustado 0,62 CAD (+19 %) con todos los segmentos a doble dígito [7]. Lo que la dirección no detalla es la rentabilidad esperada de MEMX ni su efecto en la deuda: solo que el cierre será en el 2S27 y que el apalancamiento quedará en el rango de 1,5-2,5 veces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AST Canada (transferencia de valores), comprada el 12-ago-2021 por 138,4 M netos de caja: entra en balance y en cinco meses de la cuenta.; 2022: BOX Options Market, consolidada desde el 3-ene-2022 al tomar el control de voto (47,9 % económico; 52,1 % minoritarios): plusvalía no monetaria de 177,9 M en «otros ingresos».; 2024: VettaFi (índices y distribución digital), 100 % desde el 2-ene-2024 por 1.126,5 M netos de caja (antes participada al 22 %): revalorización de 57,1 M en «otros ingresos»; Newsfile desde el 7-ago-2024.).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999 M en 2021 a 2.069 M en 2024 por VettaFi (1.126,5 M) y desde entonces se mantiene: 1.963,9 M a junio de 2026 tras devolver la serie J (300 M) con un préstamo a plazo [8]. El circulante comercial es casi nulo (clientes 313 M frente a proveedores 301 M en 2025) y los ingresos diferidos se cobran por adelantado en el 1T de cada año [1]. Lo que viene cambia el perfil: RAFI y Cboe suman 1.093 M en efectivo y MEMX otros 1.127 M; con todo, la deuda bruta rondaría los 4.200 M frente a un EBITDA ajustado de unos 1.100 M (estimación propia: 3,8 veces antes de sumar el EBITDA de MEMX), por encima del rango de 1,5-2,5 veces que la dirección dice mantener [8,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2.090</w:t>
      </w:r>
      <w:r>
        <w:t xml:space="preserve">, conversión </w:t>
      </w:r>
      <w:r>
        <w:rPr>
          <w:b/>
          <w:bCs/>
        </w:rPr>
        <w:t xml:space="preserve">98 %</w:t>
      </w:r>
      <w:r>
        <w:t xml:space="preserve"> del beneficio neto; adquisiciones 1.604, dividendos 993, recompras 239.</w:t>
      </w:r>
    </w:p>
    <w:p>
      <w:pPr>
        <w:spacing w:after="100"/>
      </w:pPr>
      <w:r>
        <w:t xml:space="preserve">El flujo operativo (antes de intereses, que TMX clasifica en financiación) subió de 441 M en 2021 a 765 M en 2025; después de capex, arrendamientos e intereses el flujo libre fue de 544 M en 2025, un 131 % del beneficio neto atribuido publicado y un 91 % del ajustado [1, 2]. El capex saltó a 121,2 M (7,1 % de los ingresos) en 2025 por la modernización de CDS (149,9 M capitalizados desde 2019) y vuelve a la normalidad en 2026: 28,7 M en el 1S26 [2, 8]. Estimación propia: el capex de mantenimiento ronda el 3,5-4 % de los ingresos (la amortización sin la de intangibles de compras) y el resto es crecimiento (AlphaX US, Trayport, VettaFi). Los usos de la caja en cinco años: 2.596 M en compras, 993 M en dividendos, 239 M en recompras (más 151 M en el 1S26) [1, 3, 5,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desde 2012 y su opinión de 2025 es favorable sin salvedades [1]. Las cifras tienen tres fuentes de ruido que hay que separar: plusvalías por revalorizar participadas al tomar el control (BOX 2022, VettaFi 2024), diferencias de cambio no monetarias de préstamos internos en dólares (−38,5 M en 2025, +29,4 M en el 1S26) y cambios de valor de pagos contingentes; todas van por debajo del EBIT. La amortización de intangibles de compras (114,4 M) es el 63 % de la amortización total: por eso el BPA ajustado (2,13) queda un 43 % por encima del publicado (1,49) [2]. La revisión de 2024 (nota 2(G)) movió impuestos diferidos y otros activos sin tocar el resultado [1]. Las remuneraciones en acciones son pequeñas (plan de opciones de 2,0 M al año; el nuevo plan ómnibus reserva 9,7 M de acciones) [8]. Lectura de los indicadores del motor en el texto de la sección: con un balance sin existencias y con saldos de cámara excluidos, el Altman Z no es representativo; el Beneish M y el Piotroski F sí aportan.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muy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del 43 % en 2025 (2,13 frente a 1,49): la amortización de compras es real como consumo del precio pagado; usamos el ajustado solo para la historia del PER y lo decimos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tesorería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TSX Trust y CDS cobran intereses de saldos de clientes; TMX Corporate Solutions bajó un 5 % en el 4T25 por menores tipos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contingentes y litigios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26,5 M de ajustes de pagos contingentes y 14,1 M de litigios en 2025; el 1S26 incluye un cobro judicial de 91,1 M que no se repetirá [2,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7.320 M en 2025 (el 111 % del capital invertido medio); ha subido más de un 5 % en 2 de 4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11,8 % · </w:t>
      </w:r>
      <w:r>
        <w:rPr>
          <w:b/>
          <w:bCs/>
        </w:rPr>
        <w:t xml:space="preserve">WACC</w:t>
      </w:r>
      <w:r>
        <w:t xml:space="preserve">: 7,5 %.</w:t>
      </w:r>
    </w:p>
    <w:p>
      <w:pPr>
        <w:spacing w:after="100"/>
      </w:pPr>
      <w:r>
        <w:t xml:space="preserve">TMX crea valor, pero poco sobre el capital que ha pagado: el ROIC es del 9,1 % en 2025 frente a un WACC del 7,52 % (+1,6 puntos), porque el capital invertido medio incluye 7.320 M de fondo de comercio e intangibles (el 111 % del capital, más que el propio capital neto por el circulante negativo) [1]. El ROIC se ha movido entre el 7,8 % (2021) y el 9,8 % (2022) y sube desde 2023 (8,2 %, 8,7 % y 9,1 %) con las sinergias de VettaFi y BOX; el ROIC incremental de 2021-2025 es del 11,8 %, por encima del WACC. Lo que lo mueve es el margen (EBITDA del 55,4 % publicado en 2025), no la rotación (0,2 veces). Frente a la mediana de comparables (10,7 %) queda algo por debajo, en línea con ICE (8,6 %) y por encima de LSEG (6,5 %) [20]. Sin el fondo de comercio, el rendimiento de los activos tangibles es de varias veces el WACC: el foso es real y la dirección lo ha pagado a precio de mercado.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374,8 M + valores negociables 142,5 M (TMX retiene unos 240 M por motivos regulatorios); línea revolving de 700 M a 2031 sin disponer, que respalda el papel comercial (99,7 M emitidos); préstamo a plazo de 300 M a may-2027 con opción de ampliarlo en 490 M USD para RAFI [8,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Morningstar DBRS: AA (bajo), perspectiva estable (deuda sénior); papel comercial R-1 (medio)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Fuera del balance analítico quedan los saldos de participantes y miembros compensadores de CDS y CDCC (42.509,4 M a 30-jun-2026), que se compensan activo con pasivo, y el colateral no monetario, que no figura en el balance [1, 8]. Pensiones: planes de prestación definida con ganancias actuariales cada año (8,0 M en el 1S26), sin déficit relevante [8]. Pagos contingentes de compras (Newsfile, iNDEX Research, ROBO Global) dentro de otros pasivos: generaron 26,5 M de gasto en 2025 y 6,8 M en el 1S26 [2, 7]. Compromisos posteriores al balance: RAFI Indices (683,2 M, cerrada el 18-ago-2026), Cboe Australia y Canadá (409,9 M; Australia cerrada en el 3T26, Canadá pendiente) y unos 1.126,6 M en efectivo para MEMX (cierre previsto en el 2S27) [8, 9]. Sin covenants financieros publicados; el objetivo interno es 1,5-2,5 veces la deuda sobre el EBITDA ajustado [10].</w:t>
      </w:r>
    </w:p>
    <w:p>
      <w:pPr>
        <w:pStyle w:val="Heading1"/>
      </w:pPr>
      <w:r>
        <w:t xml:space="preserve">12. Asignación de capital</w:t>
      </w:r>
    </w:p>
    <w:p>
      <w:pPr>
        <w:pStyle w:val="Confianza"/>
        <w:spacing w:after="100"/>
      </w:pPr>
      <w:r>
        <w:t xml:space="preserve">Confianza: Alta</w:t>
      </w:r>
    </w:p>
    <w:p>
      <w:pPr>
        <w:spacing w:after="100"/>
      </w:pPr>
      <w:r>
        <w:t xml:space="preserve">Dividendo del 40-50 % del BPA ajustado: 0,26 CAD trimestrales desde el 3T26 (+8 %), tras +9 % en el 1T26 [8, 10]. Recompras: programa de 2026 (27-feb-2026 a 26-feb-2027) ampliado en mayo a 5,6 M de acciones (2 %); 2,97 M recompradas a 50,88 CAD en el 1S26 (151,2 M) [8]. Prioridades declaradas: crecer en mercados privados, posnegociación, ETF e índices y nuevas geografías (objetivo TM2X de duplicar los ingresos de 1.000 a 2.000 M en 5-7 años), con deuda de 1,5-2,5 veces el EBITDA ajustado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 Canada (transferencia de valores)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TSX Trust; aportó 33,6 M de ingresos en 2022 [5]; el negocio de intereses de clientes cae con los tipos.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BOX Options Market (control, 47,9 % económico)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compra ejercida; plusvalía de 177,9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BOX +16 % en el 4T25 y volumen +27 % en 2025; se combinará con MEMX (59 % de TMX) en el 2S27 [9,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VettaFi (78 % restante; índices y distribución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(emisión de 1.892 M en obligaciones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VettaFi +24 % en 2025 y +40 % en el 2T26; activos replicados de 77.000 M USD (+49 %) [7,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Verity (gestión de análisis para gestoras)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(97,8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7,9 M de ingresos en el 4T25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RAFI Indices (índices fundamentales)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18-ago-2026; triplica los activos replicados de VettaFi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Australia y Cboe Canada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 cerrada en el 3T26; Canadá pendiente de aprobación. Ingresos conjuntos de unos 87 M en 2025 [9].</w:t>
            </w:r>
          </w:p>
        </w:tc>
      </w:tr>
    </w:tbl>
    <w:p>
      <w:pPr>
        <w:spacing w:after="160" w:before="0"/>
      </w:pPr>
    </w:p>
    <w:p>
      <w:pPr>
        <w:spacing w:after="100"/>
      </w:pPr>
      <w:r>
        <w:t xml:space="preserve">La asignación del capital es buena en el negocio y exigente en el precio. Entre 2021 y 2025 el flujo libre acumulado (2.090 M, una conversión del 98 % del beneficio) pagó compras por 1.604 M, dividendos por 993 M y recompras por 239 M [1]. Las compras grandes (BOX 2022, VettaFi 2024, RAFI y Cboe Australia y Canadá en 2026, y MEMX anunciada) llevan la empresa de bolsa canadiense a negocio global de datos, índices y derivados: el 51 % de los ingresos ya viene de fuera de Canadá. VettaFi y Trayport crecen a doble dígito y BOX ha subido el EBIT de derivados un 42 % en 2025 [2]. El precio pagado es alto (RAFI a 12,9 veces el EBITDA y unos 28 veces el beneficio de MEMX implícito) y el ROIC apenas supera el WACC. El dividendo (40-50 % del BPA ajustado) sube cada año y las recompras de 2026 (151,2 M a 50,88 CAD) se hicieron un 6 % por debajo del precio actual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McKenzie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TMX desde hace 25 años, antes director financiero; consejero delegado interino desde ene-2020 y titular desde el 17-ago-2020. Con él los ingresos pasaron de 865 M (2020) a 1.717 M (2025) y el BPA ajustado de 1,18 a 2,13 CAD; el rendimiento para el accionista subió un 101 % frente al 83 % de su retribución [7,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Arnold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estrategia y desarrollo corporativo desde abr-2025)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Amplió su mandato en 2025 a estrategia, desarrollo corporativo, innovación e integración; lleva las compras de RAFI, Cboe y MEMX [2,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Bertrand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Exconsejero delegado de la Bourse de Montréal (2000-2009) y vicepresidente de National Bank (2011-2023). Tiene 3.025.000 acciones (≈ 143,7 M CAD)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Fortin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mercados globales y posnegociación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MX, CDCC, CDS y la modernización de la posnegociación lanzada en abr-2025 [2,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Conroy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Global Insights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1-abr-2025 dirige Trayport, VettaFi y Datalinx; ingresos del segmento +16 % en 2025 y +18 % en el 2T26 [2,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Judy Dinn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sistemas de información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20 años en tecnología financiera; contratada en abr-2025 [2].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TM2X: duplicar los ingresos de 1.000 M (2022) a 2.000 M en 5-7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1.717 M en 2025 y 1.852 M en los 12 meses a jun-2026: en camino de cumplirlo en 2026-2027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40-50 %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en los 12 meses a dic-2025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 EBITDA ajustado de 1,5-2,5 veces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veces a dic-2025 (1,9 neto del exceso de caja)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anual de unos 12 M por la reorganización, a ritmo completo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empezado en el 3T25; gastos comparables +5 %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del incentivo anual: beneficio operativo, ingresos recurrentes y transaccionales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Superados: puntuación del 149,3 %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historial: McKenzie lleva seis años como consejero delegado y 25 en la empresa, y el rendimiento para el accionista desde 2020 ha superado al de su retribución (101 % frente a 83 %) [14]. En 2025 salió el director de operaciones y se repartieron sus funciones entre Arnold y Conroy [2]. La propiedad de la dirección es baja (McKenzie, 130.246 acciones; 17,5 veces su salario contando unidades) y la del presidente, alta (1,1 %) [14]. El plan de sucesión no se publica. El riesgo de ejecución está en la tanda de compras de 2026.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Bertrand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del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McKenzie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Cuskley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Darveau-Garneau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Tamara Finch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(nueva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Moe Kermani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Linton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(experto contable)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Monique Mercier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Ptasznik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Rockandel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Claude Tessier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Ava Yaskiel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95,5 %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Bertrand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Ningún accionista por encima del 10 % (límite legal)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disperso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2,97 M de acciones en el 1S26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del consejero delegado de 5,86 M CAD en 2025 (4,76 M en 2024): salario 0,85 M, incentivo anual 1,90 M y largo plazo 2,98 M (acciones de rendimiento 60 %, restringidas 20 %, opciones 20 %) [14]. El incentivo anual mide beneficio operativo (70 %), ingresos recurrentes (20 %) y transaccionales (10 %); en 2025 pagó el 149,3 % del objetivo [14]. Las acciones de rendimiento vencen a tres años según el rendimiento total frente a un índice de referencia [14]. Hay cláusula de recuperación en el plan ómnibus de 2026 y exigencia de tenencia de 5 veces el salario para el consejero delegado (la cumple 17,5 veces) [14]. El voto consultivo de 2025 fue del 95,53 % a favor [14]. Premia el beneficio operativo, no el crecimiento por compras a cualquier precio, aunque ninguna métrica mide el rendimiento del capital invertido.</w:t>
      </w:r>
    </w:p>
    <w:p>
      <w:pPr>
        <w:pStyle w:val="Heading2"/>
      </w:pPr>
      <w:r>
        <w:t xml:space="preserve">Operaciones vinculadas, estructura de control y defensas</w:t>
      </w:r>
    </w:p>
    <w:p>
      <w:pPr>
        <w:spacing w:after="100"/>
      </w:pPr>
      <w:r>
        <w:t xml:space="preserve">Sin accionista de control: las órdenes de reconocimiento de Ontario y Quebec prohíben a cualquier persona, sola o concertada, tener o controlar más del 10 % de las acciones sin autorización previa de la OSC y de la AMF, y nadie puede votar más del 10 % [14]. Es una defensa legal frente a una opa hostil: cualquier comprador necesita a los reguladores. Una acción, un voto; consejo de 12 con 11 independientes (92 %), presidente independiente separado del consejero delegado, límite de mandato de 12 años [14]. Operaciones vinculadas: no hay relevantes; los participantes del mercado (bancos) no pueden ser consejeros independientes [14].</w:t>
      </w:r>
    </w:p>
    <w:p>
      <w:pPr>
        <w:pStyle w:val="Heading2"/>
      </w:pPr>
      <w:r>
        <w:t xml:space="preserve">Señales de alerta</w:t>
      </w:r>
    </w:p>
    <w:p>
      <w:pPr>
        <w:pStyle w:val="ListParagraph"/>
        <w:numPr>
          <w:ilvl w:val="0"/>
          <w:numId w:val="2"/>
        </w:numPr>
        <w:spacing w:after="60"/>
      </w:pPr>
      <w:r>
        <w:t xml:space="preserve">Ninguna relevante detectada tras revisar la circular de 2026, el MD&amp;A de 2025 y los hechos relevantes del 2T26; el registro de operaciones de directivos (SEDI) no abre sin navegador.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TMX no da guía anual de beneficios. Objetivos a largo plazo (MD&amp;A 2025, confirmados en el 2T26): crecimiento de ingresos «alto» en Global Insights y derivados (alto un dígito a doble dígito) y «fuerte» (5 % o más) en el resto, dividendo del 40-50 % del BPA ajustado y deuda de 1,5-2,5 veces el EBITDA ajustado; objetivo TM2X de 2.000 M de ingresos en 5-7 años desde 2022 [8, 9]. Para 2026 publica subidas de precio: +1 % en el conjunto, +3-4 % en Trayport y +8-9 % en cuotas de mantenimiento de cotización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Zonebourse/MarketScreener, 7 analistas, 15-oct-2026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Zonebourse/MarketScreener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Zonebourse/MarketScreener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 – 71,00</w:t>
            </w:r>
          </w:p>
        </w:tc>
      </w:tr>
    </w:tbl>
    <w:p>
      <w:pPr>
        <w:spacing w:after="160" w:before="0"/>
      </w:pPr>
    </w:p>
    <w:p>
      <w:pPr>
        <w:pStyle w:val="Heading2"/>
      </w:pPr>
      <w:r>
        <w:t xml:space="preserve">Revisiones de estimaciones</w:t>
      </w:r>
    </w:p>
    <w:p>
      <w:pPr>
        <w:spacing w:after="100"/>
      </w:pPr>
      <w:r>
        <w:t xml:space="preserve">Una sola fuente gratuita con estimaciones completas (Zonebourse/MarketScreener), contrastada con MarketBeat en objetivos y recomendaciones [16, 17]. Los objetivos se mueven poco: en octubre RBC bajó de 69 a 67 CAD y Canaccord subió de 64 a 65; en julio National Bank pasó de mantener a comprar con objetivo de 63 y Raymond James bajó de 65,25 a 64,50 [17]. El BPA de Zonebourse es el publicado (no el ajustado) y el EBITDA de 2028 (1.432 M) y los ingresos (2.598 M, +17,7 %) parecen incluir MEMX desde su cierre previsto; no hay serie de revisiones a 3 y 12 meses en fuente abierta.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5,5 % en 2026 con dividendos frente al +15,9 % del índice canadiense (XIC) y el +20,2 % de las financieras canadienses (XFN), y un 9,9 % en doce meses frente al 21,3 % del índice [15]. A largo plazo gana con holgura: 17,7 % anual en cinco años frente al 14,4 % y 18,7 % en diez frente al 12,6 %. Este año la frenaron dos caídas sin noticia propia: el 3-feb (−8,6 %), con la venta general de acciones de datos y software por el miedo a las herramientas de IA, y la de mayo-junio (−15,3 %), con el temor a más deuda por las compras; la recuperó en julio con el 2T26 [15, 25, 26]. La beta frente al XIC es baja (0,41 semanal a cinco años), la volatilidad del 24,8 % y la caída máxima de cinco años del −22,8 %. Cotiza un 3 % por debajo de su máximo de 52 semanas (57,27 CAD).</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+7,2 % / +1,3 % / +6,9 %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 +22,3 %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8,6 % el 3-feb-2026, el día de la venta general de acciones de datos y software por el miedo a las herramientas de IA de Anthropic (Thomson Reuters −18 %, LSEG −13 %); mínimo de 52 semanas de 44,10 CAD el 18-feb [15, 25]. No hubo noticia propia de TMX.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57,27 CAD (5-may, máximo de 52 semanas) a menos de 48 a principios de junio, con un −6,7 % el 2-jun; la prensa recoge el temor a más deuda por las compras (Cboe en abril, RAFI anunciada el 11-jun) sin una noticia concreta del día [15,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hasta el 28-jul ante los resultados del 2T26 (BPA ajustado 0,62 frente a 0,58 esperado) y la mejora de National Bank a comprar [17,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baja el objetivo de 69 a 67 CAD y mantiene «sobreponderar»; Canaccord sube de 64 a 65 el 14-oct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29-oct-2026 por la tarde; conferencia el 30-oct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RAFI Indices por 490 M USD (683,2 M CAD), unas 12,9 veces su EBITDA ajustado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Cboe Australia; Cboe Canada sigue pendiente de aprobación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combinar BOX con MEMX: TMX aporta unos 800 M USD y su participación en BOX y tendrá el 59 %; cierre previsto en el 2S27 con aprobación de la SEC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amplía su programa de recompra al 2 % de las acciones (5,6 M); 2,97 M recompradas en el 1S26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91,1 M CAD por un acuerdo judicial (TMX demandante), 83,8 M netos en «otros ingresos» del 1T26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cotiza a 54,31 CAD, un 3 % por debajo del máximo de 52 semanas y un 22 % por encima del mínimo, con tendencia alcista (por encima de la media de 200 sesiones) y sin avisos de movimiento [15]. Las dos caídas fuertes del año tienen causa conocida y ajena al negocio de TMX: el miedo a la IA en las acciones de datos (3-feb) y el temor a la deuda de las compras (junio), que el informe recoge en sus escenarios. No hay colocaciones, ampliaciones ni ventas de directivos anunciadas; el único hecho pendiente con fecha son los resultados del 29-oct, que no retrasan una decisión (regla 11) [24].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TMX cotiza con prima moderada frente a su propia historia: un EV/EBITDA de los últimos doce meses de 17,4 veces frente a una media de 15,1 al cierre de cada año desde 2021, y un PER de los últimos doce meses de 25,0 veces, igual a su media (que está inflada por el BPA publicado bajo de 2023-2025). En base adelantada y con BPA ajustado (precio de cierre entre el BPA ajustado del año siguiente), la mediana de cinco años es de 18,85 veces, el mínimo de 17,99 (2021) y la media de siete años de 19,22; hoy paga 19,5 veces nuestro BPA ajustado de 2027. La horquilla histórica es estrecha (17,9-21,3 veces) y el múltiplo ha subido en 2024-2025 con el giro hacia datos e índices, que el mercado paga más.</w:t>
      </w:r>
    </w:p>
    <w:p>
      <w:pPr>
        <w:pStyle w:val="Heading1"/>
      </w:pPr>
      <w:r>
        <w:t xml:space="preserve">18. Comparables cotizados</w:t>
      </w:r>
    </w:p>
    <w:p>
      <w:pPr>
        <w:pStyle w:val="Confianza"/>
        <w:spacing w:after="100"/>
      </w:pPr>
      <w:r>
        <w:t xml:space="preserve">Confianza: Media</w:t>
      </w:r>
    </w:p>
    <w:p>
      <w:pPr>
        <w:spacing w:after="100"/>
      </w:pPr>
      <w:r>
        <w:t xml:space="preserve">Siete operadores de mercado con cámara, índices o datos de la ficha sectorial (ICE, CME, Nasdaq, Deutsche Börse, LSEG, Tradeweb y MSCI, por VettaFi y RAFI) más Euronext, la bolsa de tamaño más parecido. Cifras de MarketScreener y Stock Analysis llevadas al 13/14-oct-2026 en la ficha y al informe de Euronext; capitalización pasada a CAD a 1,4196 USD/CAD y 1,5912 EUR/CAD (Banco de Canadá, 15-oct) [19, 20]. Fuera: S&amp;P Global, Moody's, Verisk, Thomson Reuters y FactSet (calificaciones y datos profesionales, otro modelo) y Cboe y ASX (sin estimaciones del mismo proveedor en el repo). El PER de los comparables es sobre BPA ajustado, como el de la historia de TMX.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15,1x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17,6x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 / 23,4x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 / 10,6x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11,0 + 0,52 × crecimiento; R² = 0,14. El crecimiento explica poco los múltiplos de estos comparables (R² &lt; 0,3): la regresión no se usa en la valoración.</w:t>
      </w:r>
    </w:p>
    <w:p>
      <w:pPr>
        <w:spacing w:after="100"/>
      </w:pPr>
      <w:r>
        <w:t xml:space="preserve">TMX cotiza a 22,5 veces el beneficio publicado de los próximos doce meses y 15,5 veces el EBITDA, en línea con la mediana de sus comparables (23,4 y 15,1 veces), con un margen EBITDA parecido (58,3 % frente a 59,6 %) y más crecimiento (12,3 % frente a 8,2 %), pero menos ROIC (9,1 % frente a 10,7 %) [20]. Frente a Euronext, la bolsa de tamaño más parecido, es más cara (Euronext cotiza a 20,8 veces) y crece algo más; frente a ICE y Nasdaq, que también combinan bolsa y datos, cotiza a un PER parecido (21,6 y 24,3 veces). El tamaño (15.000 M CAD) y la dependencia de un solo mercado de acciones justifican no pagar prima. La regresión no explica nada (R² 0,14): usamos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RAFI Indices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 M USD sobre ingresos de 49 M USD y EBITDA ajustado de 38 M USD (anualizados a mar-2026, sin auditar); 393 M USD netos del ahorro fiscal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 Australia y Cboe Canada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USD sobre unos 87 M CAD de ingresos de 2025; sin EBITDA publicado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renta fija; pendiente de cierre (1S27); 5.580 M USD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múltiplos sobre previsiones de 2023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datos e índices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acciones; terminales y datos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(13,0x – 24,0x)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37,20 – 80,17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pagan entre 13 y 24 veces el EBITDA (mediana de 13,1 veces) porque son de datos y software con prima de control; no las ponderamos. TMX es comprador, no objetivo: la ley de Ontario y de Quebec limita al 10 % la participación de un solo accionista sin permiso de los reguladores, lo que hace casi imposible una OPA [14]. Sus compras de 2026 (RAFI a 10,0 veces las ventas y 12,9 veces el EBITDA; Cboe Australia y Canadá a 4,7 veces las ventas) están dentro de la horquilla del sector [12, 21].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 queda casi cerrado: el primer semestre crece un 16 % (orgánico del 12 % en el 2T26) y el segundo suma RAFI desde el 18-ago y Cboe Australia [7, 22, 27]; proyectamos +14,2 % (1.961 M), en línea con el consenso (1.949 M) [16]. En 2027, +13,0 % con un año entero de RAFI y Cboe (unos 5,5 puntos de perímetro), en línea con el consenso (2.207 M). Después, 8 % en 2028 y bajada gradual al 5 % en 2032: el orgánico de 2025 fue del 15 % y el objetivo TM2X pide doblar ingresos en 5-7 años. MEMX queda fuera del caso base hasta que cierre (previsto en el 2S27).</w:t>
      </w:r>
    </w:p>
    <w:p>
      <w:pPr>
        <w:keepNext/>
        <w:spacing w:after="100"/>
      </w:pPr>
      <w:r>
        <w:rPr>
          <w:b/>
          <w:bCs/>
        </w:rPr>
        <w:t xml:space="preserve">Márgenes.</w:t>
      </w:r>
    </w:p>
    <w:p>
      <w:pPr>
        <w:spacing w:after="100"/>
      </w:pPr>
      <w:r>
        <w:t xml:space="preserve">Margen EBITDA del 59,5 % en 2026-2027, el ajustado de la empresa (58,9 % y 56,6 % publicados en el 1T26 y el 2T26, ≈ 60-61 % ajustado) menos un punto de costes de compras e integración que se repiten cada año; sube al 60,5 % desde 2029 por el apalancamiento operativo de índices y datos, cuyo margen incremental supera el 70 % [2, 7].</w:t>
      </w:r>
    </w:p>
    <w:p>
      <w:pPr>
        <w:keepNext/>
        <w:spacing w:after="100"/>
      </w:pPr>
      <w:r>
        <w:rPr>
          <w:b/>
          <w:bCs/>
        </w:rPr>
        <w:t xml:space="preserve">Inversión y circulante.</w:t>
      </w:r>
    </w:p>
    <w:p>
      <w:pPr>
        <w:spacing w:after="100"/>
      </w:pPr>
      <w:r>
        <w:t xml:space="preserve">Amortización del 3,6 % de los ingresos, sin la de intangibles de compras (114 M en 2025, que no es caja), y capex del 5,0 % (4,8 % desde 2029), que incluye la modernización de la posnegociación de CDS y las altas de derechos de uso [2]. Circulante del 0,5 % de los ingresos: el negocio cobra por adelantado las cuotas de cotización y las licencias.</w:t>
      </w:r>
    </w:p>
    <w:p>
      <w:pPr>
        <w:keepNext/>
        <w:spacing w:after="100"/>
      </w:pPr>
      <w:r>
        <w:rPr>
          <w:b/>
          <w:bCs/>
        </w:rPr>
        <w:t xml:space="preserve">Coste del capital.</w:t>
      </w:r>
    </w:p>
    <w:p>
      <w:pPr>
        <w:spacing w:after="100"/>
      </w:pPr>
      <w:r>
        <w:t xml:space="preserve">Tasa libre del 3,85 %, el bono canadiense a 10 años del 14-oct-2026 (Banco de Canadá) [18]. Beta de 0,80: la semanal a cinco años frente al XIC es 0,41 y la mensual (0,08) no tiene sentido estadístico; el índice canadiense, cargado de bancos y materias primas, infravalora la sensibilidad de los volúmenes al mercado y usamos la de las bolsas cotizadas (0,8-0,9) [15]. Prima de mercado del 5,5 %, sin prima adicional (rating AA bajo de DBRS). Coste de la deuda del 4,5 % (bonos del 2 % al 4,8 %) y 15 % de deuda. WACC del 7,52 %.</w:t>
      </w:r>
    </w:p>
    <w:p>
      <w:pPr>
        <w:keepNext/>
        <w:spacing w:after="100"/>
      </w:pPr>
      <w:r>
        <w:rPr>
          <w:b/>
          <w:bCs/>
        </w:rPr>
        <w:t xml:space="preserve">Valor terminal.</w:t>
      </w:r>
    </w:p>
    <w:p>
      <w:pPr>
        <w:spacing w:after="100"/>
      </w:pPr>
      <w:r>
        <w:t xml:space="preserve">Crecimiento a perpetuidad del 2,75 %: inflación canadiense del 2 % más tres cuartos de punto de crecimiento real, por debajo de la tasa libre menos medio punto (3,35 %), porque el 51 % de los ingresos viene de fuera de Canadá y crece más. El valor terminal pesa el 77 % del DCF. El múltiplo de salida implícito (14,7 veces el EBITDA) está por debajo de la mediana de los comparables (15,1).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 (histórico: 11,8 %)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 frente al 8,7 %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231 M, el 3 % del NOPAT, con un capex bruto medio del 4,9 % de las ventas). En un negocio de activos ligeros, el crecimiento medio del 8,7 %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derivados (+15 % en el 1S26), renta variable y activos replicados de VettaFi (+49 % en 2025); precios estables; RAFI (desde agosto) y Cboe Australia aportan unos 4 puntos de perímetro [7,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entero de RAFI y Cboe Australia y Canadá (≈ 5,5 puntos de perímetro), normalización de volúmenes y subida de tarifas de Trayport ligada al IPC británico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índices, datos y derivados; precios de cotización y datos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capitales norteamericano y precios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 los mercados de datos y de infraestructura de mercado (7 % anual) [11].</w:t>
            </w:r>
          </w:p>
        </w:tc>
      </w:tr>
    </w:tbl>
    <w:p>
      <w:pPr>
        <w:spacing w:after="160" w:before="0"/>
      </w:pPr>
    </w:p>
    <w:p>
      <w:pPr>
        <w:spacing w:after="100"/>
      </w:pPr>
      <w:r>
        <w:t xml:space="preserve">Sí. El crecimiento orgánico proyectado desde 2028 (8 % bajando al 5 %) queda por debajo del orgánico de 2025 (15 %) y del 2T26 (12 %) [2, 7], y en línea con el crecimiento del mercado de datos e infraestructura de mercado (7-7,4 % anual según Burton-Taylor) [11]: TMX no necesita ganar cuota fuera de Canadá para cumplirlo. La reinversión es pequeña (capex del 5 % de los ingresos frente a una amortización propia del 3,6 %) y el ROIC incremental de 2021-2025 (11,8 %) supera el WACC, así que el crecimiento crea valor. El perímetro de 2026-2027 (RAFI y Cboe) está pagado y cerrado o a falta de la aprobación de Cboe Canadá. La cuota en Canadá (61 % del volumen) es el punto débil: Cboe Canadá pasa a TMX, pero los sistemas alternativos siguen compitiendo.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 (base: 7,8 %)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 (base: 60,5 %)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7,5 %)</w:t>
            </w:r>
          </w:p>
        </w:tc>
      </w:tr>
    </w:tbl>
    <w:p>
      <w:pPr>
        <w:spacing w:after="160" w:before="0"/>
      </w:pPr>
    </w:p>
    <w:p>
      <w:pPr>
        <w:spacing w:after="100"/>
      </w:pPr>
      <w:r>
        <w:t xml:space="preserve">El DCF da 68,30 CAD por acción, un 25,8 % por encima del precio, con el valor terminal en el 77 % del total. El DCF inverso dice que el precio de 54,31 CAD descuenta un crecimiento del 4,0 % anual en 2027-2032 frente al 7,8 % de nuestro caso base, o una rentabilidad del 8,5 % frente a nuestro WACC del 7,52 %. Es una expectativa baja para una empresa que crece de forma orgánica entre el 12 % y el 15 %. Con la prima implícita del mercado (4,2 %), el DCF sube a 87,14 CAD. La sensibilidad es alta: medio punto de WACC o de crecimiento terminal mueve el valor entre 55,42 y 87,97 CAD. La discrepancia con el objetivo a 12 meses es de horizonte: el DCF paga el crecimiento a varios años; el mercado, hoy, solo el de los próximos dos.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volúmenes de derivados y de renta variable vuelven a los niveles de 2023, la IA abarata los datos y los índices simples, y las compras (RAFI, Cboe) no dan las sinergias: crecimiento 3 puntos menor, margen 2 puntos más bajo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Perímetro de RAFI y Cboe integrado, orgánico del 6-8 % y margen EBITDA del 59,5-60,5 %, en línea con el consenso de ingresos de 2026-2027.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activos replicados de VettaFi y RAFI siguen creciendo con los ETF, Trayport gana más redes de energía y la posnegociación moderniza su oferta: crecimiento 1,5 puntos mayor y margen un punto mejor.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AD) · precio actual 54,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65,18 CAD (+20,0 %).</w:t>
      </w:r>
    </w:p>
    <w:p>
      <w:pPr>
        <w:spacing w:after="100"/>
      </w:pPr>
      <w:r>
        <w:t xml:space="preserve">La asimetría del DCF es favorable: el alcista gana un 40,3 % y el bajista pierde un 11,8 % (3,42 veces), y los escenarios ponderan 65,18 CAD. A 12 meses la asimetría es menor (1,89 veces): en el bajista el PER bajaría a 15,3 veces (base × 0,8) y la acción caería a 42,53 CAD, cerca del mínimo de febrero; en el alcista el mercado pagaría la mediana de los comparables (23,4 veces) y llegaría a 76,52 CAD. El riesgo no es el negocio sino el múltiplo, que en TMX ha sido muy estable (17,9-21,3 veces adelantado).</w:t>
      </w:r>
    </w:p>
    <w:p>
      <w:pPr>
        <w:pStyle w:val="Heading1"/>
      </w:pPr>
      <w:r>
        <w:t xml:space="preserve">22. Suma de partes</w:t>
      </w:r>
    </w:p>
    <w:p>
      <w:pPr>
        <w:pStyle w:val="Confianza"/>
        <w:spacing w:after="100"/>
      </w:pPr>
      <w:r>
        <w:t xml:space="preserve">Confianza: Media</w:t>
      </w:r>
    </w:p>
    <w:p>
      <w:pPr>
        <w:spacing w:after="100"/>
      </w:pPr>
      <w:r>
        <w:t xml:space="preserve">No aplica: los segmentos comparten plataforma tecnológica, clientes y costes centrales, y el EBIT por segmento que publica TMX lleva repartos de costes que no permiten valorar cada parte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AD) · precio actual 54,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64,26 CAD (+18,3 % sobre 54,31).</w:t>
      </w:r>
    </w:p>
    <w:p>
      <w:pPr>
        <w:spacing w:after="100"/>
      </w:pPr>
      <w:r>
        <w:t xml:space="preserve">Pesamos el DCF (40 %) y los escenarios (40 %) porque el negocio es recurrente en más de la mitad y está bien documentado, y los comparables (20 %) porque TMX cotiza en línea con ellos. Las transacciones no cuentan: son de datos y software con prima de control, y TMX no puede ser objetivo por el límite legal del 10 %. Los métodos dan un rango coherente pero amplio: PER de los comparables de 53,30 a 59,80 CAD, EV/EBITDA de 47,70 a 62,23, DCF de 55,42 a 87,97 según WACC y crecimiento. La síntesis da 64,26 CAD, un 18,3 % sobre el precio. En el puente, los minoritarios de BOX van a un valor estimado de mercado de 880 M (unos 63 M de beneficio anual por 14 veces) y no a su valor contable de 222 M; la caja retenida por los reguladores (≈ 240 M) no se cuenta; y lo pagado por RAFI y Cboe después del balance (1.093 M) se resta, porque su EBITDA ya está en la proyección [8, 12, 21].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(19.5x) a mitad de camino hacia abajo, hacia la mediana de 5 años (18.9x)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r>
    </w:tbl>
    <w:p>
      <w:pPr>
        <w:spacing w:after="160" w:before="0"/>
      </w:pPr>
    </w:p>
    <w:p>
      <w:pPr>
        <w:spacing w:after="100"/>
      </w:pPr>
      <w:r>
        <w:rPr>
          <w:b/>
          <w:bCs/>
        </w:rPr>
        <w:t xml:space="preserve">Objetivo a 12 meses (ponderado):</w:t>
      </w:r>
      <w:r>
        <w:t xml:space="preserve"> 59,52 CAD · rentabilidad +11,3 % (base +11,3 %) · señal Mantener.</w:t>
      </w:r>
    </w:p>
    <w:p>
      <w:pPr>
        <w:spacing w:after="100"/>
      </w:pPr>
      <w:r>
        <w:t xml:space="preserve">Para comparar, con la regla v2 (historia al cierre, mismo precio): 18,1x / 19,5x / 23,4x, 15,7 %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(2,78 CAD) queda un 13,5 % por encima del consenso (2,45) [16]. La diferencia es de base, no de negocio: el nuestro es ajustado (sin la amortización de intangibles de compras, ≈ 0,33 CAD por acción tras impuestos), la base de la historia del PER; en base publicada sería de unos 2,45, igual que el consenso. Las ventas coinciden en 2026-2027 (1.961 y 2.216 M frente a 1.949 y 2.207); en 2028 las nuestras quedan un 7,9 % por debajo (2.393 frente a 2.598 M) porque no incluimos MEMX. Nuestro precio base (59,52 CAD) queda un 9,2 % por debajo del objetivo medio de los analistas (65,55): ellos aplican un múltiplo más alto, cercano al de los comparables.</w:t>
      </w:r>
    </w:p>
    <w:p>
      <w:pPr>
        <w:keepNext/>
        <w:spacing w:after="100"/>
      </w:pPr>
      <w:r>
        <w:rPr>
          <w:b/>
          <w:bCs/>
        </w:rPr>
        <w:t xml:space="preserve">Del valor intrínseco al objetivo a 12 meses.</w:t>
      </w:r>
    </w:p>
    <w:p>
      <w:pPr>
        <w:spacing w:after="100"/>
      </w:pPr>
      <w:r>
        <w:t xml:space="preserve">El valor intrínseco (64,26 CAD) queda un 8 % por encima del objetivo a 12 meses (59,52 CAD). La distancia es pequeña: el PER adelantado de hoy (19,5 veces) ya está cerca de su mediana de cinco años (18,85) y la regla solo lo baja a 19,2 veces; casi toda la rentabilidad a 12 meses (11,3 %) sale del crecimiento del beneficio. Para cerrar la distancia bastaría con que el 3T26 (29-oct) y los resultados anuales de febrero confirmen el orgánico de doble dígito y la integración de RAFI y Cboe. El BPA de 2028e (3,10) es ajustado y crece un 13,3 % anual desde el ajustado de 2025 (2,13); frente al publicado de 2025 (1,49) parecería un 27,7 %, pero esa cifra lleva 114 M de amortización de compras y 38,5 M de diferencias de cambio no monetarias.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(conferencia el 30-oct)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RAFI y Cboe Australia; prueba del orgánico de doble dígito y de la deuda tras las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Cboe Canadá</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la negociación de renta variable canadiense (más cuota) a cambio de condiciones de la Oficina de Competencia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renovación de la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 (40-50 % del BPA ajustado) y nuevo programa de recompras desde el 27-feb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hacia los ETF que replican índices de VettaFi y RAFI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índices dependen de los activos replicados (≈ 263.000 M USD con RAFI)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59 % de MEMX (≈ 800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la negociación de acciones de EE. UU.; más deuda y riesgo de integración, fuera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Modernización de la posnegociación de CDS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y riesgo operativo en el depositario canadiense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mal integradas (RAFI, Cboe, MEMX)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(MEMX añade ≈ 1.127 M CAD de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de VettaFi y BOX y objetivo de deuda de 1,5-2,5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por encima de 2,5 veces el EBITDA ajustado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los volúmenes de derivados y renta variable a niveles normales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−11,8 % (escenario bajista); −20 %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los ingresos (datos, índices, Trayport, cuotas de cotización) es recurrente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contratos de MX por debajo del de 2025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si el PER adelantado baja de 19,5 al mínimo de 5 años con base × 0,8 (15,3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ya está cerca de su mediana (18,85) y en línea con los comparables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mercado fuera de financieras y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negociación canadiense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(negociación de renta variable y fija, 17 %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Cboe Canadá elimina al segundo competidor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TMX por debajo del 55 % del volumen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operativo o regulatorio de CDS o CDCC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Supervisión de la OSC, la AMF y el Banco de Canadá; rating AA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en la modernización de la posnegociación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Pocas salidas a bolsa y ampliaciones en TSX y TSXV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cuotas anuales de cotización son el grueso del segmento (17 %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captado en TSXV por debajo del de 2023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datos y los índices simples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índices replicados por ETF y la red de Trayport son difíciles de sustituir; los datos de la bolsa son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Global Insights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(51 % de los ingresos fuera de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también en USD y GBP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USD/CAD por debajo de 1,30</w:t>
            </w:r>
          </w:p>
        </w:tc>
      </w:tr>
    </w:tbl>
    <w:p>
      <w:pPr>
        <w:spacing w:after="160" w:before="0"/>
      </w:pPr>
    </w:p>
    <w:p>
      <w:pPr>
        <w:pStyle w:val="Heading2"/>
      </w:pPr>
      <w:r>
        <w:t xml:space="preserve">Pre-mortem</w:t>
      </w:r>
    </w:p>
    <w:p>
      <w:pPr>
        <w:spacing w:after="100"/>
      </w:pPr>
      <w:r>
        <w:t xml:space="preserve">Octubre de 2029: la acción ha perdido un 40 %. La historia más probable es la del comprador en serie que pagó demasiado. En 2027 TMX cerró MEMX y se endeudó por encima de 3 veces el EBITDA justo cuando los volúmenes de derivados y de acciones volvieron a los niveles de 2023; la negociación de acciones de EE. UU. resultó un negocio de márgenes finos con competencia feroz y MEMX perdió cuota. A la vez, la IA y los índices de bajo coste presionaron las comisiones de VettaFi y RAFI, y el crecimiento de Global Insights bajó del 16 % al 5 %. El ROIC cayó por debajo del WACC, la agencia rebajó el rating y la empresa recortó las recompras. El mercado, que pagaba 19-21 veces el beneficio adelantado, volvió a las 15 veces. Lo habrían anticipado una deuda por encima de 2,5 veces el EBITDA ajustado tras MEMX, un orgánico trimestral por debajo del 5 % y un crecimiento de los activos replicados de VettaFi inferior al de los ETF de EE. UU.</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w:t>
      </w:r>
    </w:p>
    <w:p>
      <w:pPr>
        <w:spacing w:after="100"/>
      </w:pPr>
      <w:r>
        <w:t xml:space="preserve">La IA toca sobre todo Global Insights (41 % de los ingresos de 2025): datos de mercado, índices y herramientas de análisis (Verity, WSH) que agentes de IA podrían replicar o abaratar; la acción cayó un 8,6 % el 3-feb-2026 con la venta general de acciones de datos y software [25]. Cotización, negociación, compensación y depósito (59 %) son infraestructura regulada con licencia que la IA no sustituye, y la negociación algorítmica tiende a aumentar los volúmenes. Los índices replicados por ETF y la red de Trayport valen por su adopción, no por el cálculo. TMX usa la IA en productos de datos y en costes. Señal: crecimiento de los ingresos de datos e índices por debajo del 8 % o bajas de licencias de Trayport.</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tocan las cifras de TMX son de gobierno y de resiliencia: la continuidad operativa y la ciberseguridad de las cámaras (un fallo en CDS o CDCC tiene coste regulatorio y de reputación), la integridad del mercado y el gobierno exigido por las órdenes de reconocimiento (residentes de Quebec, independencia frente a los participantes) [1]. Por el lado de las oportunidades, los índices temáticos y sostenibles de VettaFi y el plan de reconciliación con pueblos indígenas de sep-2025 [2]. Emisiones bajas: oficinas y centros de datos.</w:t>
      </w:r>
    </w:p>
    <w:p>
      <w:pPr>
        <w:pStyle w:val="Heading2"/>
      </w:pPr>
      <w:r>
        <w:t xml:space="preserve">Controversias</w:t>
      </w:r>
    </w:p>
    <w:p>
      <w:pPr>
        <w:spacing w:after="100"/>
      </w:pPr>
      <w:r>
        <w:t xml:space="preserve">Sin sanciones relevantes en tres años en los documentos leídos. Litigios fuera del curso ordinario: 14,1 M de costes en 2025 y un acuerdo cobrado de 91,1 M en el 1T26 (TMX como cobradora) [2, 9]. BOX asumió en el 4T25 un cargo regulatorio de 15,3 M del registro de auditoría consolidado de la SEC [10].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rendimiento esperado de MEMX sobre el capital pagado y cómo se financiará sin pasar de 2,5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y queda fuera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12 % orgánico del 2T26 es volatilidad y cuál es estructural (ETF, Trayport, derivados)?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8 % de 2028 es prudente.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Canadá</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pondrá la Oficina de Competencia a la compra de Cboe Canadá?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y precios en la negociación canadiense.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comisiones por activo replicado de VettaFi y RAFI frente al crecimiento de los ETF?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compresión de precios por la IA y los índices baratos.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las recompras con las compras de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no supone recompras sin anunciar.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ajustadas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dejarán de repetirse los costes de compras e integración y las diferencias de cambio que excluye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distancia entre BPA ajustado (2,13) y publicado (1,49) es del 43 %.</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29 (17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0,7 % real: genera una variación de circulante de -2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ocho comparables de modelos distintos (bolsas con derivados, datos e índices, renta fija electrónica) el crecimiento no explica el múltiplo (R² 0,14); usamos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(3,10) supone un 27,7 % anual desde 1,49 (2025): explícalo en valoracion.objetivo_12m.comentario o la confianza es baja. Explicación: El BPA del objetivo a 12 meses es ajustado (sin la amortización de intangibles de compras), la misma base que la historia del PER. Frente al BPA ajustado de 2025 (2,13 CAD) el de 2028e (3,10) crece un 13,3 % anual; frente al publicado (1,49) parece un 27,7 % porque el publicado de 2025 lleva 114 M de amortización de compras y 38,5 M de diferencias de cambio no monetarias.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2022 y 2023 en q4cdn.com: URL no encontrada (404); 2) nota de resultados del 4T22: solo trae el trimestre por segmento; 3) SEDAR+: da 403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circular 2026: no publican calificaciones de terceros; 2) búsqueda de MSCI y Sustainalytics para TMX: sin página abierta; 3) informe de sostenibilidad: no descargado (web de inversores con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sectorial: solo da el CR5 de datos de Burton-Taylor sin verificar; 2) FIA: volúmenes, no ingresos; 3) cálculo con las cotizadas: no cubre Bloomberg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SEDI: protección antibot, no abre; 2) SEDAR+: 403; 3) circular 2026: solo tenencias a 10-mar-2026,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2026: no publica la ratio; 2) informe anual: gasto de personal y empleados; 3) cálculo: 464,6 M de personal entre 2.185 empleados da 0,21 M, pero incluye BOX y cargas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CIRO (informe de posiciones cortas): no abre sin navegador; 2) Stock Analysis: no da cortos de TSX; 3) prensa (Globe and Mail): sin dato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de X.TO: 404) y Stockhouse y Reddit (403); 2) Seeking Alpha (RSS de TMXXF): solo titulares y transcripciones, sin comentarios; 3) Simply Wall St (narrativa de la comunidad: 0 comentarios, última de nov-2025) y Stockchase (redirige sin contenido)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estados financieros consolidados auditados 2025 y 2024 (balance, cuenta, flujos), notas de segmentos, geografías y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https://s21.q4cdn.com/671813756/files/doc_financials/2025/ar/TMX_2025_Annual-Report_EN_Web.pdf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MD&amp;A anual 2025 (conciliación del beneficio ajustado, objetivos, precios 2026, segmentos por línea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https://s21.q4cdn.com/671813756/files/doc_financials/2025/q4/TMX-Group-Limited-YE-2025-MD-A_EN_Final.pdf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estados financieros consolidados auditados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https://s21.q4cdn.com/671813756/files/doc_financials/2024/ar/TMX_2024_Annual-Report_EN_Web.pdf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MD&amp;A anual 2024 (información trimestral 2023-2024, beneficio ajustado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https://s21.q4cdn.com/671813756/files/doc_financials/2024/q4/TMX-Group-Limited-YE-2024-MD-A-EN.pdf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Reports Results for Fourth Quarter of 2022 (estados consolidados de 2022 y 2021, beneficio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https://s21.q4cdn.com/671813756/files/doc_news/2023/02/1/TMX-Group-Limited-Reports-Results-for-Fourth-Quarter-of-2022-2023.pdf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Reports Results for Fourth Quarter of 2021 (cifras anuales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https://s21.q4cdn.com/671813756/files/doc_news/2022/02/1/q4-release-2022-02-07-en.pdf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Reports Results for the Second Quarter of 2026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https://s21.q4cdn.com/671813756/files/doc_financials/2026/q2/TMX-Group-Limited-Q2-2026-Press-Release_EN-FINAL.pdf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consolidados intermedios a 30-jun-2026 (balance, cuenta, flujos, deuda, recompras,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https://s21.q4cdn.com/671813756/files/doc_financials/2026/q2/EN-_-TMX-Group-Limited-Q2-2026-Financial-Statements.pdf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Report to Shareholders (MD&amp;A del 2T26: iniciativas, acciones en circulación a 27-jul-2026)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https://s21.q4cdn.com/671813756/files/doc_financials/2026/q2/TMX_2026_Q2_Quarterly-Report_EN_Web.pdf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Analyst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https://s21.q4cdn.com/671813756/files/doc_financials/2025/q4/Q4-2025-Analyst-Call-Transcript-docx.pdf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(Burton-Taylor, FIA, SEC NRSRO; comparables a 13/14-oct-2026)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 (sectores/bolsas-datos-financieros-2026-10-14.md)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to Expand into Australia and Strengthen Canadian Market (presentación de la compra de Cboe Australia y Canadá)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https://s21.q4cdn.com/671813756/files/doc_events/2026/Apr/22/TMX-Group-to-Expand-into-Australia-and-Strengthen-Canadian-Market.pdf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2025 de ICE, CME, Deutsche Börse, Euronext y LSEG (informes del repo del 8 y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 (informes/)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Information Circular 2026 (consejo, retribución, propiedad de acciones, votos de 2025, límites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https://s21.q4cdn.com/671813756/files/doc_financials/2025/ar/Management-Information-Circular_EN_Web.pdf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X.TO, XIC.TO y XFN.TO (precio, rango, volumen, rentabilidades, beta,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https://finance.yahoo.com/quote/X.TO/history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finanzas y estimaciones 2026-2028, objetivo medio y número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https://www.zonebourse.com/cours/action/TMX-GROUP-LIMITED-1412264/finances/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(TSE:X) price target and analyst ratings (objetivos, recomendaciones y cambios)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https://www.marketbeat.com/stocks/TSE/X/forecast/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Benchmark bond yield, 10-year (BD.CDN.10YR.DQ.YLD)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https://www.bankofcanada.ca/valet/observations/BD.CDN.10YR.DQ.YLD/json?recent=10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USD/CAD y EUR/CAD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https://www.bankofcanada.ca/valet/observations/FXUSDCAD,FXEURCAD/json?recent=3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infraestructura de mercados (ficha sectorial, 13/14-oct-2026) y fila de Euronext de su informe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Announces Agreement to Acquire RAFI Indices (ingresos de 49 M USD y EBITDA ajustado de 38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Newsfile / TMX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https://www.newsfilecorp.com/release/301158/TMX-Group-Limited-Announces-Agreement-to-Acquire-RAFI-Indices-from-Research-Affiliates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Completes Acquisition of RAFI Indices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https://s21.q4cdn.com/671813756/files/doc_news/TMX-Group-Limited-Completes-Acquisition-of-RAFI-Indices-from-Research-Affiliates-2026.pdf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en los informes del repo (ICE 8-oct, LSEG y Euronext 14-oct): MarketAxess, Adenza, IHS Markit, Refinitiv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 Announces Release Date for Q3 2026 Financial Results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https://s21.q4cdn.com/671813756/files/doc_news/TMX-Group-Limited-Announces-Release-Date-for-Q3-2026-Financial-Results-and-Analyst-Conference-Call-2026.pdf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Anthropic's new AI tools deepen selloff in data analytics and software stocks, investors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https://finance.yahoo.com/news/anthropics-ai-tools-deepen-selloff-054551832.html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This TSX stock is making global moves (RAFI, caídas de feb y jun-2026, objetivos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Burnaby House (reproduce prensa canadiense)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https://burnabyhouse.com/news/this-tsx-stock-is-making-global/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TMX Group closes Cboe Australia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https://www.thetradenews.com/tmx-group-closes-cboe-australia-acquisition/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Non-GAAP EPS de 0,62 CAD frente a 0,58 esperado (resumen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https://www.allinvestview.com/earnings/X.TO/q2-2026/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sentimiento</w:t>
      </w:r>
      <w:r>
        <w:t xml:space="preserve"> · Generado el 16 oct 2026.</w:t>
      </w:r>
    </w:p>
    <w:p>
      <w:pPr>
        <w:pStyle w:val="Nota"/>
        <w:spacing w:after="100"/>
      </w:pPr>
      <w:r>
        <w:t xml:space="preserve">Línea cotizada: Bolsa de Toronto (X), la única. Cuentas 2023-2025 de los informes anuales auditados y del MD&amp;A; 2021 y 2022, de las notas de resultados del 4T22 y del 4T21 (Canadá no tiene XBRL de SEDAR+ accesible y la web de inversores de TMX bloquea las descargas automáticas). BPA ajustado a la división de 5 por 1 de junio de 2023. El balance analítico excluye los saldos de compensación de CDCC y CDS y los fondos de los participantes, que se compensan entre sí. Segmentos solo para 2023-2025 (la segmentación cambió en 2023). Consenso de dos fuentes secundarias (Zonebourse para estimaciones y MarketBeat para objetivos). Sin registro de operaciones de directivos (SEDI no abre) ni sentimiento de foros (Stockhouse y Reddit bloquean el acceso).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TMX Group Limited (X)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54,31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(44,10 – 57,27)</c:v>
                </c:pt>
                <c:pt idx="1">
                  <c:v>Precio objetivo de los analistas (59,00 – 71,00)</c:v>
                </c:pt>
                <c:pt idx="2">
                  <c:v>Comparables: EV/EBITDA NTM (47,70 – 62,23)</c:v>
                </c:pt>
                <c:pt idx="3">
                  <c:v>Comparables: PER NTM (53,30 – 59,80)</c:v>
                </c:pt>
                <c:pt idx="4">
                  <c:v>Transacciones precedentes (EV/EBITDA) (37,20 – 80,17)</c:v>
                </c:pt>
                <c:pt idx="5">
                  <c:v>DCF (WACC y g ± 0,5) (55,42 – 87,97)</c:v>
                </c:pt>
                <c:pt idx="6">
                  <c:v>Escenarios (bajista – alcista) (47,91 – 76,21)</c:v>
                </c:pt>
                <c:pt idx="7">
                  <c:v>DCF con la prima implícita del mercado (4,2 %)</c:v>
                </c:pt>
                <c:pt idx="8">
                  <c:v>Precio actual (54,31)</c:v>
                </c:pt>
              </c:strCache>
            </c:strRef>
          </c:cat>
          <c:val>
            <c:numRef>
              <c:f>Hoja1!$B$2:$B$10</c:f>
              <c:numCache>
                <c:formatCode>#,##0</c:formatCode>
                <c:ptCount val="9"/>
                <c:pt idx="0">
                  <c:v>44.1</c:v>
                </c:pt>
                <c:pt idx="1">
                  <c:v>59</c:v>
                </c:pt>
                <c:pt idx="2">
                  <c:v>47.7</c:v>
                </c:pt>
                <c:pt idx="3">
                  <c:v>53.3</c:v>
                </c:pt>
                <c:pt idx="4">
                  <c:v>37.2</c:v>
                </c:pt>
                <c:pt idx="5">
                  <c:v>55.42</c:v>
                </c:pt>
                <c:pt idx="6">
                  <c:v>47.91</c:v>
                </c:pt>
                <c:pt idx="7">
                  <c:v>75.54</c:v>
                </c:pt>
                <c:pt idx="8">
                  <c:v>54.04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(44,10 – 57,27)</c:v>
                </c:pt>
                <c:pt idx="1">
                  <c:v>Precio objetivo de los analistas (59,00 – 71,00)</c:v>
                </c:pt>
                <c:pt idx="2">
                  <c:v>Comparables: EV/EBITDA NTM (47,70 – 62,23)</c:v>
                </c:pt>
                <c:pt idx="3">
                  <c:v>Comparables: PER NTM (53,30 – 59,80)</c:v>
                </c:pt>
                <c:pt idx="4">
                  <c:v>Transacciones precedentes (EV/EBITDA) (37,20 – 80,17)</c:v>
                </c:pt>
                <c:pt idx="5">
                  <c:v>DCF (WACC y g ± 0,5) (55,42 – 87,97)</c:v>
                </c:pt>
                <c:pt idx="6">
                  <c:v>Escenarios (bajista – alcista) (47,91 – 76,21)</c:v>
                </c:pt>
                <c:pt idx="7">
                  <c:v>DCF con la prima implícita del mercado (4,2 %)</c:v>
                </c:pt>
                <c:pt idx="8">
                  <c:v>Precio actual (54,31)</c:v>
                </c:pt>
              </c:strCache>
            </c:strRef>
          </c:cat>
          <c:val>
            <c:numRef>
              <c:f>Hoja1!$C$2:$C$10</c:f>
              <c:numCache>
                <c:formatCode>#,##0</c:formatCode>
                <c:ptCount val="9"/>
                <c:pt idx="0">
                  <c:v>13.170000000000002</c:v>
                </c:pt>
                <c:pt idx="1">
                  <c:v>12</c:v>
                </c:pt>
                <c:pt idx="2">
                  <c:v>14.529999999999994</c:v>
                </c:pt>
                <c:pt idx="3">
                  <c:v>6.5</c:v>
                </c:pt>
                <c:pt idx="4">
                  <c:v>42.97</c:v>
                </c:pt>
                <c:pt idx="5">
                  <c:v>32.55</c:v>
                </c:pt>
                <c:pt idx="6">
                  <c:v>28.299999999999997</c:v>
                </c:pt>
                <c:pt idx="7">
                  <c:v>26.64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(CAD, millones)</a:t>
            </a:r>
          </a:p>
        </c:rich>
      </c:tx>
      <c:overlay val="0"/>
    </c:title>
    <c:autoTitleDeleted val="0"/>
    <c:plotArea>
      <c:layout/>
      <c:barChart>
        <c:barDir val="col"/>
        <c:grouping val="stacked"/>
        <c:varyColors val="0"/>
        <c:ser>
          <c:idx val="0"/>
          <c:order val="0"/>
          <c:tx>
            <c:strRef>
              <c:f>Hoja1!$B$1</c:f>
              <c:strCache>
                <c:ptCount val="1"/>
                <c:pt idx="0">
                  <c:v>Global Insights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419</c:v>
                </c:pt>
                <c:pt idx="1">
                  <c:v>604.5</c:v>
                </c:pt>
                <c:pt idx="2">
                  <c:v>701.8</c:v>
                </c:pt>
              </c:numCache>
            </c:numRef>
          </c:val>
        </c:ser>
        <c:ser>
          <c:idx val="1"/>
          <c:order val="1"/>
          <c:tx>
            <c:strRef>
              <c:f>Hoja1!$C$1</c:f>
              <c:strCache>
                <c:ptCount val="1"/>
                <c:pt idx="0">
                  <c:v>Derivados: negociación y compensación</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274.2</c:v>
                </c:pt>
                <c:pt idx="1">
                  <c:v>329</c:v>
                </c:pt>
                <c:pt idx="2">
                  <c:v>434.5</c:v>
                </c:pt>
              </c:numCache>
            </c:numRef>
          </c:val>
        </c:ser>
        <c:ser>
          <c:idx val="2"/>
          <c:order val="2"/>
          <c:tx>
            <c:strRef>
              <c:f>Hoja1!$D$1</c:f>
              <c:strCache>
                <c:ptCount val="1"/>
                <c:pt idx="0">
                  <c:v>Captación de capital</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268.2</c:v>
                </c:pt>
                <c:pt idx="1">
                  <c:v>272.8</c:v>
                </c:pt>
                <c:pt idx="2">
                  <c:v>297.4</c:v>
                </c:pt>
              </c:numCache>
            </c:numRef>
          </c:val>
        </c:ser>
        <c:ser>
          <c:idx val="3"/>
          <c:order val="3"/>
          <c:tx>
            <c:strRef>
              <c:f>Hoja1!$E$1</c:f>
              <c:strCache>
                <c:ptCount val="1"/>
                <c:pt idx="0">
                  <c:v>Renta variable y fija: negociación y compensación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232.6</c:v>
                </c:pt>
                <c:pt idx="1">
                  <c:v>253.8</c:v>
                </c:pt>
                <c:pt idx="2">
                  <c:v>283.4</c:v>
                </c:pt>
              </c:numCache>
            </c:numRef>
          </c:val>
        </c:ser>
        <c:ser>
          <c:idx val="4"/>
          <c:order val="4"/>
          <c:tx>
            <c:strRef>
              <c:f>Hoja1!$F$1</c:f>
              <c:strCache>
                <c:ptCount val="1"/>
                <c:pt idx="0">
                  <c:v>Otros y corporativo</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0.1</c:v>
                </c:pt>
                <c:pt idx="1">
                  <c:v>0</c:v>
                </c:pt>
                <c:pt idx="2">
                  <c:v>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Global Insights</c:v>
                </c:pt>
                <c:pt idx="1">
                  <c:v>Derivados: negociación y compensación</c:v>
                </c:pt>
                <c:pt idx="2">
                  <c:v>Captación de capital</c:v>
                </c:pt>
                <c:pt idx="3">
                  <c:v>Renta variable y fija: negociación y compensación</c:v>
                </c:pt>
                <c:pt idx="4">
                  <c:v>Otros y corporativo</c:v>
                </c:pt>
              </c:strCache>
            </c:strRef>
          </c:cat>
          <c:val>
            <c:numRef>
              <c:f>Hoja1!$B$2:$B$6</c:f>
              <c:numCache>
                <c:formatCode>General</c:formatCode>
                <c:ptCount val="5"/>
                <c:pt idx="0">
                  <c:v>40.9</c:v>
                </c:pt>
                <c:pt idx="1">
                  <c:v>25.3</c:v>
                </c:pt>
                <c:pt idx="2">
                  <c:v>17.3</c:v>
                </c:pt>
                <c:pt idx="3">
                  <c:v>16.5</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Canadá</c:v>
                </c:pt>
                <c:pt idx="1">
                  <c:v>EE. UU.</c:v>
                </c:pt>
                <c:pt idx="2">
                  <c:v>Reino Unido</c:v>
                </c:pt>
                <c:pt idx="3">
                  <c:v>Alemania</c:v>
                </c:pt>
                <c:pt idx="4">
                  <c:v>Otros</c:v>
                </c:pt>
              </c:strCache>
            </c:strRef>
          </c:cat>
          <c:val>
            <c:numRef>
              <c:f>Hoja1!$B$2:$B$6</c:f>
              <c:numCache>
                <c:formatCode>0"%"</c:formatCode>
                <c:ptCount val="5"/>
                <c:pt idx="0">
                  <c:v>49.2</c:v>
                </c:pt>
                <c:pt idx="1">
                  <c:v>31.2</c:v>
                </c:pt>
                <c:pt idx="2">
                  <c:v>6.5</c:v>
                </c:pt>
                <c:pt idx="3">
                  <c:v>2.9</c:v>
                </c:pt>
                <c:pt idx="4">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datos y análisis de mercados financieros))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2023</c:v>
                </c:pt>
                <c:pt idx="3">
                  <c:v>2025</c:v>
                </c:pt>
                <c:pt idx="4">
                  <c:v>2030e</c:v>
                </c:pt>
              </c:strCache>
            </c:strRef>
          </c:cat>
          <c:val>
            <c:numRef>
              <c:f>Hoja1!$B$2:$B$6</c:f>
              <c:numCache>
                <c:formatCode>#,##0</c:formatCode>
                <c:ptCount val="5"/>
                <c:pt idx="0">
                  <c:v>32000</c:v>
                </c:pt>
                <c:pt idx="1">
                  <c:v>37300</c:v>
                </c:pt>
                <c:pt idx="2">
                  <c:v>42000</c:v>
                </c:pt>
                <c:pt idx="3">
                  <c:v>49200</c:v>
                </c:pt>
                <c:pt idx="4">
                  <c:v>70000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TMX Group</c:v>
                </c:pt>
                <c:pt idx="1">
                  <c:v>Intercontinental Exchange</c:v>
                </c:pt>
                <c:pt idx="2">
                  <c:v>CME Group</c:v>
                </c:pt>
                <c:pt idx="3">
                  <c:v>Deutsche Börse</c:v>
                </c:pt>
                <c:pt idx="4">
                  <c:v>London Stock Exchange Group</c:v>
                </c:pt>
                <c:pt idx="5">
                  <c:v>Euronext</c:v>
                </c:pt>
                <c:pt idx="6">
                  <c:v>Cboe Global Markets (Canadá, en venta a TMX)</c:v>
                </c:pt>
              </c:strCache>
            </c:strRef>
          </c:cat>
          <c:val>
            <c:numRef>
              <c:f>Hoja1!$B$2:$B$8</c:f>
              <c:numCache>
                <c:formatCode>0.0"%"</c:formatCode>
                <c:ptCount val="7"/>
                <c:pt idx="0">
                  <c:v>46.8</c:v>
                </c:pt>
                <c:pt idx="1">
                  <c:v>49.6</c:v>
                </c:pt>
                <c:pt idx="2">
                  <c:v>64.9</c:v>
                </c:pt>
                <c:pt idx="3">
                  <c:v>50</c:v>
                </c:pt>
                <c:pt idx="4">
                  <c:v>23.7</c:v>
                </c:pt>
                <c:pt idx="5">
                  <c:v>50.8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(CAD,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980.7</c:v>
                </c:pt>
                <c:pt idx="1">
                  <c:v>1116.6</c:v>
                </c:pt>
                <c:pt idx="2">
                  <c:v>1194.1</c:v>
                </c:pt>
                <c:pt idx="3">
                  <c:v>1460.1</c:v>
                </c:pt>
                <c:pt idx="4">
                  <c:v>1717.2</c:v>
                </c:pt>
                <c:pt idx="5">
                  <c:v>1961</c:v>
                </c:pt>
                <c:pt idx="6">
                  <c:v>2216</c:v>
                </c:pt>
                <c:pt idx="7">
                  <c:v>2393</c:v>
                </c:pt>
                <c:pt idx="8">
                  <c:v>2573</c:v>
                </c:pt>
                <c:pt idx="9">
                  <c:v>2753</c:v>
                </c:pt>
                <c:pt idx="10">
                  <c:v>2918</c:v>
                </c:pt>
                <c:pt idx="11">
                  <c:v>3064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578.3</c:v>
                </c:pt>
                <c:pt idx="1">
                  <c:v>638.3</c:v>
                </c:pt>
                <c:pt idx="2">
                  <c:v>652.5</c:v>
                </c:pt>
                <c:pt idx="3">
                  <c:v>809.8</c:v>
                </c:pt>
                <c:pt idx="4">
                  <c:v>985.1</c:v>
                </c:pt>
                <c:pt idx="5">
                  <c:v>1167</c:v>
                </c:pt>
                <c:pt idx="6">
                  <c:v>1319</c:v>
                </c:pt>
                <c:pt idx="7">
                  <c:v>1436</c:v>
                </c:pt>
                <c:pt idx="8">
                  <c:v>1557</c:v>
                </c:pt>
                <c:pt idx="9">
                  <c:v>1665</c:v>
                </c:pt>
                <c:pt idx="10">
                  <c:v>1765</c:v>
                </c:pt>
                <c:pt idx="11">
                  <c:v>1854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c:v>
                </c:pt>
                <c:pt idx="1">
                  <c:v>57.2</c:v>
                </c:pt>
                <c:pt idx="2">
                  <c:v>54.6</c:v>
                </c:pt>
                <c:pt idx="3">
                  <c:v>55.5</c:v>
                </c:pt>
                <c:pt idx="4">
                  <c:v>57.4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50.1</c:v>
                </c:pt>
                <c:pt idx="1">
                  <c:v>47</c:v>
                </c:pt>
                <c:pt idx="2">
                  <c:v>45.2</c:v>
                </c:pt>
                <c:pt idx="3">
                  <c:v>44.1</c:v>
                </c:pt>
                <c:pt idx="4">
                  <c:v>46.8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34.5</c:v>
                </c:pt>
                <c:pt idx="1">
                  <c:v>48.6</c:v>
                </c:pt>
                <c:pt idx="2">
                  <c:v>29.8</c:v>
                </c:pt>
                <c:pt idx="3">
                  <c:v>33</c:v>
                </c:pt>
                <c:pt idx="4">
                  <c:v>24.2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23.1</c:v>
                </c:pt>
                <c:pt idx="1">
                  <c:v>30.4</c:v>
                </c:pt>
                <c:pt idx="2">
                  <c:v>21.2</c:v>
                </c:pt>
                <c:pt idx="3">
                  <c:v>14.9</c:v>
                </c:pt>
                <c:pt idx="4">
                  <c:v>18.3</c:v>
                </c:pt>
                <c:pt idx="5">
                  <c:v>16.4</c:v>
                </c:pt>
                <c:pt idx="6">
                  <c:v>16.5</c:v>
                </c:pt>
                <c:pt idx="7">
                  <c:v>15.6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13</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49</c:v>
                </c:pt>
                <c:pt idx="1">
                  <c:v>51</c:v>
                </c:pt>
                <c:pt idx="2">
                  <c:v>58</c:v>
                </c:pt>
                <c:pt idx="3">
                  <c:v>65</c:v>
                </c:pt>
                <c:pt idx="4">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139</c:v>
                </c:pt>
                <c:pt idx="1">
                  <c:v>100</c:v>
                </c:pt>
                <c:pt idx="2">
                  <c:v>123</c:v>
                </c:pt>
                <c:pt idx="3">
                  <c:v>142</c:v>
                </c:pt>
                <c:pt idx="4">
                  <c:v>150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(CAD,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347.2</c:v>
                </c:pt>
                <c:pt idx="1">
                  <c:v>345.50000000000006</c:v>
                </c:pt>
                <c:pt idx="2">
                  <c:v>401.9</c:v>
                </c:pt>
                <c:pt idx="3">
                  <c:v>451.4</c:v>
                </c:pt>
                <c:pt idx="4">
                  <c:v>544.1999999999999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338.5</c:v>
                </c:pt>
                <c:pt idx="1">
                  <c:v>542.7</c:v>
                </c:pt>
                <c:pt idx="2">
                  <c:v>356</c:v>
                </c:pt>
                <c:pt idx="3">
                  <c:v>481.5</c:v>
                </c:pt>
                <c:pt idx="4">
                  <c:v>415.7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7.8</c:v>
                </c:pt>
                <c:pt idx="1">
                  <c:v>9.8</c:v>
                </c:pt>
                <c:pt idx="2">
                  <c:v>8.2</c:v>
                </c:pt>
                <c:pt idx="3">
                  <c:v>8.7</c:v>
                </c:pt>
                <c:pt idx="4">
                  <c:v>9.1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7.5</c:v>
                </c:pt>
                <c:pt idx="1">
                  <c:v>7.5</c:v>
                </c:pt>
                <c:pt idx="2">
                  <c:v>7.5</c:v>
                </c:pt>
                <c:pt idx="3">
                  <c:v>7.5</c:v>
                </c:pt>
                <c:pt idx="4">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9.1</c:v>
                </c:pt>
                <c:pt idx="1">
                  <c:v>14.1</c:v>
                </c:pt>
                <c:pt idx="2">
                  <c:v>8.8</c:v>
                </c:pt>
                <c:pt idx="3">
                  <c:v>11.1</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1.29</c:v>
                </c:pt>
                <c:pt idx="1">
                  <c:v>0.95</c:v>
                </c:pt>
                <c:pt idx="2">
                  <c:v>1.1</c:v>
                </c:pt>
                <c:pt idx="3">
                  <c:v>2.14</c:v>
                </c:pt>
                <c:pt idx="4">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(CAD,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2031</c:v>
                </c:pt>
                <c:pt idx="5">
                  <c:v>2032</c:v>
                </c:pt>
                <c:pt idx="6">
                  <c:v>2034+</c:v>
                </c:pt>
              </c:strCache>
            </c:strRef>
          </c:cat>
          <c:val>
            <c:numRef>
              <c:f>Hoja1!$B$2:$B$8</c:f>
              <c:numCache>
                <c:formatCode>#,##0</c:formatCode>
                <c:ptCount val="7"/>
                <c:pt idx="0">
                  <c:v>118.3</c:v>
                </c:pt>
                <c:pt idx="1">
                  <c:v>300</c:v>
                </c:pt>
                <c:pt idx="2">
                  <c:v>200</c:v>
                </c:pt>
                <c:pt idx="3">
                  <c:v>350</c:v>
                </c:pt>
                <c:pt idx="4">
                  <c:v>250</c:v>
                </c:pt>
                <c:pt idx="5">
                  <c:v>300</c:v>
                </c:pt>
                <c:pt idx="6">
                  <c:v>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(CAD,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138.4</c:v>
                </c:pt>
                <c:pt idx="1">
                  <c:v>11.2</c:v>
                </c:pt>
                <c:pt idx="2">
                  <c:v>244.9</c:v>
                </c:pt>
                <c:pt idx="3">
                  <c:v>1127.5</c:v>
                </c:pt>
                <c:pt idx="4">
                  <c:v>81.8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168.9</c:v>
                </c:pt>
                <c:pt idx="1">
                  <c:v>185.1</c:v>
                </c:pt>
                <c:pt idx="2">
                  <c:v>196.9</c:v>
                </c:pt>
                <c:pt idx="3">
                  <c:v>208.1</c:v>
                </c:pt>
                <c:pt idx="4">
                  <c:v>233.6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84.4</c:v>
                </c:pt>
                <c:pt idx="1">
                  <c:v>74.3</c:v>
                </c:pt>
                <c:pt idx="2">
                  <c:v>79.9</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Luc Bertrand (presidente)</c:v>
                </c:pt>
                <c:pt idx="1">
                  <c:v>Ningún accionista por encima del 10 % (límite legal)</c:v>
                </c:pt>
              </c:strCache>
            </c:strRef>
          </c:cat>
          <c:val>
            <c:numRef>
              <c:f>Hoja1!$B$2:$B$3</c:f>
              <c:numCache>
                <c:formatCode>0.0"%"</c:formatCode>
                <c:ptCount val="2"/>
                <c:pt idx="0">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1.3</c:v>
                </c:pt>
                <c:pt idx="1">
                  <c:v>3.2</c:v>
                </c:pt>
                <c:pt idx="2">
                  <c:v>63.1</c:v>
                </c:pt>
                <c:pt idx="3">
                  <c:v>15.5</c:v>
                </c:pt>
                <c:pt idx="4">
                  <c:v>3.2</c:v>
                </c:pt>
                <c:pt idx="5">
                  <c:v>8.4</c:v>
                </c:pt>
                <c:pt idx="6">
                  <c:v>21.2</c:v>
                </c:pt>
                <c:pt idx="7">
                  <c:v>40.9</c:v>
                </c:pt>
                <c:pt idx="8">
                  <c:v>19.8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c:v>
                </c:pt>
                <c:pt idx="1">
                  <c:v>-8.8</c:v>
                </c:pt>
                <c:pt idx="2">
                  <c:v>22.7</c:v>
                </c:pt>
                <c:pt idx="3">
                  <c:v>5.6</c:v>
                </c:pt>
                <c:pt idx="4">
                  <c:v>23.4</c:v>
                </c:pt>
                <c:pt idx="5">
                  <c:v>-5.8</c:v>
                </c:pt>
                <c:pt idx="6">
                  <c:v>11.7</c:v>
                </c:pt>
                <c:pt idx="7">
                  <c:v>21.5</c:v>
                </c:pt>
                <c:pt idx="8">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13.8</c:v>
                </c:pt>
                <c:pt idx="1">
                  <c:v>13.2</c:v>
                </c:pt>
                <c:pt idx="2">
                  <c:v>15.1</c:v>
                </c:pt>
                <c:pt idx="3">
                  <c:v>17.7</c:v>
                </c:pt>
                <c:pt idx="4">
                  <c:v>16.7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15.1</c:v>
                </c:pt>
                <c:pt idx="1">
                  <c:v>15.1</c:v>
                </c:pt>
                <c:pt idx="2">
                  <c:v>15.1</c:v>
                </c:pt>
                <c:pt idx="3">
                  <c:v>15.1</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TMX Group</c:v>
                </c:pt>
                <c:pt idx="1">
                  <c:v>Intercontinental Exchange</c:v>
                </c:pt>
                <c:pt idx="2">
                  <c:v>CME Group</c:v>
                </c:pt>
                <c:pt idx="3">
                  <c:v>Nasdaq</c:v>
                </c:pt>
                <c:pt idx="4">
                  <c:v>Deutsche Börse</c:v>
                </c:pt>
                <c:pt idx="5">
                  <c:v>London Stock Exchange Group</c:v>
                </c:pt>
                <c:pt idx="6">
                  <c:v>Tradeweb Markets</c:v>
                </c:pt>
                <c:pt idx="7">
                  <c:v>MSCI</c:v>
                </c:pt>
                <c:pt idx="8">
                  <c:v>Euronext</c:v>
                </c:pt>
              </c:strCache>
            </c:strRef>
          </c:cat>
          <c:val>
            <c:numRef>
              <c:f>Hoja1!$B$2:$B$10</c:f>
              <c:numCache>
                <c:formatCode>0.0"x"</c:formatCode>
                <c:ptCount val="9"/>
                <c:pt idx="0">
                  <c:v>15.5</c:v>
                </c:pt>
                <c:pt idx="1">
                  <c:v>13.8</c:v>
                </c:pt>
                <c:pt idx="2">
                  <c:v>19</c:v>
                </c:pt>
                <c:pt idx="3">
                  <c:v>16.1</c:v>
                </c:pt>
                <c:pt idx="4">
                  <c:v>14.1</c:v>
                </c:pt>
                <c:pt idx="5">
                  <c:v>9.4</c:v>
                </c:pt>
                <c:pt idx="6">
                  <c:v>16.8</c:v>
                </c:pt>
                <c:pt idx="7">
                  <c:v>20.2</c:v>
                </c:pt>
                <c:pt idx="8">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TMX Group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12.3</c:v>
                </c:pt>
              </c:numCache>
            </c:numRef>
          </c:xVal>
          <c:yVal>
            <c:numRef>
              <c:f>Hoja1!$C$2</c:f>
              <c:numCache>
                <c:formatCode>0.0"x"</c:formatCode>
                <c:ptCount val="1"/>
                <c:pt idx="0">
                  <c:v>15.5</c:v>
                </c:pt>
              </c:numCache>
            </c:numRef>
          </c:yVal>
          <c:smooth val="0"/>
        </c:ser>
        <c:ser>
          <c:idx val="1"/>
          <c:order val="1"/>
          <c:tx>
            <c:strRef>
              <c:f>Hoja1!$A$3</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13.8</c:v>
                </c:pt>
              </c:numCache>
            </c:numRef>
          </c:yVal>
          <c:smooth val="0"/>
        </c:ser>
        <c:ser>
          <c:idx val="2"/>
          <c:order val="2"/>
          <c:tx>
            <c:strRef>
              <c:f>Hoja1!$A$4</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5.9</c:v>
                </c:pt>
              </c:numCache>
            </c:numRef>
          </c:xVal>
          <c:yVal>
            <c:numRef>
              <c:f>Hoja1!$C$4</c:f>
              <c:numCache>
                <c:formatCode>0.0"x"</c:formatCode>
                <c:ptCount val="1"/>
                <c:pt idx="0">
                  <c:v>19</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14.1</c:v>
                </c:pt>
              </c:numCache>
            </c:numRef>
          </c:yVal>
          <c:smooth val="0"/>
        </c:ser>
        <c:ser>
          <c:idx val="5"/>
          <c:order val="5"/>
          <c:tx>
            <c:strRef>
              <c:f>Hoja1!$A$7</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6.5</c:v>
                </c:pt>
              </c:numCache>
            </c:numRef>
          </c:xVal>
          <c:yVal>
            <c:numRef>
              <c:f>Hoja1!$C$7</c:f>
              <c:numCache>
                <c:formatCode>0.0"x"</c:formatCode>
                <c:ptCount val="1"/>
                <c:pt idx="0">
                  <c:v>9.4</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16.8</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10.2</c:v>
                </c:pt>
              </c:numCache>
            </c:numRef>
          </c:xVal>
          <c:yVal>
            <c:numRef>
              <c:f>Hoja1!$C$9</c:f>
              <c:numCache>
                <c:formatCode>0.0"x"</c:formatCode>
                <c:ptCount val="1"/>
                <c:pt idx="0">
                  <c:v>20.2</c:v>
                </c:pt>
              </c:numCache>
            </c:numRef>
          </c:yVal>
          <c:smooth val="0"/>
        </c:ser>
        <c:ser>
          <c:idx val="8"/>
          <c:order val="8"/>
          <c:tx>
            <c:strRef>
              <c:f>Hoja1!$A$10</c:f>
              <c:strCache>
                <c:ptCount val="1"/>
                <c:pt idx="0">
                  <c:v>Euronext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8.3</c:v>
                </c:pt>
              </c:numCache>
            </c:numRef>
          </c:xVal>
          <c:yVal>
            <c:numRef>
              <c:f>Hoja1!$C$10</c:f>
              <c:numCache>
                <c:formatCode>0.0"x"</c:formatCode>
                <c:ptCount val="1"/>
                <c:pt idx="0">
                  <c:v>14.1</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RAFI Indices</c:v>
                </c:pt>
                <c:pt idx="1">
                  <c:v>Cboe Australia y Cboe Canada</c:v>
                </c:pt>
                <c:pt idx="2">
                  <c:v>MarketAxess Holdings</c:v>
                </c:pt>
                <c:pt idx="3">
                  <c:v>Adenza</c:v>
                </c:pt>
                <c:pt idx="4">
                  <c:v>IHS Markit</c:v>
                </c:pt>
                <c:pt idx="5">
                  <c:v>Refinitiv</c:v>
                </c:pt>
              </c:strCache>
            </c:strRef>
          </c:cat>
          <c:val>
            <c:numRef>
              <c:f>Hoja1!$B$2:$B$7</c:f>
              <c:numCache>
                <c:formatCode>0.0"x"</c:formatCode>
                <c:ptCount val="6"/>
                <c:pt idx="0">
                  <c:v>12.9</c:v>
                </c:pt>
                <c:pt idx="2">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(CAD,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791</c:v>
                </c:pt>
                <c:pt idx="1">
                  <c:v>891</c:v>
                </c:pt>
                <c:pt idx="2">
                  <c:v>971</c:v>
                </c:pt>
                <c:pt idx="3">
                  <c:v>1059</c:v>
                </c:pt>
                <c:pt idx="4">
                  <c:v>1133</c:v>
                </c:pt>
                <c:pt idx="5">
                  <c:v>1201</c:v>
                </c:pt>
                <c:pt idx="6">
                  <c:v>1261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(CAD,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5289</c:v>
                </c:pt>
                <c:pt idx="1">
                  <c:v>17342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(CAD) · precio actual 54,31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47.91</c:v>
                </c:pt>
                <c:pt idx="1">
                  <c:v>68.3</c:v>
                </c:pt>
                <c:pt idx="2">
                  <c:v>76.21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54,31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(44,10 – 57,27)</c:v>
                </c:pt>
                <c:pt idx="1">
                  <c:v>Precio objetivo de los analistas (59,00 – 71,00)</c:v>
                </c:pt>
                <c:pt idx="2">
                  <c:v>Comparables: EV/EBITDA NTM (47,70 – 62,23)</c:v>
                </c:pt>
                <c:pt idx="3">
                  <c:v>Comparables: PER NTM (53,30 – 59,80)</c:v>
                </c:pt>
                <c:pt idx="4">
                  <c:v>Transacciones precedentes (EV/EBITDA) (37,20 – 80,17)</c:v>
                </c:pt>
                <c:pt idx="5">
                  <c:v>DCF (WACC y g ± 0,5) (55,42 – 87,97)</c:v>
                </c:pt>
                <c:pt idx="6">
                  <c:v>Escenarios (bajista – alcista) (47,91 – 76,21)</c:v>
                </c:pt>
                <c:pt idx="7">
                  <c:v>DCF con la prima implícita del mercado (4,2 %)</c:v>
                </c:pt>
                <c:pt idx="8">
                  <c:v>Precio actual (54,31)</c:v>
                </c:pt>
              </c:strCache>
            </c:strRef>
          </c:cat>
          <c:val>
            <c:numRef>
              <c:f>Hoja1!$B$2:$B$10</c:f>
              <c:numCache>
                <c:formatCode>#,##0</c:formatCode>
                <c:ptCount val="9"/>
                <c:pt idx="0">
                  <c:v>44.1</c:v>
                </c:pt>
                <c:pt idx="1">
                  <c:v>59</c:v>
                </c:pt>
                <c:pt idx="2">
                  <c:v>47.7</c:v>
                </c:pt>
                <c:pt idx="3">
                  <c:v>53.3</c:v>
                </c:pt>
                <c:pt idx="4">
                  <c:v>37.2</c:v>
                </c:pt>
                <c:pt idx="5">
                  <c:v>55.42</c:v>
                </c:pt>
                <c:pt idx="6">
                  <c:v>47.91</c:v>
                </c:pt>
                <c:pt idx="7">
                  <c:v>75.54</c:v>
                </c:pt>
                <c:pt idx="8">
                  <c:v>54.04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(44,10 – 57,27)</c:v>
                </c:pt>
                <c:pt idx="1">
                  <c:v>Precio objetivo de los analistas (59,00 – 71,00)</c:v>
                </c:pt>
                <c:pt idx="2">
                  <c:v>Comparables: EV/EBITDA NTM (47,70 – 62,23)</c:v>
                </c:pt>
                <c:pt idx="3">
                  <c:v>Comparables: PER NTM (53,30 – 59,80)</c:v>
                </c:pt>
                <c:pt idx="4">
                  <c:v>Transacciones precedentes (EV/EBITDA) (37,20 – 80,17)</c:v>
                </c:pt>
                <c:pt idx="5">
                  <c:v>DCF (WACC y g ± 0,5) (55,42 – 87,97)</c:v>
                </c:pt>
                <c:pt idx="6">
                  <c:v>Escenarios (bajista – alcista) (47,91 – 76,21)</c:v>
                </c:pt>
                <c:pt idx="7">
                  <c:v>DCF con la prima implícita del mercado (4,2 %)</c:v>
                </c:pt>
                <c:pt idx="8">
                  <c:v>Precio actual (54,31)</c:v>
                </c:pt>
              </c:strCache>
            </c:strRef>
          </c:cat>
          <c:val>
            <c:numRef>
              <c:f>Hoja1!$C$2:$C$10</c:f>
              <c:numCache>
                <c:formatCode>#,##0</c:formatCode>
                <c:ptCount val="9"/>
                <c:pt idx="0">
                  <c:v>13.170000000000002</c:v>
                </c:pt>
                <c:pt idx="1">
                  <c:v>12</c:v>
                </c:pt>
                <c:pt idx="2">
                  <c:v>14.529999999999994</c:v>
                </c:pt>
                <c:pt idx="3">
                  <c:v>6.5</c:v>
                </c:pt>
                <c:pt idx="4">
                  <c:v>42.97</c:v>
                </c:pt>
                <c:pt idx="5">
                  <c:v>32.55</c:v>
                </c:pt>
                <c:pt idx="6">
                  <c:v>28.299999999999997</c:v>
                </c:pt>
                <c:pt idx="7">
                  <c:v>26.64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