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Thales S.A.</w:t>
      </w:r>
    </w:p>
    <w:p>
      <w:pPr>
        <w:spacing w:after="60"/>
        <w:rPr>
          <w:color w:val="52514E"/>
          <w:sz w:val="22"/>
          <w:szCs w:val="22"/>
        </w:rPr>
      </w:pPr>
      <w:r>
        <w:rPr>
          <w:color w:val="52514E"/>
          <w:sz w:val="22"/>
          <w:szCs w:val="22"/>
        </w:rPr>
        <w:t xml:space="preserve">HO · Euronext París · ISIN FR0000121329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224,70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213,95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-3,0 % (base +3,9 %)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236,37 EUR · mercado 275,39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46.171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Thales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 / FR0000121329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Aeroespacial y defensa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Meudon (Francia) · 1968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www.thalesgroup.com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224,70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211,90 – 274,20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46.171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46.161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57,7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213,95 EUR</w:t>
      </w:r>
      <w:r>
        <w:t xml:space="preserve"> frente a 224,70 · Rentabilidad a 12 meses </w:t>
      </w:r>
      <w:r>
        <w:rPr>
          <w:b/>
          <w:bCs/>
        </w:rPr>
        <w:t xml:space="preserve">-3,0 % (base +3,9 %)</w:t>
      </w:r>
      <w:r>
        <w:t xml:space="preserve"> · Valor intrínseco 236,37 EUR · con la prima implícita del mercado: 275,39 (+22,6 %) · Alcista / bajista +23,8 % / -21,9 %</w:t>
      </w:r>
    </w:p>
    <w:p>
      <w:pPr>
        <w:spacing w:after="100"/>
      </w:pPr>
      <w:r>
        <w:rPr>
          <w:b/>
        </w:rPr>
        <w:t xml:space="preserve">La recomendación y por qué.</w:t>
      </w:r>
      <w:r>
        <w:t xml:space="preserve"> Mantener, con convicción baja. El objetivo a 12 meses es de 213,95 EUR (17,2 veces nuestro BPA ajustado de 2028 de 13,35 EUR en el base), frente a un precio de 224,70: la rentabilidad ponderada es del −3,0 % y la del base del +3,9 %, con dividendo. El valor intrínseco es de 236,37 EUR (+5,2 %) y el objetivo medio de los 18 analistas, de 293,61, un 21,8 % por encima de nuestro base. La razón principal es el múltiplo: Thales es una empresa de calidad, pero cotiza a 18,9 veces el beneficio de 2027, por encima de su historia (14,2 veces de mediana adelantada). La convicción es baja porque las dos reglas discrepan (con la prima del mercado el valor sería de 275,39 EUR y la regla relativa daría Comprar); subiría si el precio bajara de 189,43 EUR o si la guía de 2027 llevara el margen al 13,5 %.</w:t>
      </w:r>
    </w:p>
    <w:p>
      <w:pPr>
        <w:spacing w:after="100"/>
      </w:pPr>
      <w:r>
        <w:rPr>
          <w:b/>
        </w:rPr>
        <w:t xml:space="preserve">El negocio.</w:t>
      </w:r>
      <w:r>
        <w:t xml:space="preserve"> Thales gana en sistemas propios de defensa con cartera larga (41.100 M en Defensa, 3,2 años de ventas) y clientes que financian la producción: ROIC del 17,0 % frente a un WACC del 8,08 % (8,9 puntos) y conversión de caja del 128 % [1, 3]. El veredicto de calidad es </w:t>
      </w:r>
      <w:r>
        <w:rPr>
          <w:b/>
        </w:rPr>
        <w:t xml:space="preserve">Sí</w:t>
      </w:r>
      <w:r>
        <w:t xml:space="preserve">: crea valor con holgura y la prueba de sostenibilidad da </w:t>
      </w:r>
      <w:r>
        <w:rPr>
          <w:b/>
        </w:rPr>
        <w:t xml:space="preserve">Sí</w:t>
      </w:r>
      <w:r>
        <w:t xml:space="preserve"> (crecimiento proyectado del 5,9 %, por debajo del histórico del 7,6 % y del financiable al ROIC actual). El punto débil es Ciber y Digital: margen del 10,9 % en el 1S26 y 8.531 M de fondo de comercio.</w:t>
      </w:r>
    </w:p>
    <w:p>
      <w:pPr>
        <w:spacing w:after="100"/>
      </w:pPr>
      <w:r>
        <w:rPr>
          <w:b/>
        </w:rPr>
        <w:t xml:space="preserve">Sector y ciclo.</w:t>
      </w:r>
      <w:r>
        <w:t xml:space="preserve"> El gasto militar europeo creció un 14 % en 2025 [10] y los pedidos de Thales en Europa (sin Francia) un 46 % en el 1S26 [3]. Lo que baja es el múltiplo del sector, por las negociaciones en Ucrania y los recortes de objetivos de Bernstein y UBS [29, 30].</w:t>
      </w:r>
    </w:p>
    <w:p>
      <w:pPr>
        <w:spacing w:after="100"/>
      </w:pPr>
      <w:r>
        <w:rPr>
          <w:b/>
        </w:rPr>
        <w:t xml:space="preserve">Finanzas.</w:t>
      </w:r>
      <w:r>
        <w:t xml:space="preserve"> Deuda neta de 519 M (con arrendamientos) en junio de 2026, rating A-; el circulante es del −25,7 % de las ventas por los anticipos, lo que infla la caja mientras crecen los pedidos.</w:t>
      </w:r>
    </w:p>
    <w:p>
      <w:pPr>
        <w:spacing w:after="100"/>
      </w:pPr>
      <w:r>
        <w:rPr>
          <w:b/>
        </w:rPr>
        <w:t xml:space="preserve">Equipo y gobierno.</w:t>
      </w:r>
      <w:r>
        <w:t xml:space="preserve"> Patrice Caine cumplió la guía de 2023-2025 y compró 2,9 M EUR en acciones en junio [14]. El Estado y Dassault controlan el 66 % de los votos: el minoritario no tiene prima de control.</w:t>
      </w:r>
    </w:p>
    <w:p>
      <w:pPr>
        <w:spacing w:after="100"/>
      </w:pPr>
      <w:r>
        <w:rPr>
          <w:b/>
        </w:rPr>
        <w:t xml:space="preserve">Valoración.</w:t>
      </w:r>
      <w:r>
        <w:t xml:space="preserve"> El DCF da 241,56 EUR; el inverso dice que el precio descuenta un 4,8 % de crecimiento anual (nuestro base: 5,8 %) y un margen EBITDA del 15,2 %: el mercado pide algo menos que nosotros. Los comparables por PER valen 231,63. Discrepamos de los analistas en el múltiplo, no en el beneficio (nuestro BPA de 2028 está un 4,4 % por debajo del suyo).</w:t>
      </w:r>
    </w:p>
    <w:p>
      <w:pPr>
        <w:spacing w:after="100"/>
      </w:pPr>
      <w:r>
        <w:rPr>
          <w:b/>
        </w:rPr>
        <w:t xml:space="preserve">Riesgos y catalizadores.</w:t>
      </w:r>
      <w:r>
        <w:t xml:space="preserve"> El riesgo mayor es la compresión del múltiplo: el bajista a 12 meses vale 116,28 EUR con el PER de 10,2x de 2021. Después, el presupuesto francés y las elecciones de 2027 (el Estado es el 20 % de las ventas) y un deterioro de Digital. El riesgo de que la IA se coma el negocio es bajo: exposición media y efecto mixto (oportunidad en sensores y guerra electrónica, amenaza en ciberseguridad e identidad, ±5 %). Los foros están divididos y más pesimistas; no hay capitulación. Catalizador próximo: ventas del 3T el 22-oct-2026.</w:t>
      </w:r>
    </w:p>
    <w:p>
      <w:pPr>
        <w:spacing w:after="100"/>
      </w:pPr>
      <w:r>
        <w:rPr>
          <w:b/>
        </w:rPr>
        <w:t xml:space="preserve">Qué cambiaría la decisión.</w:t>
      </w:r>
      <w:r>
        <w:t xml:space="preserve"> Compraríamos por debajo de 189,43 EUR y venderíamos por encima de 242,06. Revisaríamos al alza con una guía de 2027 con margen del 13,5 % y a la baja con una relación pedidos/ventas por debajo de 1,0 o un margen de 2026 por debajo del 12,6 %.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213,95 EUR</w:t>
      </w:r>
      <w:r>
        <w:t xml:space="preserve"> (rentabilidad -3,0 % (base +3,9 %)) · Valor intrínseco: 236,37 EUR (+5,2 % sobre 224,70) · con la prima implícita del mercado: 275,39 (+22,6 %)</w:t>
      </w:r>
    </w:p>
    <w:p>
      <w:pPr>
        <w:spacing w:after="100"/>
      </w:pPr>
      <w:r>
        <w:t xml:space="preserve">Thales es el mayor grupo francés de electrónica de defensa, con una cartera de 52.434 M (2,4 años de ventas), un ROIC del 17,0 % frente a un WACC del 8,08 %, margen EBIT ajustado del 12,4 % que va hacia el 13-14 % en 2028 y una conversión del beneficio en caja superior al 100 % seis años seguidos [1, 3]. El rearme europeo (+14 % de gasto en 2025) le da visibilidad [10].</w:t>
      </w:r>
    </w:p>
    <w:p>
      <w:pPr>
        <w:spacing w:after="100"/>
      </w:pPr>
      <w:r>
        <w:t xml:space="preserve">A 224,70 EUR el precio descuenta un crecimiento del 4,8 % anual en 2027-2032 y un margen EBITDA del 15,2 %, algo menos de lo que esperamos (5,8 % y 16,1 %). Cotiza a 18,9 veces nuestro BPA de 2027, por debajo de los comparables europeos (19,6x de mediana) pero por encima de su historia adelantada (14,2x de mediana en 2021-2025).</w:t>
      </w:r>
    </w:p>
    <w:p>
      <w:pPr>
        <w:spacing w:after="100"/>
      </w:pPr>
      <w:r>
        <w:t xml:space="preserve">El mercado ha empezado a quitar la prima de defensa, y con razón: el múltiplo de 2025 (22x) era excepcional. Para invertir hay que creer que el BPA crece un 11 % al año hasta 2028 y que el múltiplo no vuelve a 14x. Lo primero es probable; lo segundo, incierto. El valor intrínseco (236,37) da poco margen y la rentabilidad a 12 meses es negativa.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11,40 = 116,28 · 17,2x × 13,35 = 229,62 · 19,6x × 14,30 = 280,28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293,61 (nuestro base -21,8 %)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236,37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 / -21,9 %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8,1 %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189,43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189,43 y 242,06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242,06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 precio por debajo de 189,43 EUR: a ese nivel la rentabilidad a 12 meses pasaría a ser suficiente para Comprar (si la calidad y el valor intrínseco se mantienen).</w:t>
      </w:r>
    </w:p>
    <w:p>
      <w:pPr>
        <w:pStyle w:val="ListParagraph"/>
        <w:numPr>
          <w:ilvl w:val="0"/>
          <w:numId w:val="2"/>
        </w:numPr>
        <w:spacing w:after="60"/>
      </w:pPr>
      <w:r>
        <w:t xml:space="preserve">Por encima de 242,06 EUR pasaríamos a Vender.</w:t>
      </w:r>
    </w:p>
    <w:p>
      <w:pPr>
        <w:pStyle w:val="ListParagraph"/>
        <w:numPr>
          <w:ilvl w:val="0"/>
          <w:numId w:val="2"/>
        </w:numPr>
        <w:spacing w:after="60"/>
      </w:pPr>
      <w:r>
        <w:t xml:space="preserve">Si la relación pedidos/ventas de Defensa baja de 1,0 en el 3T26 (22-oct) o en 2026, revisaríamos a la baja el BPA y el objetivo.</w:t>
      </w:r>
    </w:p>
    <w:p>
      <w:pPr>
        <w:pStyle w:val="ListParagraph"/>
        <w:numPr>
          <w:ilvl w:val="0"/>
          <w:numId w:val="2"/>
        </w:numPr>
        <w:spacing w:after="60"/>
      </w:pPr>
      <w:r>
        <w:t xml:space="preserve">Si el margen EBIT ajustado de 2026 queda por debajo del 12,6 % o el de Ciber y Digital por debajo del 10 % en el 2S26.</w:t>
      </w:r>
    </w:p>
    <w:p>
      <w:pPr>
        <w:pStyle w:val="ListParagraph"/>
        <w:numPr>
          <w:ilvl w:val="0"/>
          <w:numId w:val="2"/>
        </w:numPr>
        <w:spacing w:after="60"/>
      </w:pPr>
      <w:r>
        <w:t xml:space="preserve">Si la guía de 2027 (marzo) sube el margen al 13,5 % o más y el BPA del consenso pasa de 12,5 EUR, revisaríamos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4,8 % anual y un margen EBITDA del 15,2 %, por debajo de la guía: el mercado ya duda del ciclo de defensa y del Digital. Los analistas, en cambio, siguen con objetivos de 293,61 EUR, que suponen mantener múltiplos de 21-24 veces.</w:t>
      </w:r>
    </w:p>
    <w:p>
      <w:pPr>
        <w:keepNext/>
        <w:spacing w:after="100"/>
      </w:pPr>
      <w:r>
        <w:rPr>
          <w:b/>
          <w:bCs/>
        </w:rPr>
        <w:t xml:space="preserve">Lo que creemos nosotros.</w:t>
      </w:r>
    </w:p>
    <w:p>
      <w:pPr>
        <w:spacing w:after="100"/>
      </w:pPr>
      <w:r>
        <w:t xml:space="preserve">Coincidimos con los analistas en el beneficio (BPA 2028 de 13,35 frente a 13,97) y con el mercado en el múltiplo: el PER adelantado tenderá hacia su historia. El resultado es un objetivo a 12 meses de 213,95 EUR, por debajo del precio.</w:t>
      </w:r>
    </w:p>
    <w:p>
      <w:pPr>
        <w:keepNext/>
        <w:spacing w:after="100"/>
      </w:pPr>
      <w:r>
        <w:rPr>
          <w:b/>
          <w:bCs/>
        </w:rPr>
        <w:t xml:space="preserve">Por qué podemos tener razón.</w:t>
      </w:r>
    </w:p>
    <w:p>
      <w:pPr>
        <w:spacing w:after="100"/>
      </w:pPr>
      <w:r>
        <w:t xml:space="preserve">La historia del PER de Thales (10-16x antes de 2025) y el desinflado reciente del sector (Bernstein [12] y UBS recortan objetivos por múltiplo, no por beneficio) apoyan que el múltiplo no vuelva a 22x. No tenemos una visión distinta del negocio: la diferencia con el consenso es de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24,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17,0 % frente a un WACC del 8,08 % y ROIC incremental del 52,9 %.</w:t>
      </w:r>
    </w:p>
    <w:p>
      <w:pPr>
        <w:pStyle w:val="ListParagraph"/>
        <w:numPr>
          <w:ilvl w:val="0"/>
          <w:numId w:val="2"/>
        </w:numPr>
        <w:spacing w:after="60"/>
      </w:pPr>
      <w:r>
        <w:rPr>
          <w:b/>
        </w:rPr>
        <w:t xml:space="preserve">Visibilidad</w:t>
      </w:r>
      <w:r>
        <w:t xml:space="preserve">: cartera de 52.434 M y pedidos del 1S26 +21 % (relación pedidos/ventas de 1,14) [3].</w:t>
      </w:r>
    </w:p>
    <w:p>
      <w:pPr>
        <w:pStyle w:val="ListParagraph"/>
        <w:numPr>
          <w:ilvl w:val="0"/>
          <w:numId w:val="2"/>
        </w:numPr>
        <w:spacing w:after="60"/>
      </w:pPr>
      <w:r>
        <w:rPr>
          <w:b/>
        </w:rPr>
        <w:t xml:space="preserve">Caja</w:t>
      </w:r>
      <w:r>
        <w:t xml:space="preserve">: flujo libre operativo de 2.577 M en 2025 (128 % del beneficio ajustado) y rentabilidad de flujo libre del 8,0 % [1].</w:t>
      </w:r>
    </w:p>
    <w:p>
      <w:pPr>
        <w:pStyle w:val="ListParagraph"/>
        <w:numPr>
          <w:ilvl w:val="0"/>
          <w:numId w:val="2"/>
        </w:numPr>
        <w:spacing w:after="60"/>
      </w:pPr>
      <w:r>
        <w:rPr>
          <w:b/>
        </w:rPr>
        <w:t xml:space="preserve">Precio razonable</w:t>
      </w:r>
      <w:r>
        <w:t xml:space="preserve">: el DCF inverso pide un 4,8 % de crecimiento anual, por debajo de nuestro 5,8 %.</w:t>
      </w:r>
    </w:p>
    <w:p>
      <w:pPr>
        <w:pStyle w:val="ListParagraph"/>
        <w:numPr>
          <w:ilvl w:val="0"/>
          <w:numId w:val="2"/>
        </w:numPr>
        <w:spacing w:after="60"/>
      </w:pPr>
      <w:r>
        <w:rPr>
          <w:b/>
        </w:rPr>
        <w:t xml:space="preserve">Directivos alineados</w:t>
      </w:r>
      <w:r>
        <w:t xml:space="preserve">: el consejero delegado compró 2,9 M EUR en acciones a 227 EUR en junio de 2026 [14].</w:t>
      </w:r>
    </w:p>
    <w:p>
      <w:pPr>
        <w:pStyle w:val="Heading2"/>
      </w:pPr>
      <w:r>
        <w:t xml:space="preserve">En contra</w:t>
      </w:r>
    </w:p>
    <w:p>
      <w:pPr>
        <w:pStyle w:val="ListParagraph"/>
        <w:numPr>
          <w:ilvl w:val="0"/>
          <w:numId w:val="2"/>
        </w:numPr>
        <w:spacing w:after="60"/>
      </w:pPr>
      <w:r>
        <w:rPr>
          <w:b/>
        </w:rPr>
        <w:t xml:space="preserve">Múltiplo por encima de su historia</w:t>
      </w:r>
      <w:r>
        <w:t xml:space="preserve">: 18,9 veces frente a una mediana adelantada de 14,2 en 2021-2025.</w:t>
      </w:r>
    </w:p>
    <w:p>
      <w:pPr>
        <w:pStyle w:val="ListParagraph"/>
        <w:numPr>
          <w:ilvl w:val="0"/>
          <w:numId w:val="2"/>
        </w:numPr>
        <w:spacing w:after="60"/>
      </w:pPr>
      <w:r>
        <w:rPr>
          <w:b/>
        </w:rPr>
        <w:t xml:space="preserve">Rentabilidad a 12 meses negativa</w:t>
      </w:r>
      <w:r>
        <w:t xml:space="preserve">: −3,0 % ponderada y +3,9 % en el base con la regla común.</w:t>
      </w:r>
    </w:p>
    <w:p>
      <w:pPr>
        <w:pStyle w:val="ListParagraph"/>
        <w:numPr>
          <w:ilvl w:val="0"/>
          <w:numId w:val="2"/>
        </w:numPr>
        <w:spacing w:after="60"/>
      </w:pPr>
      <w:r>
        <w:rPr>
          <w:b/>
        </w:rPr>
        <w:t xml:space="preserve">Digital pierde margen</w:t>
      </w:r>
      <w:r>
        <w:t xml:space="preserve">: Ciber y Digital del 14,4 % al 10,9 % en un año, con 8.531 M de fondo de comercio [3].</w:t>
      </w:r>
    </w:p>
    <w:p>
      <w:pPr>
        <w:pStyle w:val="ListParagraph"/>
        <w:numPr>
          <w:ilvl w:val="0"/>
          <w:numId w:val="2"/>
        </w:numPr>
        <w:spacing w:after="60"/>
      </w:pPr>
      <w:r>
        <w:rPr>
          <w:b/>
        </w:rPr>
        <w:t xml:space="preserve">Riesgo político francés</w:t>
      </w:r>
      <w:r>
        <w:t xml:space="preserve">: el Estado es el 20 % de las ventas y hay elecciones en 2027 [2].</w:t>
      </w:r>
    </w:p>
    <w:p>
      <w:pPr>
        <w:pStyle w:val="ListParagraph"/>
        <w:numPr>
          <w:ilvl w:val="0"/>
          <w:numId w:val="2"/>
        </w:numPr>
        <w:spacing w:after="60"/>
      </w:pPr>
      <w:r>
        <w:rPr>
          <w:b/>
        </w:rPr>
        <w:t xml:space="preserve">Gobierno</w:t>
      </w:r>
      <w:r>
        <w:t xml:space="preserve">: el Estado y Dassault controlan el 66 % de los votos; 4 independientes de 16 consejeros [2].</w:t>
      </w:r>
    </w:p>
    <w:p>
      <w:pPr>
        <w:pStyle w:val="Heading2"/>
      </w:pPr>
      <w:r>
        <w:t xml:space="preserve">Qué tiene que pasar para que la tesis funcione</w:t>
      </w:r>
    </w:p>
    <w:p>
      <w:pPr>
        <w:spacing w:after="100"/>
      </w:pPr>
      <w:r>
        <w:t xml:space="preserve">La tesis depende de que los pedidos de Defensa sigan por encima de las ventas (relación pedidos/ventas &gt; 1,1) y de que el margen suba hacia el 13-14 % en 2028. La señal de que no se cumple sería una relación pedidos/ventas por debajo de 1,0 en dos trimestres seguidos, un margen EBIT ajustado de 2026 por debajo del 12,6 % o una conversión de caja por debajo del 80 % en 2027 (los anticipos empiezan a girarse).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12,6 %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 base de nuestro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Ciber y Digital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deterioro del fondo de comercio.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beneficio ajustado en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giro de los anticipos.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16x sin bajada del BPA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Desrateo del sector.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30,8x / 19,0x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Thales nace en 2000 al cambiar de nombre Thomson-CSF, la electrónica de defensa del antiguo grupo Thomson nacionalizado en 1982 y privatizado parcialmente en 1998, cuando entraron Alcatel y Dassault. Dassault Aviation sustituyó a Alcatel-Lucent como socio industrial en 2009 y hoy el Estado francés (a través de TSA) y Dassault controlan juntos el 53 % del capital con un pacto de accionistas [B2]. Con Patrice Caine (presidente y consejero delegado desde 2014) el grupo se ha concentrado en defensa, aeroespacial y seguridad digital: compró Gemalto en 2019 e Imperva en 2023, vendió Transporte a Hitachi Rail en 2024 y prepara la fusión de su espacio con el de Airbus y Leonardo (proyecto Bromo, previsto para 2027) [B2].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CSF con Thomson (Thomson-CSF), base de la electrónica de defensa francesa.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parcial: entran Alcatel, Dassault Industries y Aerospatiale junto al Estado.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Thomson-CSF pasa a llamarse Thales tras comprar Racal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Aviation compra la participación de Alcatel-Lucent y se convierte en el socio industrial del Estado.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Patrice Caine,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Gemalto (identidad digital y seguridad) por unos 4.800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Imperva (3.600 M USD), Cobham Aerospace Communications y Tesserent.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Transporte a Hitachi Rail; día del inversor con objetivos 2028 (margen EBIT ajustado 13-14 %).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Protocolo con Airbus y Leonardo para fusionar sus actividades espaciales (Thales 32,5 %).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anula las fragatas F126: cargo de 450 M EUR; pedidos del 1S26 +21 % [B3].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Thales diseña y fabrica sistemas electrónicos de alta tecnología para tres mercados. Defensa (55 % de las ventas de 2025) vende radares, guerra electrónica, defensa aérea (SAMP/T con MBDA, misiles ligeros), sonar y sistemas de combate navales, optrónica, comunicaciones y vehículos protegidos a ministerios de defensa de Francia, Reino Unido, Australia y unos 60 países más. Aeroespacial (27 %) incluye la aviónica para Airbus, Boeing, Dassault y helicópteros, y el espacio a través de Thales Alenia Space (67 %, con Leonardo), que fabrica satélites de telecomunicaciones, observación y exploración y que se fusionará con el espacio de Airbus y Leonardo. Ciber y Digital (17 %) vende ciberseguridad (Imperva, cifrado) e identidad, biometría, tarjetas de pago y conectividad segura de la antigua Gemalto [1, 2]. Tiene 85.000 empleados en 65 países y el 35 % de Naval Group [1].</w:t>
      </w:r>
    </w:p>
    <w:p>
      <w:pPr>
        <w:pStyle w:val="Heading2"/>
      </w:pPr>
      <w:r>
        <w:t xml:space="preserve">Cómo gana dinero</w:t>
      </w:r>
    </w:p>
    <w:p>
      <w:pPr>
        <w:spacing w:after="100"/>
      </w:pPr>
      <w:r>
        <w:t xml:space="preserve">En defensa y espacio cobra por contratos plurianuales, muchos con anticipos: los pasivos por contrato suman 12.384 M frente a 3.535 M de activos por contrato, y esa financiación de los clientes es la razón de que el capital invertido sea pequeño y la caja alta [2]. La cartera de 52.434 M cubre unos 2,4 años de ventas (3,2 en Defensa) [3]; el mantenimiento y las modernizaciones de sistemas con 30-40 años de vida dan recurrencia. El margen depende de la ejecución de programas a precio fijo, de la mezcla (defensa aérea y sensores, más rentables; espacio comercial, menos) y del apalancamiento operativo al subir la producción: el margen EBIT ajustado pasó del 11,8 % al 12,4 % en 2025 y la empresa apunta al 13-14 % en 2028 [1, 2]. Ciber y Digital es de ciclo corto, con volúmenes de tarjetas en declive y precios presionados en identidad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Aeroespacial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 y Digital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(incl. Naval Group al 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Aeroespacial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 y Digital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(incl. Naval Group al 35 %)</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Más del 60 % de las ventas son a gobiernos. En 2025 solo tres clientes superan 500 M: el Estado francés (unos 4.500 M, el 20 % de las ventas), el británico (1.000 M) y el australiano (700 M) [2]. Los contratos de defensa duran años y el cliente rara vez cambia de proveedor a mitad de la vida de un sistema, pero puede anularlos: Alemania canceló en junio de 2026 las fragatas F126, con un cargo de 450 M para Thales [3]. El poder de precios se ve en el margen de Defensa, que subió de 12,8 % a 13,8 % en el 1S26 pese a la inflación de costes [3], y en contratos con cláusulas de revisión; en Digital es bajo (tarjetas de pago con volúmenes débiles).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25.264 (2025); 12.471 en 1S26 (+21 %)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 +21 %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con relación pedidos/ventas de 1,24 en 2025, más de 1,2 por séptimo año [A1, A3].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52.434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2,4 años de ventas; la de Defensa, 41.100 M (3,2 años). Sin el F126 retirado en junio [A3].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(2025); 12,5 %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12,6-12,8 %; objetivo 2028 13-14 % [A1, A3].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Free cash-flow operativo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 (2025); 1.865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beneficio neto ajustado del 128 % en 2025; guía 2026 100-110 % [A1, A3].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 (2025); 4,82 en 1S26 (+13 %)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la contribución temporal al impuesto de sociedades en Francia (75 M en 2025, 57 M en 1S26) [A1, A3].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ajustado de Ciber y Digital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pierde margen en pagos e identidad; Ciber estable en 14 % [A3].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equipamiento de defensa (electrónica, sistemas y armamento) de los países de la OTAN y de sus aliados exportadores, más la aviónica y el espacio institucional. Como referencia de tamaño usamos el gasto militar de SIPRI, que incluye personal y operaciones; el equipamiento es entre un 20 % y un 35 % de él según el país [B1, B4]. Thales vende el 62 % en Europa y el 28 % en Francia [B7].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2.887.000 M USD de gasto militar mundial en 2025; Europa 864.000 M USD (+14 %) [B1]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gasto militar mundial, SIPR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Rearme europeo (OTAN: 3,5 % + 1,5 % del PIB en 2035)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los europeos de la OTAN +14 % en 2025, el mayor aumento desde 1953 [B1]; pedidos de Thales en Europa (sin Francia) +46 % en 1S26 [B3].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aérea y antimisiles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SAMP/T NG en dos capas (OCCAR) y sistemas de vigilancia aérea para Oriente Medio en 1S26 [B3].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francés y elecciones de 2027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francés compra unos 4.500 M EUR al año a Thales (20 % de las ventas) [B2]; foros y prensa debaten un «bache» de la defensa francesa tras 2027.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Negociaciones de paz en Ucrania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prima al múltiplo del sector (Bernstein recorta objetivos el 29-sep-2026) más que a los pedidos ya firmados [B5].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Tráfico aéreo y cadencias de Airbus y Boeing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Aviónica creció en 1S26 con el aumento de las cadencias de los fabricantes [B3].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nacionales con campeones protegidos; competencia en exportación (BAE, Leonardo, Raytheon, Hensoldt). Márgenes estables del 12-14 % en defensa [B6].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estatales con poder de compra y capacidad de anular programas (F126: cargo de 450 M) [B3].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energéticos escasos; la cadena de suministro limitó entregas en 2022-2024 [B2].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habilitaciones, controles de exportación y décadas de I+D (1.328 M EUR propios en 2025) [B7]; los nuevos entran en drones y software.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Drones baratos y software sustituyen parte de las plataformas caras, pero exigen más sensores y guerra electrónica, donde Thales es fuerte.</w:t>
            </w:r>
          </w:p>
        </w:tc>
      </w:tr>
    </w:tbl>
    <w:p>
      <w:pPr>
        <w:spacing w:after="160" w:before="0"/>
      </w:pPr>
    </w:p>
    <w:p>
      <w:pPr>
        <w:pStyle w:val="Heading2"/>
      </w:pPr>
      <w:r>
        <w:t xml:space="preserve">Ciclo</w:t>
      </w:r>
    </w:p>
    <w:p>
      <w:pPr>
        <w:spacing w:after="100"/>
      </w:pPr>
      <w:r>
        <w:t xml:space="preserve">Pedidos récord y relación pedidos/ventas de 1,14 en 1S26 [B3]. El sector no siguió a la economía en 2008-09 ni en 2020 (las ventas de Thales cayeron un 7 % en 2020 por aviónica civil, no por defensa). Tras 2022 los presupuestos europeos se aceleran; el riesgo de ciclo está en los múltiplos de bolsa, que pasaron de 12-15x a más de 20x.</w:t>
      </w:r>
    </w:p>
    <w:p>
      <w:pPr>
        <w:pStyle w:val="Heading2"/>
      </w:pPr>
      <w:r>
        <w:t xml:space="preserve">Regulación</w:t>
      </w:r>
    </w:p>
    <w:p>
      <w:pPr>
        <w:spacing w:after="100"/>
      </w:pPr>
      <w:r>
        <w:t xml:space="preserve">Compromiso de la OTAN de junio de 2025 (3,5 % del PIB en defensa básica y 1,5 % en seguridad para 2035); programa europeo SAFE de préstamos para compras conjuntas y preferencia europea; ley de programación militar francesa 2024-2030. Controles de exportación (normas francesas e ITAR) que pueden frenar ventas a terceros países. En Francia, una contribución temporal al impuesto de sociedades costó 75 M EUR en 2025 y se renovó para 2026 [B2].</w:t>
      </w:r>
    </w:p>
    <w:p>
      <w:pPr>
        <w:pStyle w:val="Heading2"/>
      </w:pPr>
      <w:r>
        <w:t xml:space="preserve">Tendencias y disrupción</w:t>
      </w:r>
    </w:p>
    <w:p>
      <w:pPr>
        <w:spacing w:after="100"/>
      </w:pPr>
      <w:r>
        <w:t xml:space="preserve">La guerra de Ucrania ha desplazado la demanda hacia defensa aérea, munición, guerra electrónica y drones; Thales gana en sensores, radares y guerra electrónica. En espacio, la fusión con Airbus y Leonardo busca escala frente a SpaceX y constelaciones baratas. En Digital, las tarjetas de pago físicas pierden volumen y la identidad compite con soluciones de software. La IA entra en el tratamiento de señales y de datos de sensores, donde Thales invierte con su centro cortAIx [B2].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grupo francés de electrónica de defensa y uno de los tres mayores de Europa con BAE Systems y Leonardo; líder mundial en tarjetas e identidad (Gemalto) y uno de los dos grandes fabricantes europeos de satélites (Thales Alenia Space) [B2].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europeo; capitalización 64.618 M EUR, PER NTM 21,6x [B4].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LDO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helicópteros y espacio (socio de Thales en Thales Alenia Space y en Bromo); PER NTM 17,0x [B4].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Munición y vehículos; crecimiento del 40 % y PER NTM 20,5x [B4].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Sensores y radares, competidor directo en electrónica; PER NTM 39,1x [B4].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 B</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guerra electrónica y aviones; PER NTM 33,1x [B4].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RTX (Raytheon)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defensa aérea y radares en exportación.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 algo en estándares de identidad y pagos.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integrados en plataformas con 30-40 años de vida (Rafale, fragatas, radares); el soporte y la modernización vuelven al mismo proveedor. Cartera de Defensa de 41.100 M, 3,2 años de ventas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Habilitaciones de seguridad, controles de exportación y 1.328 M de I+D propia al año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clara: margen EBIT ajustado de defensa del 13,2 % en línea con BAE y por encima de Leonardo [B6,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nacionales que solo admiten uno o dos proveedores por sistema; el Estado francés es accionista y cliente de 4.500 M al año [B2].</w:t>
            </w:r>
          </w:p>
        </w:tc>
      </w:tr>
    </w:tbl>
    <w:p>
      <w:pPr>
        <w:spacing w:after="160" w:before="0"/>
      </w:pPr>
    </w:p>
    <w:p>
      <w:pPr>
        <w:pStyle w:val="Heading2"/>
      </w:pPr>
      <w:r>
        <w:t xml:space="preserve">Amenazas</w:t>
      </w:r>
    </w:p>
    <w:p>
      <w:pPr>
        <w:spacing w:after="100"/>
      </w:pPr>
      <w:r>
        <w:t xml:space="preserve">Tres amenazas: (1) que el ciclo de rearme se frene tras un acuerdo en Ucrania o por límites fiscales en Francia (Thales vende el 28 % en Francia); (2) la entrada de empresas de software y drones (Anduril, Helsing) en la parte de mando, control y sensores baratos, donde el precio por sistema puede caer; (3) en Digital, la pérdida de volumen en tarjetas de pago y la presión de precios en identidad, que ya rebajan el margen de Ciber y Digital del 14,4 % al 10,9 % en un año [B3]. Probabilidad media en (1) y (3), baja a cinco años en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2020-2025: ingresos </w:t>
      </w:r>
      <w:r>
        <w:rPr>
          <w:b/>
          <w:bCs/>
        </w:rPr>
        <w:t xml:space="preserve">7,6 %</w:t>
      </w:r>
      <w:r>
        <w:t xml:space="preserve">, EBITDA </w:t>
      </w:r>
      <w:r>
        <w:rPr>
          <w:b/>
          <w:bCs/>
        </w:rPr>
        <w:t xml:space="preserve">12,7 %</w:t>
      </w:r>
      <w:r>
        <w:t xml:space="preserve">, BPA </w:t>
      </w:r>
      <w:r>
        <w:rPr>
          <w:b/>
          <w:bCs/>
        </w:rPr>
        <w:t xml:space="preserve">29,1 %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17.569 M en 2022 a 22.136 M en 2025 (+7,6 % en 2025 y +8,8 % orgánico), casi todo orgánico: las compras de 2023 (Imperva [27], Cobham) añadieron unos 600 M al año y la venta de Transporte, que sale del perímetro desde 2022, restó 1.600 M [1, 5]. El margen EBIT ajustado sube de 11,0 % en 2022 a 12,4 % en 2025 por volumen en Defensa y la recuperación del espacio (Aeroespacial del 7,1 % al 9,5 %), mientras Ciber y Digital baja del 14,5 % al 13,7 % [1]. El EBITDA publicado (sin participadas) fue de 3.219 M en 2025 con los no recurrentes devueltos, un 14,5 % de las ventas. 2023 y 2024 no son comparables en el beneficio publicado: llevan 388 M y 437 M de partidas no recurrentes (cesiones, deterioros y costes de pensiones) y 2024 suma 412 M de la plusvalía de Transporte [1, 4].</w:t>
      </w:r>
    </w:p>
    <w:p>
      <w:pPr>
        <w:pStyle w:val="Heading2"/>
      </w:pPr>
      <w:r>
        <w:t xml:space="preserve">Ajustes y partidas no recurrentes</w:t>
      </w:r>
    </w:p>
    <w:p>
      <w:pPr>
        <w:spacing w:after="100"/>
      </w:pPr>
      <w:r>
        <w:t xml:space="preserve">Thales publica un EBIT y un beneficio neto «ajustados» que excluyen la amortización de los activos reconocidos en las compras (395 M en 2025), los resultados de cesiones y deterioros, la variación de valor de derivados de cambio, las pérdidas actuariales de prestaciones a largo plazo y, desde 2025, el efecto del precio de la acción en los planes de incentivos [1, 2]. El BPA ajustado fue de 9,76 EUR en 2025 frente a 8,15 publicado; la diferencia es casi toda la amortización de compras (302 M después de impuestos), que se repite cada año pero baja al envejecer las compras. Usamos el BPA ajustado para el objetivo a 12 meses porque es el que usan el consenso y la historia del PER, y lo decimos. La contribución temporal al impuesto de sociedades francés (75 M en 2025, 57 M en el 1S26) sí está dentro del ajustado [1,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1S26 (23-jul-2026) la dirección destacó pedidos de 12.471 M (+21 %, relación pedidos/ventas de 1,14), con 18 contratos de más de 100 M, y un crecimiento orgánico de las ventas del 7,8 % (9,6 % sin la anulación de dos satélites geoestacionarios, que restó unos 150 M) [3]. El margen EBIT ajustado subió al 12,5 % (Defensa 13,8 %, Aeroespacial 10,4 %), pero Ciber y Digital cayó al 10,9 % por pagos e identidad. El flujo de caja libre operativo de 1.865 M fue excepcional por el calendario de cobros. La empresa ya había subido el 3-jul la guía de pedidos (&gt; 1,1) y de conversión de caja (100-110 %) y confirmó crecimiento orgánico del 6-7 % y margen del 12,6-12,8 % [3, 9]. Frente a la conferencia anual de marzo, el discurso cambió en dos puntos: aparece el cargo de 450 M por la anulación alemana de las F126 (que la empresa reclamará) y el Digital pasa de «estable» a «contexto difícil». Las preguntas repetidas fueron la sostenibilidad de la caja tras un semestre atípico, el margen de Digital y el calendario de la fusión espacial (Bromo); la dirección no dio cifra de margen de Digital para el año ni detalle del impacto de Bromo en el BPA. Próxima cita: ventas del 3T el 22-oct-2026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Transporte (vendido a Hitachi Rail en 2024) pasa a actividad interrumpida desde 2022: 2020-2021 incluyen sus ventas (unos 1.600 M) y 2022-2025 no.; 2023: Compras de Imperva (EV 3.600 M USD, desde dic-23), Cobham Aerospace Communications y Tesserent: el fondo de comercio sube de 5.470 a 8.940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bajó de 4.000 M en 2023 (tras Imperva) a 1.618 M en 2025 y 519 M en junio de 2026 [1, 3], por la caja de la venta de Transporte (1.520 M netos en 2024) y un flujo libre de 2.577 M en 2025. El circulante comercial con contratos es muy negativo (−25,7 % de las ventas en 2025, frente a −22,1 % en 2024): los clientes financian la producción. Es una fortaleza mientras los pedidos crecen y un riesgo si se frenan. Los vencimientos son cómodos: 1.907 M en 2026 (ya pagada parte) y 500 M en 2027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10.631</w:t>
      </w:r>
      <w:r>
        <w:t xml:space="preserve">, conversión </w:t>
      </w:r>
      <w:r>
        <w:rPr>
          <w:b/>
          <w:bCs/>
        </w:rPr>
        <w:t xml:space="preserve">156 %</w:t>
      </w:r>
      <w:r>
        <w:t xml:space="preserve"> del beneficio neto; adquisiciones 5.252, dividendos 3.188, recompras 1.198.</w:t>
      </w:r>
    </w:p>
    <w:p>
      <w:pPr>
        <w:spacing w:after="100"/>
      </w:pPr>
      <w:r>
        <w:t xml:space="preserve">Thales convierte en caja más de lo que gana: el flujo de caja libre operativo fue el 128 % del beneficio neto ajustado en 2025 y más del 100 % por sexto año seguido [1]. Con los pagos de arrendamientos, el flujo libre fue de 2.340 M en 2025 y de 1.799 M en 2024, con 1.169 M de compras y 1.520 M de cobro por Transporte en 2024 [2]. 2023 fue bajo (970 M) por la caída del circulante tras dos años de anticipos altos [4]. El capex de 746 M (3,4 % de las ventas) es sobre todo de mantenimiento y de capacidad en defensa (radares, misiles); la empresa no separa mantenimiento y crecimiento: estimación propia, dos tercios de mantenimiento, en línea con una amortización sin compras de unos 690 M. La guía de 2026 (conversión del 100-110 %) implica un segundo semestre con mucha menos caja que el primero (1.865 M).</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Audit y PricewaterhouseCoopers Audit (PwC sustituye a Forvis Mazars desde la junta de mayo de 2025)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2025 y revisión limitada del 1S26) [A2, A3]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Ernst &amp; Young y PwC con opinión favorable [2]. Lo que más conviene vigilar es el reconocimiento de ingresos por grado de avance en contratos largos: los activos por contrato (3.535 M) y las provisiones por pérdidas de contratos (dentro de 1.679 M) dependen de estimaciones; la anulación de la F126 obligó a dotar 450 M en el 1S26 [3]. Los ajustes del BPA son amplios pero coherentes en el tiempo; la amortización de compras (395 M) es un coste real del crecimiento comprado. Los indicadores del motor: Piotroski de 9 sobre 9 en 2025 (mejoran rentabilidad, liquidez y margen); Beneish de −2,71, sin señal de manipulación; Altman Z de 1,51 en «zona de riesgo», que no aplica a un contratista con circulante negativo financiado por anticipos de clientes y rating A-. Los pagos en acciones son pequeños (incentivos a largo plazo de directivos) y la autocartera compensa la dilución.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 en zona de riesgo (1,51)</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del circulante negativo por anticipos; rating A-/A2 y deuda neta de 519 M.</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Anulaciones de programas y provisiones de contratos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F126 (450 M) y dos satélites anulados (150 M de ventas) en el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del BPA amplios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ajustado supera al publicado en un 20 % (9,76 frente a 8,15) por la amortización de compras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8.531 M en 2025 (el 86 % del capital invertido medio); ha subido más de un 5 % en 2 de 5 años: compra única grande. ROIC publicado 17,0 %; sin fondo de comercio, 123,6 %.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52,9 % · </w:t>
      </w:r>
      <w:r>
        <w:rPr>
          <w:b/>
          <w:bCs/>
        </w:rPr>
        <w:t xml:space="preserve">WACC</w:t>
      </w:r>
      <w:r>
        <w:t xml:space="preserve">: 8,1 %.</w:t>
      </w:r>
    </w:p>
    <w:p>
      <w:pPr>
        <w:spacing w:after="100"/>
      </w:pPr>
      <w:r>
        <w:t xml:space="preserve">Thales crea valor: ROIC del 17,0 % en 2025 frente a un WACC del 8,08 %, 8,9 puntos de diferencia, con el capital invertido que incluye 8.531 M de fondo de comercio (el 86 % del capital). Sin fondo de comercio el negocio operativo rinde por encima del 100 % porque los clientes financian el circulante; el dato que decide es el publicado. El ROIC fue más bajo en 2023-2024 (13,0 % y 12,2 %) por las compras de Imperva y Cobham, y repuntó en 2025 con el margen y la caída del circulante. El ROIC incremental de 2020-2025 es del 52,9 %: el crecimiento orgánico de defensa necesita poco capital. El motor mueve el ROIC sobre todo por margen (EBIT ajustado del 11,0 % al 12,4 %) y no por rotación. Frente a los comparables, el ROIC de Thales supera al de Leonardo (10 %), Hensoldt (8,2 %), BAE (13,7 %) y Saab (14,6 %), y queda por debajo de Rheinmetall (18,7 %) y Lockheed (27,4 %) [18].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4.997 M + otros activos financieros corrientes 59 M a 30-jun-2026 [A3], más una línea de crédito confirmada no dispuesta de 1.500 M con vencimiento en 2028 y un programa de pagarés NEU CP [A2].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(estable); Moody’s A2 (estable) [A2]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y prestaciones a largo plazo de 1.505 M a 30-jun-2026 (1.129 M netos de impuestos en el puente), sobre todo en Reino Unido y Francia [3]. Provisiones para riesgos de 1.969 M, que incluyen pérdidas de contratos y el efecto de la F126 [3]. Los anticipos de clientes (pasivos por contrato de 12.480 M) se compensan con entregas y se quedan en el circulante, no en el puente: si los pedidos se frenan, el circulante devolvería caja a los clientes. La financiación no tiene cláusulas ligadas al rating (A-/A2) [2]. La participación del 35 % en Naval Group (en participadas, 1.669 M a valor contable) aporta unos 94 M al EBIT ajustado [1].</w:t>
      </w:r>
    </w:p>
    <w:p>
      <w:pPr>
        <w:pStyle w:val="Heading1"/>
      </w:pPr>
      <w:r>
        <w:t xml:space="preserve">12. Asignación de capital</w:t>
      </w:r>
    </w:p>
    <w:p>
      <w:pPr>
        <w:pStyle w:val="Confianza"/>
        <w:spacing w:after="100"/>
      </w:pPr>
      <w:r>
        <w:t xml:space="preserve">Confianza: Media</w:t>
      </w:r>
    </w:p>
    <w:p>
      <w:pPr>
        <w:spacing w:after="100"/>
      </w:pPr>
      <w:r>
        <w:t xml:space="preserve">Dividendo del 40 % del beneficio neto ajustado, con un pago a cuenta en diciembre (0,95 EUR en 2025) y el resto en mayo: 3,90 EUR por 2025 [1]. Recompras pequeñas y para cubrir planes de empleados (45 M en 2025; 275 M en 2024) y amortización de autocartera en 2024 (2 % del capital) [2]. Prioridades declaradas: invertir en capacidad de producción de defensa, mantener el rating A y compras selectivas; la gran operación pendiente es la aportación del espacio a la sociedad conjunta con Airbus y Leonardo (Thales 32,5 %), prevista para 2027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Gemalto (identidad digital y seguridad, Países Bajos)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Digital; en 2024 la parte de pagos e identidad pierde margen y en 1S26 el margen de Digital cae; sin deterioro del fondo de comercio de esa unidad publicado [A2, A3].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Imperva (ciberseguridad de aplicaciones y datos,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 de jun y oct-2023)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 a 6,1 veces ventas; Ciber vuelve a crecer en 2T26 (+4,5 %) con margen del 14 % [A3].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Cobham Aerospace Communications (comunicaciones de aeronaves)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Aviónica; Aeroespacial sube margen de 7,1 % a 9,5 % en 2024-2025 [A1].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Transporte a Hitachi Rail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(cobro neto de caja cedida)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en actividades interrumpidas (412 M en el beneficio de 2024) [A1].</w:t>
            </w:r>
          </w:p>
        </w:tc>
      </w:tr>
    </w:tbl>
    <w:p>
      <w:pPr>
        <w:spacing w:after="160" w:before="0"/>
      </w:pPr>
    </w:p>
    <w:p>
      <w:pPr>
        <w:spacing w:after="100"/>
      </w:pPr>
      <w:r>
        <w:t xml:space="preserve">La dirección asigna bien el capital en defensa (crecimiento orgánico con poco capital y ROIC incremental del 52,9 %) y de forma discutible en Digital: Gemalto (4.800 M en 2019) e Imperva (3.270 M en 2023, 6,1 veces ventas) dejan 8.531 M de fondo de comercio en un segmento cuyo margen cae al 10,9 % [3]. La venta de Transporte en 2024 fue acertada (sale un negocio de margen bajo). Entre 2021 y 2025 el flujo libre acumulado cubrió dividendos y recompras, y la deuda neta bajó a la mitad tras Imperva. Sin dilución: las acciones bajan de 213 a 205,5 M desde 2020.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Patrice Caine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Ingeniero del Corps des mines; entró en Thales en 2002 y en el comité ejecutivo en 2013. Con él las ventas pasaron de 13.000 a más de 22.000 M EUR y el beneficio neto ajustado de 562 a más de 2.000 M entre 2014 y 2025 [C1]. Renovado para un cuarto mandato en la junta de mayo de 2026 [C1, C4].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+4/+7 %; margen EBIT 11,5-11,8 % [C6]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+7,9 %; margen 11,6 % [C5]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+4/+6 % (19.700-20.100 M); margen 11,7-12,0 % [C5]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20.577 M; margen 11,8 % [C8]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+5/+6 %, elevado a +6/+7 % en julio; margen 12,2-12,4 % [C7]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+8,8 %; margen 12,4 % [C8]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+6/+7 % (23.300-23.600 M); margen 12,6-12,8 %; pedidos/ventas &gt; 1,1; conversión 100-110 % [C4]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orgánico +7,8 %; margen 12,5 %; pedidos/ventas 1,14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Patrice Caine dirige el grupo desde 2014 y fue renovado en 2026 para un cuarto mandato; ha cumplido o superado la guía de 2023, 2024 y 2025 y el plan a 2028 va por delante en crecimiento [1, 4, 7]. Su compra de 12.700 acciones (2,9 M EUR) en junio de 2026 a 227 EUR es una señal de confianza a precios como los de hoy [14]; la consejera A. Rigail también compró en mayo y octubre, en importes pequeños [15]. El riesgo es de sucesión: la elección del presidente depende del pacto entre el Estado y Dassault, y el URD no describe un plan de sucesión públicamente [2]. No hemos podido comprobar el director financiero ni el resto del comité ejecutivo.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Patrice Caine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RSE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francés (Alexis Zajdenweber)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Delphine Gény-Stephann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 Fontana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 Rigail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Éric Trappier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y consejero delegado de Dassault Aviation)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Loïk Segalen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Marie-Françoise Walbaum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Valérie Guillemet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Ruby McGregor-Smith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Marianna Nitsch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Loïc Rocard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Anne-Claire Taittinger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Lépinay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(representa a los empleados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Anne-Marie Hunot-Schmit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(designada por los sindicatos)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Stéphane Jubault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(designado por los sindicatos)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2025 y revisión limitada del 1S26) [A2, A3]</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francés (vía TSA, más 2.060 acciones directas y una acción específica)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público (Secteur Public)</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2024-2025; 36,35 % de los derechos de voto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Aviation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industrial (pacto con el 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29,91 % de los votos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−0,19 pp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−0,08 pp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+0,27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Anne Rigail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Patrice Caine (vía su sociedad patrimonial)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Anne Rigail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pagada al presidente y consejero delegado de 3,56 M EUR en 2025, 45 veces la media de los empleados en Francia [2]. Para 2026 el consejo sube el fijo de 1,0 a 1,1 M, el variable anual objetivo del 100 % al 150 % del fijo (máximo 225 %) e incentivos a largo plazo en acciones; justifica la subida porque el paquete estaba en el primer decil del CAC 40 [2]. El variable depende de criterios financieros (pedidos, EBIT, caja) y no financieros; el largo plazo, de rentabilidad para el accionista y caja. No hemos podido leer los votos de la junta.</w:t>
      </w:r>
    </w:p>
    <w:p>
      <w:pPr>
        <w:pStyle w:val="Heading2"/>
      </w:pPr>
      <w:r>
        <w:t xml:space="preserve">Operaciones vinculadas, estructura de control y defensas</w:t>
      </w:r>
    </w:p>
    <w:p>
      <w:pPr>
        <w:spacing w:after="100"/>
      </w:pPr>
      <w:r>
        <w:t xml:space="preserve">El Estado francés (26,6 % del capital vía TSA, con una acción específica) y Dassault Aviation (26,59 %) actúan con un pacto de accionistas: el sector público propone 5 consejeros, Dassault 4 y ambos acuerdan 4 personalidades externas y al presidente; los dos tienen voto doble y suman el 66 % de los votos [2]. No cabe una opa hostil y el Estado puede vetar cambios de control. El Estado es además el primer cliente, lo que crea una relación vinculada permanente. A favor del minoritario: dividendo del 40 % del beneficio ajustado, rating A y ausencia de ampliaciones.</w:t>
      </w:r>
    </w:p>
    <w:p>
      <w:pPr>
        <w:pStyle w:val="Heading2"/>
      </w:pPr>
      <w:r>
        <w:t xml:space="preserve">Señales de alerta</w:t>
      </w:r>
    </w:p>
    <w:p>
      <w:pPr>
        <w:pStyle w:val="ListParagraph"/>
        <w:numPr>
          <w:ilvl w:val="0"/>
          <w:numId w:val="2"/>
        </w:numPr>
        <w:spacing w:after="60"/>
      </w:pPr>
      <w:r>
        <w:t xml:space="preserve">El Estado francés y Dassault Aviation controlan el 53,2 % del capital y el 66 % de los votos con un pacto que reparte 9 de 14 puestos del consejo y elige de común acuerdo al presidente [C1].</w:t>
      </w:r>
    </w:p>
    <w:p>
      <w:pPr>
        <w:pStyle w:val="ListParagraph"/>
        <w:numPr>
          <w:ilvl w:val="0"/>
          <w:numId w:val="2"/>
        </w:numPr>
        <w:spacing w:after="60"/>
      </w:pPr>
      <w:r>
        <w:t xml:space="preserve">Presidente y consejero delegado en la misma persona, sin consejero coordinador independiente; solo 4 independientes de 16 [C1].</w:t>
      </w:r>
    </w:p>
    <w:p>
      <w:pPr>
        <w:pStyle w:val="ListParagraph"/>
        <w:numPr>
          <w:ilvl w:val="0"/>
          <w:numId w:val="2"/>
        </w:numPr>
        <w:spacing w:after="60"/>
      </w:pPr>
      <w:r>
        <w:t xml:space="preserve">El Estado es a la vez accionista de control y el primer cliente (unos 4.500 M EUR de ventas en 2025) [C1].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confirmada el 23-jul-2026: relación pedidos/ventas &gt; 1,1 (subida el 3-jul), crecimiento orgánico de las ventas del 6-7 % (23.300-23.600 M), margen EBIT ajustado del 12,6-12,8 % y conversión del beneficio ajustado en caja libre del 100-110 % (subida el 3-jul) [3]. Plan a 2028 (día del inversor de 2024): crecimiento orgánico del 5-7 % anual en 2024-2028, que la empresa dice que alcanzará en la parte alta, margen EBIT ajustado del 13-14 % en 2028 y conversión media del 95-105 %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la empresa a 15-jul-2026 (16 casas; BPA y EBIT ajustados) [D2]; DPA de MarketScreener [D3]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la empresa a 15-jul-2026 [D2]; DPA de MarketScreener [D3]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la empresa a 15-jul-2026 [D2]; DPA de MarketScreener [D3]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293,61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consenso que publica la empresa (16 casas, 15-jul-2026) da un BPA ajustado de 10,53 EUR en 2026, 12,20 en 2027 y 13,97 en 2028 [17]; el semestre batió lo esperado (4,82 frente a 4,42), así que el BPA de 2026 debería haber subido algo. En cambio, los objetivos de precio bajan: Bernstein de 290 a 250 EUR y UBS de 390 a 330 [29, 30], por menor múltiplo del sector y no por menor beneficio. El objetivo medio de 18 analistas es de 293,61 EUR [13]. MarketScreener mezcla BPA publicado y ajustado; usamos el de la empresa.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subió un 59,5 % en 2022 y un 65,7 % en 2025 con el rearme europeo, y desde su máximo de 274,20 EUR (12-ene-2026) ha bajado un 18 %, hasta un mínimo de 211,90 EUR el 8-oct [16]. En un año pierde un 11,5 % frente a un −2,5 % del CAC 40 y un +32,8 % del índice industrial europeo: la caída es de la prima del sector defensa (negociaciones en Ucrania, recortes de objetivos de Bernstein y UBS) y de hechos propios (F126, satélites anulados, margen de Digital), no del beneficio, que sube un 13 % en el semestre [3, 29]. La beta es baja frente al CAC 40 (0,26 mensual a 5 años; 0,96 semanal a 2 años), porque la defensa se mueve con la geopolítica y no con la economía; volatilidad del 30,2 %.</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publicado, la acción cotiza a 30,8 veces el beneficio de los últimos 12 meses (percentil 83 de seis años) y a 13,5 veces el EBITDA, con una prima del 23 % sobre su media; el BPA publicado de 2024-2026 está deprimido por partidas no recurrentes. Con el BPA ajustado, el PER adelantado (cierre de cada año ÷ BPA del año siguiente) fue de 16,2x en 2017, 15,4x en 2018, 11,7x en 2020, 10,2x en 2021, 14,1x en 2022, 14,5x en 2023, 14,2x en 2024 y 22,1x en 2025; hoy es de 18,9x sobre nuestro BPA de 2027. El cambio estructural es el rearme europeo desde 2022, que ha subido el crecimiento y la visibilidad; la pregunta es si el múltiplo de 2025 (22x) era el nuevo normal o un exceso.</w:t>
      </w:r>
    </w:p>
    <w:p>
      <w:pPr>
        <w:pStyle w:val="Heading1"/>
      </w:pPr>
      <w:r>
        <w:t xml:space="preserve">18. Comparables cotizados</w:t>
      </w:r>
    </w:p>
    <w:p>
      <w:pPr>
        <w:pStyle w:val="Confianza"/>
        <w:spacing w:after="100"/>
      </w:pPr>
      <w:r>
        <w:t xml:space="preserve">Confianza: Media</w:t>
      </w:r>
    </w:p>
    <w:p>
      <w:pPr>
        <w:spacing w:after="100"/>
      </w:pPr>
      <w:r>
        <w:t xml:space="preserve">Ocho grupos de defensa con electrónica y sistemas, de la ficha sectorial [11]: cinco europeos (BAE Systems, Leonardo, Rheinmetall, Hensoldt, Saab) y tres estadounidenses (Lockheed Martin, General Dynamics, L3Harris). Descartamos Airbus y Safran (aviación civil), Dassault Aviation (accionista y cliente de Thales, aviones) y Kongsberg e Indra (ya analizadas, con otra mezcla). No hay comparable puro de Ciber y Digital con defensa. Cifras de la ficha sectorial del 15-oct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Dynamics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14,5x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 / 19,6x / 24,5x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2,2x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Thales cotiza a 19,0 veces el BPA de los próximos 12 meses, por debajo de la mediana de 19,6 de los ocho comparables y de los europeos (BAE 21,6x, Rheinmetall 20,5x, Saab 33,1x, Hensoldt 39,1x), y por encima de los estadounidenses (Lockheed 16,5x, General Dynamics 18,6x, L3Harris 18,4x) y de Leonardo (17,0x). Crece menos que los europeos (8,1 % frente a 14-40 %) con mejor margen EBITDA (14,9 %) y rentabilidad de flujo libre (8,0 %, frente a 0,9-8,6 %). Los múltiplos implican un valor de 231,63 EUR por PER y de 240,54 por EV/EBITDA LTM (medianas). La prima de los europeos refleja su crecimiento; frente a los estadounidenses, de crecimiento parecido, Thales está algo cara. Usaríamos 19-20 veces, que es lo que aplica la regla en el alcista.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Ball Aerospace (sistemas 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BAE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5.600 M USD; 19,6 veces el EBITDA comparable de los últimos 12 meses según el vendedor [D7].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Aerojet Rocketdyne (motores de misiles,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L3Harris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4.700 M USD con deuda neta; 16,5 veces el EBITDA ajustado; prima del 37 % [D8].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Meggitt (componentes aeroespaciales y de defensa,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Hannifin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7.100 M GBP, 16,3 veces el EBITDA de 2019; prima del 70,5 % [D9].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 (electrónica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14 veces el EBITDA 2024e antes de sinergias [D10].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operador de satélites,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 satélites, no fabricante: múltiplo de infraestructura [D11].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Vehicles y Astra (vehículos militares,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 de 15,7 veces; EBITDA no publicado [D12].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Imperva (ciberseguridad,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veces las ventas de 2024e [D13].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16,3x (14,0x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232,25 – 273,71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electrónica y sistemas de defensa se pagaron a 14-20 veces el EBITDA (Ball Aerospace 19,6x, Aerojet 16,5x, Meggitt 16,3x, ESG 14x) [21, 22, 23, 24]; Hispasat (6,9x) [25] es un operador, no un fabricante; Iveco Defence es la referencia europea más reciente de vehículos [26], y la mediana de las transacciones da 270,39 EUR por acción. Son precios de control con sinergias; Thales no puede ser comprada (el Estado y Dassault tienen el 53 %), así que no ponderamos este método. Sirven para dos cosas: valorar el 32,5 % del futuro grupo espacial y comprobar que el mercado no paga hoy por Thales más que un comprador por negocios parecidos.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+6,2 % en 2026, en el centro de la guía (23.300-23.600 M, con un efecto divisa de algo más de un punto) [3]; +8 % en 2027 y 2028, en línea con el consenso (+8,3 % y +8,6 %) [17] y apoyado en una cartera de Defensa de 3,2 años de ventas y pedidos del 1S26 +21 %; después baja al 3 % en 2032. La historia: TCAC del 7,6 % en 2020-2025 (con Transporte fuera desde 2022). El gasto militar europeo creció un 14 % en 2025 [10]. El supuesto más exigente es mantener el 8 % dos años con el espacio en transición.</w:t>
      </w:r>
    </w:p>
    <w:p>
      <w:pPr>
        <w:keepNext/>
        <w:spacing w:after="100"/>
      </w:pPr>
      <w:r>
        <w:rPr>
          <w:b/>
          <w:bCs/>
        </w:rPr>
        <w:t xml:space="preserve">Márgenes.</w:t>
      </w:r>
    </w:p>
    <w:p>
      <w:pPr>
        <w:spacing w:after="100"/>
      </w:pPr>
      <w:r>
        <w:t xml:space="preserve">Margen EBITDA (sin participadas) del 15,0 % en 2026, que equivale al centro de la guía de EBIT ajustado (12,6-12,8 %), y subida hasta el 16,1 % en 2030, equivalente a un EBIT ajustado del 13,5-13,8 %, dentro del objetivo de 13-14 % para 2028 [2]. Precedente: el margen EBIT ajustado subió 1,4 puntos en 2022-2025; el consenso supone 13,6 % en 2028 [17]. No suponemos mejora de Digital.</w:t>
      </w:r>
    </w:p>
    <w:p>
      <w:pPr>
        <w:keepNext/>
        <w:spacing w:after="100"/>
      </w:pPr>
      <w:r>
        <w:rPr>
          <w:b/>
          <w:bCs/>
        </w:rPr>
        <w:t xml:space="preserve">Inversión y circulante.</w:t>
      </w:r>
    </w:p>
    <w:p>
      <w:pPr>
        <w:spacing w:after="100"/>
      </w:pPr>
      <w:r>
        <w:t xml:space="preserve">Capex del 4,3 % de las ventas: 3,4 % de inversión neta de explotación (2025) y 0,9 % de altas de derechos de uso, porque los arrendamientos están en la deuda (NIIF 16) [2]. La amortización baja del 4,9 % al 3,7 % de las ventas al terminar la de los activos de compras (395 M en 2025, unos 300 M en 2026). Circulante del −25 % de las ventas en 2026 (−25,7 % en 2025) que se reduce al −23 % en 2030: los anticipos pesan algo menos al madurar el ciclo de pedidos, lo que consume caja.</w:t>
      </w:r>
    </w:p>
    <w:p>
      <w:pPr>
        <w:keepNext/>
        <w:spacing w:after="100"/>
      </w:pPr>
      <w:r>
        <w:rPr>
          <w:b/>
          <w:bCs/>
        </w:rPr>
        <w:t xml:space="preserve">Coste del capital.</w:t>
      </w:r>
    </w:p>
    <w:p>
      <w:pPr>
        <w:spacing w:after="100"/>
      </w:pPr>
      <w:r>
        <w:t xml:space="preserve">Tasa libre del 3,51 % (Bund a 10 años del 14-oct) [19]; beta de 0,95, cerca de la semanal a dos años frente al CAC 40 (0,96) y de la del sector aeroespacial y defensa, porque la mensual a cinco años (0,26) está deprimida por un negocio que no sigue al mercado; prima del 5,5 %, sin prima adicional (rating A-, 62 % de las ventas en Europa); coste de la deuda del 3,5 % antes de impuestos y peso de la deuda del 10,8 % a valor de mercado. WACC del 8,08 %. Con la prima implícita de Damodaran (4,2 %) el WACC sería del 6,97 % [20].</w:t>
      </w:r>
    </w:p>
    <w:p>
      <w:pPr>
        <w:keepNext/>
        <w:spacing w:after="100"/>
      </w:pPr>
      <w:r>
        <w:rPr>
          <w:b/>
          <w:bCs/>
        </w:rPr>
        <w:t xml:space="preserve">Valor terminal.</w:t>
      </w:r>
    </w:p>
    <w:p>
      <w:pPr>
        <w:spacing w:after="100"/>
      </w:pPr>
      <w:r>
        <w:t xml:space="preserve">Gordon con un crecimiento del 2,25 %: 2 % de inflación del euro más algo de crecimiento real, por debajo de la tasa libre menos medio punto (3,0 %). El valor terminal es el 72 % del valor. Implica unas 11 veces el EBITDA terminal, por debajo de las 13,5 veces de hoy y de los 11,8-12,0 de los comparables europeos grandes en el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318,04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(reinvierte el 35 %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 (histórico: 52,9 %)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frente al 5,9 %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-1.625 M, con un capex bruto medio del 4,1 % de las ventas). En un negocio de activos ligeros, el crecimiento medio del 5,9 %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Defensa (ventas +13 % en 1S26 con más capacidad en sensores y efectores) y aviónica; precio +2 % por revisiones contractuales; otros −1,3 % por divisa y por la anulación de dos satélites (−150 M)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la cartera de Defensa (41.100 M, 3,2 años de ventas) y pedidos del 1S26 +21 %; precio +2 %; consenso +8,3 % [3,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consenso +8,6 %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hacia el crecimiento del gasto europeo.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mercado (6 % nominal) con algo menos de cuota en Digital.</w:t>
            </w:r>
          </w:p>
        </w:tc>
      </w:tr>
    </w:tbl>
    <w:p>
      <w:pPr>
        <w:spacing w:after="160" w:before="0"/>
      </w:pPr>
    </w:p>
    <w:p>
      <w:pPr>
        <w:spacing w:after="100"/>
      </w:pPr>
      <w:r>
        <w:t xml:space="preserve">La calidad sostiene el crecimiento proyectado. Las tres pruebas: (1) el crecimiento medio del 5,9 % está por debajo del histórico (7,6 %) y del que financia la reinversión bruta al ROIC actual (5,9 % con el 35 % del NOPAT); el motor coincide en «Sí»; (2) la proyección supone un rendimiento del 21,8 % para la reinversión, por debajo del ROIC incremental histórico (52,9 %); (3) la cuota se prueba a mano: las ventas de Defensa (12.234 M) crecerían hasta unos 18.000 M en 2030, frente a un gasto de los europeos de la OTAN de 559.000 M USD en 2025 que crece al 6-8 % anual [10]: la cuota apenas cambia. El poder de precios está en el margen de Defensa (12,8 % → 13,8 % en el 1S26) y la cartera de 3,2 años da visibilidad [3]. No hace falta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16,1 %)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8,1 %)</w:t>
            </w:r>
          </w:p>
        </w:tc>
      </w:tr>
    </w:tbl>
    <w:p>
      <w:pPr>
        <w:spacing w:after="160" w:before="0"/>
      </w:pPr>
    </w:p>
    <w:p>
      <w:pPr>
        <w:spacing w:after="100"/>
      </w:pPr>
      <w:r>
        <w:t xml:space="preserve">El DCF da 241,56 EUR por acción, un 7,5 % sobre el precio de 224,70, con el valor terminal en el 72 %. El DCF inverso dice que a este precio el mercado descuenta un crecimiento del 4,8 % anual en 2027-2032 (nuestro base: 5,8 %) o un margen EBITDA del 15,2 % (nuestro base: 16,1 %), y una rentabilidad implícita del 8,5 % frente a nuestro WACC del 8,08 %. Es un precio razonable, no exigente: pide menos crecimiento que la guía de la empresa (5-7 % orgánico hasta 2028) y que el gasto europeo, y un margen que la empresa ya casi tiene. Con la prima del mercado (4,2 %) el valor sería de 298,07 EUR. La conclusión es que el precio descuenta algo menos de lo que esperamos, pero no lo bastante menos para dar una rentabilidad alta: el margen de seguridad es pequeño.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el fuego en Ucrania y recorte del presupuesto francés tras 2027: los pedidos de Defensa se estancan, Digital sigue cayendo y el espacio pierde contratos. Crecimiento 3 puntos menor y margen 1,2 puntos más bajo, en el nivel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ventas +8 % en 2027-2028 con la cartera de Defensa y margen EBIT ajustado hacia el 13,5 % en 2028, dentro del objetivo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rearme europeo acelera (OTAN 3,5 %), defensa aérea y radares crecen a doble dígito y Digital se estabiliza: crecimiento 1,5 puntos mayor y margen 0,5 puntos más alto, en la parte alta del objetivo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24,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234,18 EUR (+4,2 %).</w:t>
      </w:r>
    </w:p>
    <w:p>
      <w:pPr>
        <w:spacing w:after="100"/>
      </w:pPr>
      <w:r>
        <w:t xml:space="preserve">La asimetría del valor intrínseco es equilibrada: el bajista vale 175,41 EUR (−21,9 %) y el alcista 278,18 (+23,8 %), asimetría de 1,09. A 12 meses es desfavorable: con la regla de múltiplos el bajista da 116,28 EUR (PER de 10,2x, el mínimo de cinco años, de 2021) y el alcista 280,28; la ponderada es del −3,0 %. El bajista a 12 meses es duro porque une un BPA un 15 % menor con el múltiplo previo al rearme; es verosímil (la acción cotizó a 75 EUR en 2021), pero exige a la vez paz, recortes y un sector desrateado. No compensa: se arriesga más de lo que se gana en un año.</w:t>
      </w:r>
    </w:p>
    <w:p>
      <w:pPr>
        <w:pStyle w:val="Heading1"/>
      </w:pPr>
      <w:r>
        <w:t xml:space="preserve">22. Suma de partes</w:t>
      </w:r>
    </w:p>
    <w:p>
      <w:pPr>
        <w:pStyle w:val="Confianza"/>
        <w:spacing w:after="100"/>
      </w:pPr>
      <w:r>
        <w:t xml:space="preserve">Confianza: Media</w:t>
      </w:r>
    </w:p>
    <w:p>
      <w:pPr>
        <w:spacing w:after="100"/>
      </w:pPr>
      <w:r>
        <w:t xml:space="preserve">No la usamos como método: los tres segmentos comparten tecnología, clientes estatales y balance, y no hay comparables puros de Ciber y Digital con defensa. La fusión espacial de 2027 cambiará el perímetro; la valoraremos cuando se publiquen los términos.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24,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236,37 EUR (+5,2 % sobre 224,70).</w:t>
      </w:r>
    </w:p>
    <w:p>
      <w:pPr>
        <w:spacing w:after="100"/>
      </w:pPr>
      <w:r>
        <w:t xml:space="preserve">Pesos: DCF 40 %, comparables 30 % y escenarios 30 %; transacciones 0 % porque Thales no es comprable (el Estado y Dassault tienen el 53 %). El DCF es el método más fiable para un negocio con cartera de 2,4 años y caja estable; los comparables (PER de 19,6x de mediana) recogen el precio del sector hoy, que está alto frente a su historia. La dispersión es moderada: de 175,41 (escenario bajista) a 278,18 (alcista), con el DCF en 241,56, los comparables por PER en 231,63 y las transacciones en 270,39. El valor intrínseco ponderado es de 236,37 EUR, un 5,2 % sobre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(18.9x) ÷ 1.1 (tope: la mediana de 5 años, 14.2x,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bl>
    <w:p>
      <w:pPr>
        <w:spacing w:after="160" w:before="0"/>
      </w:pPr>
    </w:p>
    <w:p>
      <w:pPr>
        <w:spacing w:after="100"/>
      </w:pPr>
      <w:r>
        <w:rPr>
          <w:b/>
          <w:bCs/>
        </w:rPr>
        <w:t xml:space="preserve">Objetivo a 12 meses (ponderado):</w:t>
      </w:r>
      <w:r>
        <w:t xml:space="preserve"> 213,95 EUR · rentabilidad -3,0 % (base +3,9 %) · señal Mantener.</w:t>
      </w:r>
    </w:p>
    <w:p>
      <w:pPr>
        <w:spacing w:after="100"/>
      </w:pPr>
      <w:r>
        <w:t xml:space="preserve">Para comparar, con la regla v2 (historia al cierre, mismo precio): 11,7x / 15,8x / 19,6x, -5,3 % Mantener; con el tope anterior del base (×1,3, 14-oct mediodía): -5,4 %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2028 (13,35 EUR) está un 4,4 % por debajo del consenso (13,97) [17]: suponemos el mismo crecimiento de ventas y medio punto menos de margen hasta ver Digital estabilizado. La diferencia grande es de múltiplo: nuestro base (229,62 EUR) aplica 17,2 veces y queda un 21,8 % por debajo del objetivo medio de los analistas (293,61), que equivale a unas 21 veces el BPA de 2028 descontado o a más de 24 veces el de 2027. Los analistas suponen que el sector mantiene los múltiplos de 2025; la regla común supone que el PER se acerca a su historia, como ha empezado a pasar.</w:t>
      </w:r>
    </w:p>
    <w:p>
      <w:pPr>
        <w:keepNext/>
        <w:spacing w:after="100"/>
      </w:pPr>
      <w:r>
        <w:rPr>
          <w:b/>
          <w:bCs/>
        </w:rPr>
        <w:t xml:space="preserve">Del valor intrínseco al objetivo a 12 meses.</w:t>
      </w:r>
    </w:p>
    <w:p>
      <w:pPr>
        <w:spacing w:after="100"/>
      </w:pPr>
      <w:r>
        <w:t xml:space="preserve">El valor intrínseco (236,37 EUR) está un 10 % por encima del objetivo a 12 meses (213,95). La distancia sale del múltiplo: el DCF valora el flujo de caja con un WACC del 8,08 % y la regla a 12 meses aplica un PER base de 17,2x que todavía está por encima de la mediana adelantada de 14,2x. Para cerrarla haría falta que el beneficio siga creciendo un 11-13 % al año sin que el múltiplo baje más, algo que puede pasar si la guía de 2027 (marzo de 2027) confirma el margen hacia el 13-14 %. La tesis es de varios años, no de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pedidos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2026 y de los pedidos (&gt; 1,1 de relación pedidos/ventas); primera lectura del Digital en el segundo semestre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finanzas francesa de 2027 y presupuesto de defensa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francés es el 20 % de las ventas; cualquier recorte o retraso pesa en los pedidos de 2027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(en torno a 1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Pequeño apoyo; muestra la confianza en la caja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hacia el 13-14 % de 2028 y la caja tras un 2026 atípico.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fusión espacial (Bromo) con Airbus y Leonardo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un negocio de margen bajo y entra un 32,5 % de una sociedad de 6.500 M de ventas; puede liberar valor o diluir margen según los términos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Negociaciones Rusia-Ucrania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restaría prima al sector (no a los pedidos ya firmados).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Elecciones presidenciales francesas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sobre la ley de programación militar y el presupuesto.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del sector defensa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a −48 % (bajista a 12 meses con el PER de 10,2x de 2021)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un 11 % al año y caja alta; el PER ya ha bajado de 22x a 19x.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16x sin bajada del BPA; acuerdo de paz en Ucrania.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y elecciones en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Exportación (Oriente Medio +36,7 % en 1S26) y resto de Europa (+20 % en 2025)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la ley de programación militar o de los pedidos de la DGA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Anulaciones de programas y sobrecostes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(18 pedidos de más de 100 M en el 1S26)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pérdidas de contratos al alza; otra anulación tras la F126.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Ciber y Digital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(8.531 M de fondo de comercio, en buena parte de Gemalto e Imperva)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 crece de nuevo (+4,5 % en 2T26) con margen del 14 %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Digital por debajo del 10 %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Espacio: fusión Bromo y anulaciones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espacio en mejora; la fusión saca el negocio más débil del perímetro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Términos de la fusión y valoración del 32,5 %.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circulante (anticipos)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récord que renuevan los anticipos.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caja por debajo del 80 % o pasivos por contrato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Controles de exportación y dependencia de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por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Bloqueos de licencias de exportación.</w:t>
            </w:r>
          </w:p>
        </w:tc>
      </w:tr>
    </w:tbl>
    <w:p>
      <w:pPr>
        <w:spacing w:after="160" w:before="0"/>
      </w:pPr>
    </w:p>
    <w:p>
      <w:pPr>
        <w:pStyle w:val="Heading2"/>
      </w:pPr>
      <w:r>
        <w:t xml:space="preserve">Pre-mortem</w:t>
      </w:r>
    </w:p>
    <w:p>
      <w:pPr>
        <w:spacing w:after="100"/>
      </w:pPr>
      <w:r>
        <w:t xml:space="preserve">Octubre de 2029: la acción ha perdido un 40 %. En 2027 un alto el fuego en Ucrania y un gobierno francés que priorizó el déficit recortaron la ley de programación militar; la DGA retrasó pedidos y el sector entero bajó de 20 a 12 veces el beneficio, como estaba en 2021. A la vez, la fusión espacial dejó a Thales con un 32,5 % de una sociedad con pérdidas, y Digital siguió perdiendo margen con las tarjetas en declive y la competencia de soluciones de identidad basadas en software y en IA: el consejo deterioró parte de los 8.531 M de fondo de comercio de Gemalto e Imperva. El BPA ajustado de 2028 se quedó en 11 EUR en vez de 13,35 y el múltiplo en 12x: 132 EUR. Los indicadores que lo habrían anticipado: la relación pedidos/ventas de Defensa por debajo de 1,0 en 2027, la conversión de caja por debajo del 80 % (los anticipos se giran) y el margen de Ciber y Digital por debajo del 10 % durante dos semestres.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 3-5 años</w:t>
      </w:r>
    </w:p>
    <w:p>
      <w:pPr>
        <w:spacing w:after="100"/>
      </w:pPr>
      <w:r>
        <w:t xml:space="preserve">La IA toca a Thales por dos lados. Es oportunidad en Defensa (55 % de las ventas): el tratamiento de señales de radar, guerra electrónica y fusión de datos de sensores son tareas donde la IA aumenta el valor de los datos y sistemas propios; Thales invierte con su centro cortAIx y vende sistemas cada vez más automatizados [2]. Es amenaza en Ciber y Digital (17 %): la IA cambia la seguridad de aplicaciones (Imperva compite con plataformas nativas de IA) y la identidad, y puede abaratar productos de software donde Thales no tiene coste de cambio. En costes, la IA puede mejorar la productividad de 85.000 empleados, muchos ingenieros. Neto, el efecto es pequeño frente a los presupuestos de defensa. Señales: crecimiento de Ciber por debajo del 0 % durante dos semestres, o contratos de defensa adjudicados a empresas de software (Anduril, Helsing) en vez de a contratistas tradicionales.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ética de las exportaciones de armamento (controles, clientes de Oriente Medio y Asia: 16 % de las ventas en emergentes con crecimiento del 36,7 % en Oriente Medio en 1S26) [B3], la ciberseguridad propia (Thales vende seguridad: un incidente grave dañaría la marca) y la exclusión de algunos fondos ESG del sector defensa, que limita la base de inversores aunque se ha suavizado desde 2022.</w:t>
      </w:r>
    </w:p>
    <w:p>
      <w:pPr>
        <w:pStyle w:val="Heading2"/>
      </w:pPr>
      <w:r>
        <w:t xml:space="preserve">Controversias</w:t>
      </w:r>
    </w:p>
    <w:p>
      <w:pPr>
        <w:spacing w:after="100"/>
      </w:pPr>
      <w:r>
        <w:t xml:space="preserve">El programa interno de cumplimiento abrió investigación en 109 alertas en 2025 [B2]. El litigio más relevante es comercial: la reclamación a Alemania por la anulación de las fragatas F126 (cargo de 450 M en el 1S26) [B3]. No hemos verificado en fuentes primarias el estado de las investigaciones judiciales sobre contratos de exportación de las que se ha hecho eco la prensa; queda como pregunta abierta.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valor y qué margen tendrá el 32,5 % de la sociedad espacial común y cómo cambia el BPA de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perímetro un negocio de 2.000-2.500 M de ventas; no está en nuestro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flujo de 1.865 M del 1S26 es adelanto de cobros que se devolverá en 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implica un 2S con poca caja; afecta al puente y a la conversión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riesgo de deterioro del fondo de comercio de pagos e identidad con el margen en el 10,9 %?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los 8.531 M de fondo de comercio viene de Gemalto e Imperva.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52.434 M depende de la ley de programación militar francesa y de los pedidos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francés es el 20 % de las ventas y hay elecciones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F126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compensación espera de Alemania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posible de parte del cargo de 450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palancas llevan el margen al 13-14 % con Digital a la baja?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13,5 %; el alcista, 14 %.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procedimientos judiciales abiertos sobre contratos de exportación y qué riesgo de multa tienen?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lo hemos podido comprobar en fuentes primarias.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Thales)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40 hilos de julio a octubre: frustración por las rachas de caídas («13 sesiones de baja», «¿por qué baja sin lógica?», «desamor»), dudas por las elecciones presidenciales de 2027 y peticiones de «grandes contratos»; a la vez, objetivos de 300-330 EUR y compras en las caídas [E1].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francesa (comentarios y crónicas)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Bernstein rebaja el objetivo de 290 a 250 EUR (mantiene Comprar) y ve la caída como oportunidad táctica, con más cautela a largo plazo [E2]; UBS había rebajado de 390 a 330 EUR en julio [E3].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prima geopolítica se desinfla (paz en Ucrania, rotación fuera de defensa)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múltiplo: el PER adelantado bajó de 22,1x a 18,9x; el beneficio, en cambio, sube (BPA ajustado +13 % en el 1S26)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Presidenciales de 2027 y presupuesto francés de defensa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el Estado francés es el 20 % de las ventas [2]; está en nuestro bajista y en los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contratos (Rafale para India, Suecia, Oriente Medio)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ya lo reflejan: 12.471 M en el 1S26 (+21 %) y 18 contratos de más de 100 M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Objetivos de los analistas muy por encima del precio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a 12 meses (229,62) queda un 21,8 % por debajo del objetivo medio de los analistas: la diferencia es de múltiplo, no de beneficio.</w:t>
            </w:r>
          </w:p>
        </w:tc>
      </w:tr>
    </w:tbl>
    <w:p>
      <w:pPr>
        <w:spacing w:after="160" w:before="0"/>
      </w:pPr>
    </w:p>
    <w:p>
      <w:pPr>
        <w:spacing w:after="100"/>
      </w:pPr>
      <w:r>
        <w:t xml:space="preserve">El inversor particular francés está dividido y más pesimista que hace seis meses: el foro de Boursorama se llena de hilos sobre rachas de caídas, el «desamor» por la defensa y el riesgo de las presidenciales de 2027, mientras otros recuerdan objetivos de 300-330 EUR y compran en las caídas [28]. No es capitulación (no hay ventas masivas de directivos; al contrario, el consejero delegado compró en junio) ni euforia. Coincide con nuestra lectura: el beneficio sube y lo que baja es el múltiplo. Aporta un riesgo que pesamos más de lo que pesan los analistas: el político francés de 2027. Contradice al consenso de analistas en el tono (18 analistas, objetivo medio de 293,61 EUR) [13].</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30 (17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-412 (¿operaciones interrumpidas?). Explicación: El beneficio de 2024 incluye 412 M de actividades interrumpidas (plusvalía de la venta de Transporte), que no pasan por el BAI de las actividades continuadas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-25,0 % frente a -25,7 % real: genera una variación de circulante de -186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(27,4x → 17,7x): el salto implica un crecimiento del EBITDA que no cuadra con el de las ventas. ¿EBITDA de proveedores distintos, o un cambio de perímetro? Explicación: Hensoldt: el EBITDA LTM de Stock Analysis es el publicado (con costes de compra de ESG) y el NTM de MarketScreener el ajustado; pesa poco en la mediana y usamos sobre todo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comerciales y generales 2020-2023 y gastos financieros brutos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(solo administración, sin comerciales); 2) notas de resultados 2022-2023 (cuenta ajustada sin desglose de intereses brutos); 3) URD 2022 (descarga fallida)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2020-2022 (la deuda de esos años los incluye) y existencias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sin concepto separado; 2) URD 2022 en filings.xbrl.org (descarga fallida); 3) notas de resultados (solo deuda neta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y ventas y márgenes de los competidores en el mismo perímetro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publica cuotas); 2) ficha sectorial (sin cuotas fiables por sistema); 3) informes de los competidores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se localizaron con búsqueda en el texto); 2) MSCI y Sustainalytics (páginas con JavaScript);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independiente del tamaño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OTAN (cifras de gasto no consultadas por tiempo); 2) EDA; 3) informes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recoge el resultado de las votaciones); 2) web de la junta (thalesgroup.com bloquea con Incapsula); 3) BALO y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otros miembros del comité ejecutivo con su participación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(búsqueda en el texto sin resultado concluyente); 2) informe semestral 2026; 3) web de la empresa (bloqueada)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y objetivos máximo y mínimo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y número); 2) consenso de la empresa (sin objetivos); 3) Stock Analysis (sin desglose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AMF (registro de posiciones cortas netas: sin posiciones publicadas por encima del 0,5 %); 2) Stock Analysis;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en inglés (Reddit, Seeking Alpha,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en este entorno); 2) Stocktwits (sin flujo de HO.PA); 3) Seeking Alpha (THLLY, poco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 reports its 2025 full-year results (nota de prensa con cuenta ajustada 2025 y 2024, segmentos, geografías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https://www.edrmagazine.eu/wp-content/uploads/2026/03/2025-Q4-Thales.pdf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2025 (cuentas consolidadas y notas,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https://filings.xbrl.org/529900FNDVTQJOVVPZ19/2025-12-31/ESEF/FR/0/tha-2025-12-31-1-fr/reports/tha-2025-12-31-1-fr.xhtml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financial report 2026 (informe de actividad y estados financieros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https://www.thalesgroup.com/sites/default/files/2026-07/Thales_-_2026_Half-Yearly_Financial_report.pdf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reports its 2023 full-year results (BPA ajustado 2023 8,48 y 2022 7,35; objetivos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https://echanges.dila.gouv.fr/OPENDATA/AMF/ECO/2024/03/FCECO073960_20240305.pdf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reports its 2022 full-year results (Transporte como actividad interrumpida; BPA ajustado 2021 6,39; objetivos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https://cdn.uc.assets.prezly.com/472bd266-5ace-449f-b0a6-191f1b7445bd/-/inline/no/thales-reports-its-2022-full-year-results-press-release-8-march-2023.pdf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2019 Full-Year results (BPA ajustado 2019 6,61 y 2018 5,55)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https://echanges.dila.gouv.fr/OPENDATA/AMF/ECO/2020/02/FCECO053958_20200226.pdf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2025 half-year results (1S25 y 1S24; guía 2025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https://echanges.dila.gouv.fr/OPENDATA/AMF/ECO/2025/07/FCECO079167_20250723.pdf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estados financieros XBRL (ESEF) 2020-2025 en filings.xbrl.org (LEI 529900FNDVTQJOVVPZ19)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https://filings.xbrl.org/529900FNDVTQJOVVPZ19/2025-12-31/ESEF/FR/0/tha-2025-12-31-1-fr.json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presentación a analistas (23-jul-2026; calendario: ventas del 3T 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https://www.thalesgroup.com/sites/default/files/press_release/documents/Thales%20publie%20ses%20r%C3%A9sultats%20du%20premier%20semestre%202026%20%E2%80%93%20Pr%C3%A9sentation%20%E2%80%93%2023%20juillet%202026_1.pdf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military spending surges in 2025: 2.887.000 M USD (+2,9 %); Europa +14 %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SIPRI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https://www.sipri.org/media/press-release/2026/world-military-expenditure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defensa y electrónica de defensa (15-oct-2026), con comparables al 13/14-oct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(ficha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 (repositorio) sectores/defensa-2026-10-15.md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Défense européenne : Bernstein passe le secteur au crible (Thales 290 → 250 EUR; Rheinmetall 1.900 → 1.200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https://www.optionfinance.fr/info-financiere-en-continu/d/2026-09-29-defense-europeenne-bernstein-passe-le-secteur-au-crible.html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estimaciones y estadísticas de BAE Systems, Leonardo, Rheinmetall, Hensoldt, Saab, Lockheed Martin, General Dynamics y L3Harris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https://www.marketscreener.com/quote/stock/THALES-4715/finances/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declaración de operaciones de directivos 2026DD1123145 (P. Caine, compra de 12.700 acciones a 227,29 EUR el 22-jun-2026)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https://bdif.amf-france.org/back/api/v1/documents/2026/2026DD1123145/10B4654B023ECD2FADFA13DC8F4699B388703529762BCF7D7704D00499BBA2C2.pdf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2026DD1116246 y 2026DD1141870 (A. Rigail, consejera: compras de 350 acciones el 21-may y 150 el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https://bdif.amf-france.org/back/api/v1/documents/2026/2026DD1141870/8A357D6BA3FBC0DC20F7E01F130FDF87925F491100C8B6F26DBAC88BA1C4A1EC.pdf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HO.PA, ^FCHI y EXV1.DE (hasta el 13-oct-2026) y cotización del 15-oct con el cierre anterior (14-oct: 224,70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https://finance.yahoo.com/quote/HO.PA/history/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CONSENSUS at 15 July 2026 (16 casas: pedidos, ventas, EBIT ajustado y BPA ajustado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(recopilación de 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https://www.thalesgroup.com/sites/default/files/2026-07/2026.07.15%20Thales%20Consensus%20VA.pdf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defensa al 13/14-oct-2026 (ficha sectorial; cifras de MarketScreener y Stock Analysis del 6/7-oct llevadas al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sectores/defensa-2026-10-15-comparables.json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Bundesbank: rendimiento del Bund a 10 años (3,51 %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Ball Announces Agreement to Sell Aerospace Business for $5.6 Billion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https://www.sec.gov/Archives/edgar/data/9389/000000938923000028/ball-20230817xex99.htm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comunicación sobre la compra por L3Harris (DEFA14A)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https://www.sec.gov/Archives/edgar/data/40888/000119312522308466/d415225ddefa14a.htm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anuncio de la oferta por Meggitt plc (Rule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https://www.sec.gov/Archives/edgar/data/76334/000119312521233544/d211612dex21.htm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 Analyst Call: Acquisition of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https://investors.hensoldt.net/media/document/c62ffd6f-0980-4f75-b730-461d0bf50b6e/assets/HENSOLDT_AG_Analyst_Call_ESG.pdf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venta de Hispasat a Indra (valor empresa 966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https://redeia.com/sites/default/files/paragraph/2025/01/file/20250131_NP_Hispasat.pdf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to acquire Iveco Defence (EV 1.700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https://www.leonardo.com/documents/15646808/0/LDO_Iveco_CS_ENG_30_07_2025.pdf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acquires Imperva for $3.6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Help Net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https://www.helpnetsecurity.com/2023/07/25/thales-imperva-acquisiton-3-6-billion/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Thales (HO) en Boursorama: hilos de julio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https://www.boursorama.com/bourse/forum/1rPHO/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Défense européenne : Bernstein passe le secteur au crible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https://www.tradingsat.com/thales-FR0000121329/actualites/thales-defense-europeenne-bernstein-passe-le-secteur-au-crible-1170932.html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crónicas de la acción de Thales (rebaja de UBS de 390 a 330 EUR; prima geopolítica que se desinfla)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https://www.ideal-investisseur.fr/en/stock-news/thales-shares-drop-3-and-mark-the-lowest-point-on-the-cac-40/22434.html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88,4 %</w:t>
      </w:r>
      <w:r>
        <w:t xml:space="preserve"> · Secciones con menos del 60 % de campos cubiertos: </w:t>
      </w:r>
      <w:r>
        <w:rPr>
          <w:b/>
          <w:bCs/>
        </w:rPr>
        <w:t xml:space="preserve">consenso</w:t>
      </w:r>
      <w:r>
        <w:t xml:space="preserve"> · Generado el 15 oct 2026.</w:t>
      </w:r>
    </w:p>
    <w:p>
      <w:pPr>
        <w:pStyle w:val="Nota"/>
        <w:spacing w:after="100"/>
      </w:pPr>
      <w:r>
        <w:t xml:space="preserve">Línea cotizada: Thales S.A. en Euronext París (HO), en EUR, la divisa de las cuentas. Precio: cierre del 14-oct-2026 (224,70 EUR), tomado del «cierre anterior» de Yahoo en la sesión del 15-oct porque el histórico diario aún no publicaba el 14-oct [16]; la serie de bolsa llega al 13-oct. Las cuentas 2020-2025 salen del XBRL ESEF de la AMF [8] y se comprueban con las notas de resultados y el URD 2025 [1, 2]. Perímetro: 2020-2021 incluyen Transporte (vendido en 2024) y 2022-2025 no; el beneficio de 2024 incluye 412 M de actividades interrumpidas. La deuda de 2020-2022 incluye los arrendamientos (sin desglose en el XBRL). Segmentos con la segmentación vigente desde 2024 (Aeroespacial, Defensa, Ciber y Digital): los años anteriores no están reexpresados. La tabla semestral muestra el EBIT ajustado de la empresa (con Naval Group) en la columna de EBITDA. El BPA del objetivo a 12 meses y su historia son el BPA ajustado de la empresa (sin amortización de activos de compras ni partidas no recurrentes), que es el del consenso; el BPA publicado se da en la cuenta. El consenso de BPA es el que recopila la propia empresa a 15-jul-2026, anterior a los resultados del 1S26 [17]. Comparables tomados de la ficha sectorial de defensa (cifras de MarketScreener y Stock Analysis del 6-7-oct llevadas al cierre del 13/14-oct con la variación de precio) [18].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Thales S.A. (HO)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224,70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(211,90 – 274,20)</c:v>
                </c:pt>
                <c:pt idx="1">
                  <c:v>Comparables: PER NTM (213,86 – 289,98)</c:v>
                </c:pt>
                <c:pt idx="2">
                  <c:v>Transacciones precedentes (EV/EBITDA) (232,25 – 273,71)</c:v>
                </c:pt>
                <c:pt idx="3">
                  <c:v>DCF (WACC y g ± 0,5) (210,40 – 285,51)</c:v>
                </c:pt>
                <c:pt idx="4">
                  <c:v>Escenarios (bajista – alcista) (175,41 – 278,18)</c:v>
                </c:pt>
                <c:pt idx="5">
                  <c:v>DCF con la prima implícita del mercado (4,2 %)</c:v>
                </c:pt>
                <c:pt idx="6">
                  <c:v>Precio actual (224,70)</c:v>
                </c:pt>
              </c:strCache>
            </c:strRef>
          </c:cat>
          <c:val>
            <c:numRef>
              <c:f>Hoja1!$B$2:$B$8</c:f>
              <c:numCache>
                <c:formatCode>#,##0</c:formatCode>
                <c:ptCount val="7"/>
                <c:pt idx="0">
                  <c:v>211.9</c:v>
                </c:pt>
                <c:pt idx="1">
                  <c:v>213.86</c:v>
                </c:pt>
                <c:pt idx="2">
                  <c:v>232.25</c:v>
                </c:pt>
                <c:pt idx="3">
                  <c:v>210.4</c:v>
                </c:pt>
                <c:pt idx="4">
                  <c:v>175.41</c:v>
                </c:pt>
                <c:pt idx="5">
                  <c:v>269.45</c:v>
                </c:pt>
                <c:pt idx="6">
                  <c:v>223.58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(211,90 – 274,20)</c:v>
                </c:pt>
                <c:pt idx="1">
                  <c:v>Comparables: PER NTM (213,86 – 289,98)</c:v>
                </c:pt>
                <c:pt idx="2">
                  <c:v>Transacciones precedentes (EV/EBITDA) (232,25 – 273,71)</c:v>
                </c:pt>
                <c:pt idx="3">
                  <c:v>DCF (WACC y g ± 0,5) (210,40 – 285,51)</c:v>
                </c:pt>
                <c:pt idx="4">
                  <c:v>Escenarios (bajista – alcista) (175,41 – 278,18)</c:v>
                </c:pt>
                <c:pt idx="5">
                  <c:v>DCF con la prima implícita del mercado (4,2 %)</c:v>
                </c:pt>
                <c:pt idx="6">
                  <c:v>Precio actual (224,70)</c:v>
                </c:pt>
              </c:strCache>
            </c:strRef>
          </c:cat>
          <c:val>
            <c:numRef>
              <c:f>Hoja1!$C$2:$C$8</c:f>
              <c:numCache>
                <c:formatCode>#,##0</c:formatCode>
                <c:ptCount val="7"/>
                <c:pt idx="0">
                  <c:v>62.29999999999998</c:v>
                </c:pt>
                <c:pt idx="1">
                  <c:v>76.12</c:v>
                </c:pt>
                <c:pt idx="2">
                  <c:v>41.45999999999998</c:v>
                </c:pt>
                <c:pt idx="3">
                  <c:v>75.10999999999999</c:v>
                </c:pt>
                <c:pt idx="4">
                  <c:v>102.77000000000001</c:v>
                </c:pt>
                <c:pt idx="5">
                  <c:v>64.05000000000001</c:v>
                </c:pt>
                <c:pt idx="6">
                  <c:v>2.2399999999999807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Defensa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10969</c:v>
                </c:pt>
                <c:pt idx="1">
                  <c:v>12234</c:v>
                </c:pt>
              </c:numCache>
            </c:numRef>
          </c:val>
        </c:ser>
        <c:ser>
          <c:idx val="1"/>
          <c:order val="1"/>
          <c:tx>
            <c:strRef>
              <c:f>Hoja1!$C$1</c:f>
              <c:strCache>
                <c:ptCount val="1"/>
                <c:pt idx="0">
                  <c:v>Aeroespacial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5471</c:v>
                </c:pt>
                <c:pt idx="1">
                  <c:v>5910</c:v>
                </c:pt>
              </c:numCache>
            </c:numRef>
          </c:val>
        </c:ser>
        <c:ser>
          <c:idx val="2"/>
          <c:order val="2"/>
          <c:tx>
            <c:strRef>
              <c:f>Hoja1!$D$1</c:f>
              <c:strCache>
                <c:ptCount val="1"/>
                <c:pt idx="0">
                  <c:v>Ciber y Digital</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4024</c:v>
                </c:pt>
                <c:pt idx="1">
                  <c:v>3852</c:v>
                </c:pt>
              </c:numCache>
            </c:numRef>
          </c:val>
        </c:ser>
        <c:ser>
          <c:idx val="3"/>
          <c:order val="3"/>
          <c:tx>
            <c:strRef>
              <c:f>Hoja1!$E$1</c:f>
              <c:strCache>
                <c:ptCount val="1"/>
                <c:pt idx="0">
                  <c:v>Otros (incl. Naval Group al 35 %)</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113</c:v>
                </c:pt>
                <c:pt idx="1">
                  <c:v>140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Defensa</c:v>
                </c:pt>
                <c:pt idx="1">
                  <c:v>Aeroespacial</c:v>
                </c:pt>
                <c:pt idx="2">
                  <c:v>Ciber y Digital</c:v>
                </c:pt>
                <c:pt idx="3">
                  <c:v>Otros (incl. Naval Group al 35 %)</c:v>
                </c:pt>
              </c:strCache>
            </c:strRef>
          </c:cat>
          <c:val>
            <c:numRef>
              <c:f>Hoja1!$B$2:$B$5</c:f>
              <c:numCache>
                <c:formatCode>General</c:formatCode>
                <c:ptCount val="4"/>
                <c:pt idx="0">
                  <c:v>55.3</c:v>
                </c:pt>
                <c:pt idx="1">
                  <c:v>26.7</c:v>
                </c:pt>
                <c:pt idx="2">
                  <c:v>17.4</c:v>
                </c:pt>
                <c:pt idx="3">
                  <c:v>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Francia</c:v>
                </c:pt>
                <c:pt idx="1">
                  <c:v>Resto de Europa</c:v>
                </c:pt>
                <c:pt idx="2">
                  <c:v>Reino Unido</c:v>
                </c:pt>
                <c:pt idx="3">
                  <c:v>EE. UU. y Canadá</c:v>
                </c:pt>
                <c:pt idx="4">
                  <c:v>Asia</c:v>
                </c:pt>
                <c:pt idx="5">
                  <c:v>Oriente Próximo y Medio</c:v>
                </c:pt>
                <c:pt idx="6">
                  <c:v>Australia y Nueva Zelanda</c:v>
                </c:pt>
                <c:pt idx="7">
                  <c:v>Resto del mundo</c:v>
                </c:pt>
              </c:strCache>
            </c:strRef>
          </c:cat>
          <c:val>
            <c:numRef>
              <c:f>Hoja1!$B$2:$B$9</c:f>
              <c:numCache>
                <c:formatCode>0"%"</c:formatCode>
                <c:ptCount val="8"/>
                <c:pt idx="0">
                  <c:v>27.7</c:v>
                </c:pt>
                <c:pt idx="1">
                  <c:v>28</c:v>
                </c:pt>
                <c:pt idx="2">
                  <c:v>6.5</c:v>
                </c:pt>
                <c:pt idx="3">
                  <c:v>12.4</c:v>
                </c:pt>
                <c:pt idx="4">
                  <c:v>9.9</c:v>
                </c:pt>
                <c:pt idx="5">
                  <c:v>5.9</c:v>
                </c:pt>
                <c:pt idx="6">
                  <c:v>4.1</c:v>
                </c:pt>
                <c:pt idx="7">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(gasto militar mundial, SIPRI))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2718</c:v>
                </c:pt>
                <c:pt idx="1">
                  <c:v>2887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Thales</c:v>
                </c:pt>
                <c:pt idx="1">
                  <c:v>BAE Systems</c:v>
                </c:pt>
                <c:pt idx="2">
                  <c:v>Leonardo</c:v>
                </c:pt>
                <c:pt idx="3">
                  <c:v>Rheinmetall</c:v>
                </c:pt>
                <c:pt idx="4">
                  <c:v>Hensoldt</c:v>
                </c:pt>
                <c:pt idx="5">
                  <c:v>Saab</c:v>
                </c:pt>
                <c:pt idx="6">
                  <c:v>RTX (Raytheon)</c:v>
                </c:pt>
              </c:strCache>
            </c:strRef>
          </c:cat>
          <c:val>
            <c:numRef>
              <c:f>Hoja1!$B$2:$B$8</c:f>
              <c:numCache>
                <c:formatCode>0.0"%"</c:formatCode>
                <c:ptCount val="7"/>
                <c:pt idx="0">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15371</c:v>
                </c:pt>
                <c:pt idx="1">
                  <c:v>16192</c:v>
                </c:pt>
                <c:pt idx="2">
                  <c:v>17568.8</c:v>
                </c:pt>
                <c:pt idx="3">
                  <c:v>18428.4</c:v>
                </c:pt>
                <c:pt idx="4">
                  <c:v>20576.6</c:v>
                </c:pt>
                <c:pt idx="5">
                  <c:v>22136.4</c:v>
                </c:pt>
                <c:pt idx="6">
                  <c:v>23509</c:v>
                </c:pt>
                <c:pt idx="7">
                  <c:v>25390</c:v>
                </c:pt>
                <c:pt idx="8">
                  <c:v>27421</c:v>
                </c:pt>
                <c:pt idx="9">
                  <c:v>29203</c:v>
                </c:pt>
                <c:pt idx="10">
                  <c:v>30809</c:v>
                </c:pt>
                <c:pt idx="11">
                  <c:v>32042</c:v>
                </c:pt>
                <c:pt idx="12">
                  <c:v>33003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1769.4</c:v>
                </c:pt>
                <c:pt idx="1">
                  <c:v>2254.8</c:v>
                </c:pt>
                <c:pt idx="2">
                  <c:v>2402.8</c:v>
                </c:pt>
                <c:pt idx="3">
                  <c:v>2607.1</c:v>
                </c:pt>
                <c:pt idx="4">
                  <c:v>2854.6</c:v>
                </c:pt>
                <c:pt idx="5">
                  <c:v>3219.4</c:v>
                </c:pt>
                <c:pt idx="6">
                  <c:v>3526</c:v>
                </c:pt>
                <c:pt idx="7">
                  <c:v>3910</c:v>
                </c:pt>
                <c:pt idx="8">
                  <c:v>4332</c:v>
                </c:pt>
                <c:pt idx="9">
                  <c:v>4672</c:v>
                </c:pt>
                <c:pt idx="10">
                  <c:v>4960</c:v>
                </c:pt>
                <c:pt idx="11">
                  <c:v>5159</c:v>
                </c:pt>
                <c:pt idx="12">
                  <c:v>5313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23.3</c:v>
                </c:pt>
                <c:pt idx="1">
                  <c:v>24.9</c:v>
                </c:pt>
                <c:pt idx="2">
                  <c:v>25.4</c:v>
                </c:pt>
                <c:pt idx="3">
                  <c:v>25.9</c:v>
                </c:pt>
                <c:pt idx="4">
                  <c:v>26.1</c:v>
                </c:pt>
                <c:pt idx="5">
                  <c:v>26.4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11.5</c:v>
                </c:pt>
                <c:pt idx="1">
                  <c:v>13.9</c:v>
                </c:pt>
                <c:pt idx="2">
                  <c:v>13.7</c:v>
                </c:pt>
                <c:pt idx="3">
                  <c:v>14.1</c:v>
                </c:pt>
                <c:pt idx="4">
                  <c:v>13.9</c:v>
                </c:pt>
                <c:pt idx="5">
                  <c:v>14.5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4.2</c:v>
                </c:pt>
                <c:pt idx="1">
                  <c:v>7.4</c:v>
                </c:pt>
                <c:pt idx="2">
                  <c:v>7.6</c:v>
                </c:pt>
                <c:pt idx="3">
                  <c:v>8.5</c:v>
                </c:pt>
                <c:pt idx="4">
                  <c:v>8.3</c:v>
                </c:pt>
                <c:pt idx="5">
                  <c:v>9.6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3.1</c:v>
                </c:pt>
                <c:pt idx="1">
                  <c:v>6.7</c:v>
                </c:pt>
                <c:pt idx="2">
                  <c:v>6.4</c:v>
                </c:pt>
                <c:pt idx="3">
                  <c:v>5.6</c:v>
                </c:pt>
                <c:pt idx="4">
                  <c:v>6.9</c:v>
                </c:pt>
                <c:pt idx="5">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8.1</c:v>
                </c:pt>
                <c:pt idx="3">
                  <c:v>7.1</c:v>
                </c:pt>
                <c:pt idx="4">
                  <c:v>6.7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8.1</c:v>
                </c:pt>
                <c:pt idx="4">
                  <c:v>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120</c:v>
                </c:pt>
                <c:pt idx="1">
                  <c:v>123</c:v>
                </c:pt>
                <c:pt idx="2">
                  <c:v>121</c:v>
                </c:pt>
                <c:pt idx="3">
                  <c:v>124</c:v>
                </c:pt>
                <c:pt idx="4">
                  <c:v>127</c:v>
                </c:pt>
                <c:pt idx="5">
                  <c:v>113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4">
                  <c:v>118</c:v>
                </c:pt>
                <c:pt idx="5">
                  <c:v>111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186</c:v>
                </c:pt>
                <c:pt idx="1">
                  <c:v>182</c:v>
                </c:pt>
                <c:pt idx="2">
                  <c:v>193</c:v>
                </c:pt>
                <c:pt idx="3">
                  <c:v>204</c:v>
                </c:pt>
                <c:pt idx="4">
                  <c:v>200</c:v>
                </c:pt>
                <c:pt idx="5">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776</c:v>
                </c:pt>
                <c:pt idx="1">
                  <c:v>2256</c:v>
                </c:pt>
                <c:pt idx="2">
                  <c:v>2490</c:v>
                </c:pt>
                <c:pt idx="3">
                  <c:v>970</c:v>
                </c:pt>
                <c:pt idx="4">
                  <c:v>1798.9000000000003</c:v>
                </c:pt>
                <c:pt idx="5">
                  <c:v>2339.7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483.4</c:v>
                </c:pt>
                <c:pt idx="1">
                  <c:v>1088.8</c:v>
                </c:pt>
                <c:pt idx="2">
                  <c:v>1120.6</c:v>
                </c:pt>
                <c:pt idx="3">
                  <c:v>1023.4</c:v>
                </c:pt>
                <c:pt idx="4">
                  <c:v>1419.5</c:v>
                </c:pt>
                <c:pt idx="5">
                  <c:v>1674.5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13.6</c:v>
                </c:pt>
                <c:pt idx="2">
                  <c:v>14.6</c:v>
                </c:pt>
                <c:pt idx="3">
                  <c:v>13</c:v>
                </c:pt>
                <c:pt idx="4">
                  <c:v>12.2</c:v>
                </c:pt>
                <c:pt idx="5">
                  <c:v>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8.1</c:v>
                </c:pt>
                <c:pt idx="1">
                  <c:v>8.1</c:v>
                </c:pt>
                <c:pt idx="2">
                  <c:v>8.1</c:v>
                </c:pt>
                <c:pt idx="3">
                  <c:v>8.1</c:v>
                </c:pt>
                <c:pt idx="4">
                  <c:v>8.1</c:v>
                </c:pt>
                <c:pt idx="5">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9.4</c:v>
                </c:pt>
                <c:pt idx="1">
                  <c:v>18.7</c:v>
                </c:pt>
                <c:pt idx="2">
                  <c:v>16.4</c:v>
                </c:pt>
                <c:pt idx="3">
                  <c:v>14.6</c:v>
                </c:pt>
                <c:pt idx="4">
                  <c:v>19.8</c:v>
                </c:pt>
                <c:pt idx="5">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1.47</c:v>
                </c:pt>
                <c:pt idx="1">
                  <c:v>0.39</c:v>
                </c:pt>
                <c:pt idx="2">
                  <c:v>0.15</c:v>
                </c:pt>
                <c:pt idx="3">
                  <c:v>1.71</c:v>
                </c:pt>
                <c:pt idx="4">
                  <c:v>1.07</c:v>
                </c:pt>
                <c:pt idx="5">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1907.2</c:v>
                </c:pt>
                <c:pt idx="1">
                  <c:v>500.6</c:v>
                </c:pt>
                <c:pt idx="2">
                  <c:v>1296.9</c:v>
                </c:pt>
                <c:pt idx="3">
                  <c:v>496.9</c:v>
                </c:pt>
                <c:pt idx="4">
                  <c:v>595.1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22</c:v>
                </c:pt>
                <c:pt idx="1">
                  <c:v>54.7</c:v>
                </c:pt>
                <c:pt idx="2">
                  <c:v>418</c:v>
                </c:pt>
                <c:pt idx="3">
                  <c:v>3579</c:v>
                </c:pt>
                <c:pt idx="4">
                  <c:v>1169</c:v>
                </c:pt>
                <c:pt idx="5">
                  <c:v>9.2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85.1</c:v>
                </c:pt>
                <c:pt idx="1">
                  <c:v>417</c:v>
                </c:pt>
                <c:pt idx="2">
                  <c:v>563</c:v>
                </c:pt>
                <c:pt idx="3">
                  <c:v>634</c:v>
                </c:pt>
                <c:pt idx="4">
                  <c:v>708.4</c:v>
                </c:pt>
                <c:pt idx="5">
                  <c:v>780.7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8.9</c:v>
                </c:pt>
                <c:pt idx="1">
                  <c:v>26.7</c:v>
                </c:pt>
                <c:pt idx="2">
                  <c:v>351</c:v>
                </c:pt>
                <c:pt idx="3">
                  <c:v>491</c:v>
                </c:pt>
                <c:pt idx="4">
                  <c:v>275.4</c:v>
                </c:pt>
                <c:pt idx="5">
                  <c:v>45.2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1</c:v>
                </c:pt>
                <c:pt idx="1">
                  <c:v>8</c:v>
                </c:pt>
                <c:pt idx="2">
                  <c:v>4</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 francés (vía TSA, más 2.060 acciones directas y una acción específica)</c:v>
                </c:pt>
                <c:pt idx="1">
                  <c:v>Dassault Aviation</c:v>
                </c:pt>
                <c:pt idx="2">
                  <c:v>Empleados</c:v>
                </c:pt>
                <c:pt idx="3">
                  <c:v>Autocartera</c:v>
                </c:pt>
                <c:pt idx="4">
                  <c:v>Otros (flotante)</c:v>
                </c:pt>
              </c:strCache>
            </c:strRef>
          </c:cat>
          <c:val>
            <c:numRef>
              <c:f>Hoja1!$B$2:$B$6</c:f>
              <c:numCache>
                <c:formatCode>0.0"%"</c:formatCode>
                <c:ptCount val="5"/>
                <c:pt idx="0">
                  <c:v>26.6</c:v>
                </c:pt>
                <c:pt idx="1">
                  <c:v>26.59</c:v>
                </c:pt>
                <c:pt idx="2">
                  <c:v>2.99</c:v>
                </c:pt>
                <c:pt idx="3">
                  <c:v>0.23</c:v>
                </c:pt>
                <c:pt idx="4">
                  <c:v>43.59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-2.4</c:v>
                </c:pt>
                <c:pt idx="2">
                  <c:v>13.5</c:v>
                </c:pt>
                <c:pt idx="3">
                  <c:v>-9.3</c:v>
                </c:pt>
                <c:pt idx="4">
                  <c:v>-19</c:v>
                </c:pt>
                <c:pt idx="5">
                  <c:v>-0.1</c:v>
                </c:pt>
                <c:pt idx="6">
                  <c:v>59.5</c:v>
                </c:pt>
                <c:pt idx="7">
                  <c:v>12.3</c:v>
                </c:pt>
                <c:pt idx="8">
                  <c:v>3.5</c:v>
                </c:pt>
                <c:pt idx="9">
                  <c:v>65.7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10.6</c:v>
                </c:pt>
                <c:pt idx="1">
                  <c:v>7.6</c:v>
                </c:pt>
                <c:pt idx="2">
                  <c:v>10.8</c:v>
                </c:pt>
                <c:pt idx="3">
                  <c:v>12.5</c:v>
                </c:pt>
                <c:pt idx="4">
                  <c:v>11.1</c:v>
                </c:pt>
                <c:pt idx="5">
                  <c:v>15.2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11</c:v>
                </c:pt>
                <c:pt idx="1">
                  <c:v>11</c:v>
                </c:pt>
                <c:pt idx="2">
                  <c:v>11</c:v>
                </c:pt>
                <c:pt idx="3">
                  <c:v>11</c:v>
                </c:pt>
                <c:pt idx="4">
                  <c:v>11</c:v>
                </c:pt>
                <c:pt idx="5">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Thales</c:v>
                </c:pt>
                <c:pt idx="1">
                  <c:v>Leonardo</c:v>
                </c:pt>
                <c:pt idx="2">
                  <c:v>Rheinmetall</c:v>
                </c:pt>
                <c:pt idx="3">
                  <c:v>BAE Systems</c:v>
                </c:pt>
                <c:pt idx="4">
                  <c:v>Hensoldt</c:v>
                </c:pt>
                <c:pt idx="5">
                  <c:v>Saab</c:v>
                </c:pt>
                <c:pt idx="6">
                  <c:v>L3Harris</c:v>
                </c:pt>
                <c:pt idx="7">
                  <c:v>Lockheed Martin</c:v>
                </c:pt>
                <c:pt idx="8">
                  <c:v>General Dynamics</c:v>
                </c:pt>
              </c:strCache>
            </c:strRef>
          </c:cat>
          <c:val>
            <c:numRef>
              <c:f>Hoja1!$B$2:$B$10</c:f>
              <c:numCache>
                <c:formatCode>0.0"x"</c:formatCode>
                <c:ptCount val="9"/>
                <c:pt idx="1">
                  <c:v>10</c:v>
                </c:pt>
                <c:pt idx="2">
                  <c:v>12</c:v>
                </c:pt>
                <c:pt idx="3">
                  <c:v>11.8</c:v>
                </c:pt>
                <c:pt idx="4">
                  <c:v>17.7</c:v>
                </c:pt>
                <c:pt idx="5">
                  <c:v>20</c:v>
                </c:pt>
                <c:pt idx="6">
                  <c:v>12</c:v>
                </c:pt>
                <c:pt idx="7">
                  <c:v>12</c:v>
                </c:pt>
                <c:pt idx="8">
                  <c:v>13.4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Leonardo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13.6</c:v>
                </c:pt>
              </c:numCache>
            </c:numRef>
          </c:xVal>
          <c:yVal>
            <c:numRef>
              <c:f>Hoja1!$C$2</c:f>
              <c:numCache>
                <c:formatCode>0.0"x"</c:formatCode>
                <c:ptCount val="1"/>
                <c:pt idx="0">
                  <c:v>10</c:v>
                </c:pt>
              </c:numCache>
            </c:numRef>
          </c:yVal>
          <c:smooth val="0"/>
        </c:ser>
        <c:ser>
          <c:idx val="1"/>
          <c:order val="1"/>
          <c:tx>
            <c:strRef>
              <c:f>Hoja1!$A$3</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39.9</c:v>
                </c:pt>
              </c:numCache>
            </c:numRef>
          </c:xVal>
          <c:yVal>
            <c:numRef>
              <c:f>Hoja1!$C$3</c:f>
              <c:numCache>
                <c:formatCode>0.0"x"</c:formatCode>
                <c:ptCount val="1"/>
                <c:pt idx="0">
                  <c:v>12</c:v>
                </c:pt>
              </c:numCache>
            </c:numRef>
          </c:yVal>
          <c:smooth val="0"/>
        </c:ser>
        <c:ser>
          <c:idx val="2"/>
          <c:order val="2"/>
          <c:tx>
            <c:strRef>
              <c:f>Hoja1!$A$4</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16.1</c:v>
                </c:pt>
              </c:numCache>
            </c:numRef>
          </c:xVal>
          <c:yVal>
            <c:numRef>
              <c:f>Hoja1!$C$4</c:f>
              <c:numCache>
                <c:formatCode>0.0"x"</c:formatCode>
                <c:ptCount val="1"/>
                <c:pt idx="0">
                  <c:v>11.8</c:v>
                </c:pt>
              </c:numCache>
            </c:numRef>
          </c:yVal>
          <c:smooth val="0"/>
        </c:ser>
        <c:ser>
          <c:idx val="3"/>
          <c:order val="3"/>
          <c:tx>
            <c:strRef>
              <c:f>Hoja1!$A$5</c:f>
              <c:strCache>
                <c:ptCount val="1"/>
                <c:pt idx="0">
                  <c:v>Hensoldt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14.2</c:v>
                </c:pt>
              </c:numCache>
            </c:numRef>
          </c:xVal>
          <c:yVal>
            <c:numRef>
              <c:f>Hoja1!$C$5</c:f>
              <c:numCache>
                <c:formatCode>0.0"x"</c:formatCode>
                <c:ptCount val="1"/>
                <c:pt idx="0">
                  <c:v>17.7</c:v>
                </c:pt>
              </c:numCache>
            </c:numRef>
          </c:yVal>
          <c:smooth val="0"/>
        </c:ser>
        <c:ser>
          <c:idx val="4"/>
          <c:order val="4"/>
          <c:tx>
            <c:strRef>
              <c:f>Hoja1!$A$6</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22.5</c:v>
                </c:pt>
              </c:numCache>
            </c:numRef>
          </c:xVal>
          <c:yVal>
            <c:numRef>
              <c:f>Hoja1!$C$6</c:f>
              <c:numCache>
                <c:formatCode>0.0"x"</c:formatCode>
                <c:ptCount val="1"/>
                <c:pt idx="0">
                  <c:v>20</c:v>
                </c:pt>
              </c:numCache>
            </c:numRef>
          </c:yVal>
          <c:smooth val="0"/>
        </c:ser>
        <c:ser>
          <c:idx val="5"/>
          <c:order val="5"/>
          <c:tx>
            <c:strRef>
              <c:f>Hoja1!$A$7</c:f>
              <c:strCache>
                <c:ptCount val="1"/>
                <c:pt idx="0">
                  <c:v>L3Harris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6.4</c:v>
                </c:pt>
              </c:numCache>
            </c:numRef>
          </c:xVal>
          <c:yVal>
            <c:numRef>
              <c:f>Hoja1!$C$7</c:f>
              <c:numCache>
                <c:formatCode>0.0"x"</c:formatCode>
                <c:ptCount val="1"/>
                <c:pt idx="0">
                  <c:v>12</c:v>
                </c:pt>
              </c:numCache>
            </c:numRef>
          </c:yVal>
          <c:smooth val="0"/>
        </c:ser>
        <c:ser>
          <c:idx val="6"/>
          <c:order val="6"/>
          <c:tx>
            <c:strRef>
              <c:f>Hoja1!$A$8</c:f>
              <c:strCache>
                <c:ptCount val="1"/>
                <c:pt idx="0">
                  <c:v>Lockheed Martin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7.6</c:v>
                </c:pt>
              </c:numCache>
            </c:numRef>
          </c:xVal>
          <c:yVal>
            <c:numRef>
              <c:f>Hoja1!$C$8</c:f>
              <c:numCache>
                <c:formatCode>0.0"x"</c:formatCode>
                <c:ptCount val="1"/>
                <c:pt idx="0">
                  <c:v>12</c:v>
                </c:pt>
              </c:numCache>
            </c:numRef>
          </c:yVal>
          <c:smooth val="0"/>
        </c:ser>
        <c:ser>
          <c:idx val="7"/>
          <c:order val="7"/>
          <c:tx>
            <c:strRef>
              <c:f>Hoja1!$A$9</c:f>
              <c:strCache>
                <c:ptCount val="1"/>
                <c:pt idx="0">
                  <c:v>General Dynamics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4.4</c:v>
                </c:pt>
              </c:numCache>
            </c:numRef>
          </c:xVal>
          <c:yVal>
            <c:numRef>
              <c:f>Hoja1!$C$9</c:f>
              <c:numCache>
                <c:formatCode>0.0"x"</c:formatCode>
                <c:ptCount val="1"/>
                <c:pt idx="0">
                  <c:v>13.4</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Ball Aerospace (sistemas espaciales y de defensa, EE. UU.)</c:v>
                </c:pt>
                <c:pt idx="1">
                  <c:v>Aerojet Rocketdyne (motores de misiles, EE. UU.)</c:v>
                </c:pt>
                <c:pt idx="2">
                  <c:v>Meggitt (componentes aeroespaciales y de defensa, Reino Unido)</c:v>
                </c:pt>
                <c:pt idx="3">
                  <c:v>ESG Elektroniksystem- und Logistik (electrónica de defensa, Alemania)</c:v>
                </c:pt>
                <c:pt idx="4">
                  <c:v>Hispasat (89,68 %; operador de satélites, España)</c:v>
                </c:pt>
                <c:pt idx="5">
                  <c:v>Iveco Defence Vehicles y Astra (vehículos militares, Italia)</c:v>
                </c:pt>
                <c:pt idx="6">
                  <c:v>Imperva (ciberseguridad, EE. UU.)</c:v>
                </c:pt>
              </c:strCache>
            </c:strRef>
          </c:cat>
          <c:val>
            <c:numRef>
              <c:f>Hoja1!$B$2:$B$8</c:f>
              <c:numCache>
                <c:formatCode>0.0"x"</c:formatCode>
                <c:ptCount val="7"/>
                <c:pt idx="0">
                  <c:v>19.6</c:v>
                </c:pt>
                <c:pt idx="1">
                  <c:v>16.5</c:v>
                </c:pt>
                <c:pt idx="2">
                  <c:v>16.3</c:v>
                </c:pt>
                <c:pt idx="3">
                  <c:v>14</c:v>
                </c:pt>
                <c:pt idx="4">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2066</c:v>
                </c:pt>
                <c:pt idx="1">
                  <c:v>2465</c:v>
                </c:pt>
                <c:pt idx="2">
                  <c:v>2749</c:v>
                </c:pt>
                <c:pt idx="3">
                  <c:v>2891</c:v>
                </c:pt>
                <c:pt idx="4">
                  <c:v>3023</c:v>
                </c:pt>
                <c:pt idx="5">
                  <c:v>3219</c:v>
                </c:pt>
                <c:pt idx="6">
                  <c:v>3278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14109</c:v>
                </c:pt>
                <c:pt idx="1">
                  <c:v>35517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224,70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175.41</c:v>
                </c:pt>
                <c:pt idx="1">
                  <c:v>241.56</c:v>
                </c:pt>
                <c:pt idx="2">
                  <c:v>278.18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224,70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(211,90 – 274,20)</c:v>
                </c:pt>
                <c:pt idx="1">
                  <c:v>Comparables: PER NTM (213,86 – 289,98)</c:v>
                </c:pt>
                <c:pt idx="2">
                  <c:v>Transacciones precedentes (EV/EBITDA) (232,25 – 273,71)</c:v>
                </c:pt>
                <c:pt idx="3">
                  <c:v>DCF (WACC y g ± 0,5) (210,40 – 285,51)</c:v>
                </c:pt>
                <c:pt idx="4">
                  <c:v>Escenarios (bajista – alcista) (175,41 – 278,18)</c:v>
                </c:pt>
                <c:pt idx="5">
                  <c:v>DCF con la prima implícita del mercado (4,2 %)</c:v>
                </c:pt>
                <c:pt idx="6">
                  <c:v>Precio actual (224,70)</c:v>
                </c:pt>
              </c:strCache>
            </c:strRef>
          </c:cat>
          <c:val>
            <c:numRef>
              <c:f>Hoja1!$B$2:$B$8</c:f>
              <c:numCache>
                <c:formatCode>#,##0</c:formatCode>
                <c:ptCount val="7"/>
                <c:pt idx="0">
                  <c:v>211.9</c:v>
                </c:pt>
                <c:pt idx="1">
                  <c:v>213.86</c:v>
                </c:pt>
                <c:pt idx="2">
                  <c:v>232.25</c:v>
                </c:pt>
                <c:pt idx="3">
                  <c:v>210.4</c:v>
                </c:pt>
                <c:pt idx="4">
                  <c:v>175.41</c:v>
                </c:pt>
                <c:pt idx="5">
                  <c:v>269.45</c:v>
                </c:pt>
                <c:pt idx="6">
                  <c:v>223.58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(211,90 – 274,20)</c:v>
                </c:pt>
                <c:pt idx="1">
                  <c:v>Comparables: PER NTM (213,86 – 289,98)</c:v>
                </c:pt>
                <c:pt idx="2">
                  <c:v>Transacciones precedentes (EV/EBITDA) (232,25 – 273,71)</c:v>
                </c:pt>
                <c:pt idx="3">
                  <c:v>DCF (WACC y g ± 0,5) (210,40 – 285,51)</c:v>
                </c:pt>
                <c:pt idx="4">
                  <c:v>Escenarios (bajista – alcista) (175,41 – 278,18)</c:v>
                </c:pt>
                <c:pt idx="5">
                  <c:v>DCF con la prima implícita del mercado (4,2 %)</c:v>
                </c:pt>
                <c:pt idx="6">
                  <c:v>Precio actual (224,70)</c:v>
                </c:pt>
              </c:strCache>
            </c:strRef>
          </c:cat>
          <c:val>
            <c:numRef>
              <c:f>Hoja1!$C$2:$C$8</c:f>
              <c:numCache>
                <c:formatCode>#,##0</c:formatCode>
                <c:ptCount val="7"/>
                <c:pt idx="0">
                  <c:v>62.29999999999998</c:v>
                </c:pt>
                <c:pt idx="1">
                  <c:v>76.12</c:v>
                </c:pt>
                <c:pt idx="2">
                  <c:v>41.45999999999998</c:v>
                </c:pt>
                <c:pt idx="3">
                  <c:v>75.10999999999999</c:v>
                </c:pt>
                <c:pt idx="4">
                  <c:v>102.77000000000001</c:v>
                </c:pt>
                <c:pt idx="5">
                  <c:v>64.05000000000001</c:v>
                </c:pt>
                <c:pt idx="6">
                  <c:v>2.2399999999999807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