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KONE Oyj</w:t>
      </w:r>
    </w:p>
    <w:p>
      <w:pPr>
        <w:spacing w:after="60"/>
        <w:rPr>
          <w:color w:val="52514E"/>
          <w:sz w:val="22"/>
          <w:szCs w:val="22"/>
        </w:rPr>
      </w:pPr>
      <w:r>
        <w:rPr>
          <w:color w:val="52514E"/>
          <w:sz w:val="22"/>
          <w:szCs w:val="22"/>
        </w:rPr>
        <w:t xml:space="preserve">KNEBV · Nasdaq Helsinki (acción B; las acciones A no cotizan) · ISIN FI0009013403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55,26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59,73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+17,1 %)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41,05 EUR · mercado 47,34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KONE Oyj</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KNEBV / FI0009013403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Helsinki (acción B; las acciones A no cotizan)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Helsinki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Machinery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Espoo (Finlandia) · 1910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64.907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www.kone.com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46,22 – 64,42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28.641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33 M EUR/día (653.000 acciones B, 3 meses) [57]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59,73 EUR</w:t>
      </w:r>
      <w:r>
        <w:t xml:space="preserve"> frente a 55,26 · Rentabilidad a 12 meses </w:t>
      </w:r>
      <w:r>
        <w:rPr>
          <w:b/>
          <w:bCs/>
        </w:rPr>
        <w:t xml:space="preserve">+11,3 % (base +17,1 %)</w:t>
      </w:r>
      <w:r>
        <w:t xml:space="preserve"> · Valor intrínseco 41,05 EUR · con la prima implícita del mercado: 47,34 (-14,3 %) · Alcista / bajista -19,0 % / -39,7 %</w:t>
      </w:r>
    </w:p>
    <w:p>
      <w:pPr>
        <w:spacing w:after="100"/>
      </w:pPr>
      <w:r>
        <w:rPr>
          <w:b/>
        </w:rPr>
        <w:t xml:space="preserve">La recomendación y por qué.</w:t>
      </w:r>
      <w:r>
        <w:t xml:space="preserve"> Mantener, con convicción media. Con nuestro BPA de 2028e y la regla común de múltiplos, el objetivo a 12 meses es de 59,73 EUR frente a 55,26 EUR (cierre del 16-oct): +11,3 % ponderado y +17,1 % en el caso base, con el dividendo del 3,3 %. No llega al 15 % de la ponderada y el valor intrínseco (41,05 EUR) queda un 25,7 % por debajo del precio: no pasa ninguno de los dos filtros de compra. El objetivo medio de los analistas (59,75 EUR) coincide con el nuestro. La convicción es media porque las dos reglas del valor intrínseco coinciden y la rentabilidad a 12 meses está casi 4 puntos por debajo del umbral; subiría por debajo de 50 EUR o si el 3T26 (28-oct) muestra un margen ajustado por encima del 13 %.</w:t>
      </w:r>
    </w:p>
    <w:p>
      <w:pPr>
        <w:spacing w:after="100"/>
      </w:pPr>
      <w:r>
        <w:rPr>
          <w:b/>
        </w:rPr>
        <w:t xml:space="preserve">El negocio.</w:t>
      </w:r>
      <w:r>
        <w:t xml:space="preserve"> KONE es el tercer fabricante mundial de ascensores y escaleras: 11.245 M EUR de ventas en 2025, el 63 % en mantenimiento y modernización de 1,8 millones de unidades, con contratos indexados [1]. Crea valor con holgura: ROIC del 31,2 % frente a un WACC del 8,66 %. Su punto débil es el margen: un EBIT ajustado del 12,2 %, por debajo de Otis (14,8 %), TKE (14,8 %) y Schindler (13,3 %) [15, 18, 19]. </w:t>
      </w:r>
      <w:r>
        <w:rPr>
          <w:b/>
        </w:rPr>
        <w:t xml:space="preserve">Sostenibilidad: Sí</w:t>
      </w:r>
      <w:r>
        <w:t xml:space="preserve">: el 3,6 % anual que proyectamos casi no necesita capital y queda por debajo del crecimiento del mercado (≈4 %) [22].</w:t>
      </w:r>
    </w:p>
    <w:p>
      <w:pPr>
        <w:spacing w:after="100"/>
      </w:pPr>
      <w:r>
        <w:rPr>
          <w:b/>
        </w:rPr>
        <w:t xml:space="preserve">Sector y ciclo.</w:t>
      </w:r>
      <w:r>
        <w:t xml:space="preserve"> La obra nueva lleva cayendo desde 2021 por China (19 % de las ventas, −14,3 % en 2025) y KONE espera otro −10 % allí en 2026; la modernización compensa, con pedidos a doble dígito en el 2T26 [1, 12].</w:t>
      </w:r>
    </w:p>
    <w:p>
      <w:pPr>
        <w:spacing w:after="100"/>
      </w:pPr>
      <w:r>
        <w:rPr>
          <w:b/>
        </w:rPr>
        <w:t xml:space="preserve">Equipo y gobierno.</w:t>
      </w:r>
      <w:r>
        <w:t xml:space="preserve"> La familia Herlin controla el 62,4 % de los votos con el 23,4 % del capital y ha aprobado la mayor operación de la historia de KONE: combinarse con TKE por 29.400 M EUR de valor de empresa, 5.000 M en efectivo y hasta 270 M de acciones nuevas, el 33,8 % del capital tras el cierre [37, 47]. A favor: el consejero delegado compró en julio acciones por ≈3,0 M EUR a 47,84 EUR y no hay ventas de directivos [42].</w:t>
      </w:r>
    </w:p>
    <w:p>
      <w:pPr>
        <w:spacing w:after="100"/>
      </w:pPr>
      <w:r>
        <w:rPr>
          <w:b/>
        </w:rPr>
        <w:t xml:space="preserve">Valoración.</w:t>
      </w:r>
      <w:r>
        <w:t xml:space="preserve"> El DCF de KONE sola da 40,53 EUR. El DCF inverso dice que el precio necesita un crecimiento del 8,5 % anual o un margen EBITDA del 21,5 %, frente al 3,6 % y el 16,5 % que proyectamos: la rentabilidad implícita (6,9 %) queda por debajo de nuestro WACC y del que pide el mercado (7,5 %). Los comparables por PER dan 43,90 EUR. El objetivo a 12 meses es mucho más alto porque el mercado lleva una década pagando 25-34 veces el beneficio de KONE; nuestro BPA de 2028e (2,41 EUR) queda un 9,7 % bajo el consenso.</w:t>
      </w:r>
    </w:p>
    <w:p>
      <w:pPr>
        <w:spacing w:after="100"/>
      </w:pPr>
      <w:r>
        <w:rPr>
          <w:b/>
        </w:rPr>
        <w:t xml:space="preserve">Riesgos y catalizadores.</w:t>
      </w:r>
      <w:r>
        <w:t xml:space="preserve"> El mayor riesgo es TKE: el Departamento de Justicia de EE. UU. pidió más información en agosto y KONE prepara vender la mayor parte de TKE Europa (≈2.500 M EUR de ventas); con remedios en EE. UU. las sinergias de 700 M caerían a ≈450 M según Citi [64, 69, 72]. Tras el cierre (2T27 como pronto), Advent y Cinven podrán vender a los 180 días [37]. Catalizadores: 3T26 el 28-oct y las decisiones de competencia.</w:t>
      </w:r>
    </w:p>
    <w:p>
      <w:pPr>
        <w:spacing w:after="100"/>
      </w:pPr>
      <w:r>
        <w:rPr>
          <w:b/>
        </w:rPr>
        <w:t xml:space="preserve">Qué cambiaría la decisión.</w:t>
      </w:r>
      <w:r>
        <w:t xml:space="preserve"> Compraríamos por debajo de 41,05 EUR (el valor intrínseco, que es el límite que manda) y venderíamos por encima de 68,37 EUR. Bajaríamos el objetivo si el margen ajustado del 3T26 queda por debajo del 12,3 % o si los remedios de competencia alcanzan a Norteamérica.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59,73 EUR</w:t>
      </w:r>
      <w:r>
        <w:t xml:space="preserve"> (rentabilidad +11,3 % (base +17,1 %)) · Valor intrínseco: 41,05 EUR (-25,7 % sobre 55,26) · con la prima implícita del mercado: 47,34 (-14,3 %)</w:t>
      </w:r>
    </w:p>
    <w:p>
      <w:pPr>
        <w:spacing w:after="100"/>
      </w:pPr>
      <w:r>
        <w:t xml:space="preserve">KONE vive de su base instalada: 1,8 millones de ascensores y escaleras en mantenimiento, con contratos indexados y clientes que rara vez cambian, que generan el 63 % de las ventas junto con la modernización [1]. Con un capital empleado mínimo, el ROIC es del 31,2 % y casi todo el beneficio se reparte (95 % en 2025) [1].</w:t>
      </w:r>
    </w:p>
    <w:p>
      <w:pPr>
        <w:spacing w:after="100"/>
      </w:pPr>
      <w:r>
        <w:t xml:space="preserve">El precio (55,26 EUR) descuenta mucho: un crecimiento del 8,5 % anual o un margen EBITDA del 21,5 % con nuestro WACC, frente a un mercado que crece un 4 % y un margen que nunca ha pasado del 14,7 %. Cotiza a 25,2 veces nuestro BPA de 2027e, por encima de la mediana de los comparables (18,9) y en línea con Schindler (23,7) [55].</w:t>
      </w:r>
    </w:p>
    <w:p>
      <w:pPr>
        <w:spacing w:after="100"/>
      </w:pPr>
      <w:r>
        <w:t xml:space="preserve">El mercado paga la estabilidad y una opción sobre TKE (Citi cree que el precio no la incluye) [69]. Para invertir hay que creer que las sinergias de la combinación llegan casi enteras pese a las ventas de activos exigidas, o aceptar un coste de capital del 7 %. Sin eso, KONE sola está cara; a 12 meses, el múltiplo histórico la sostiene y da un +11 %, insuficiente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 × 2,16 = 45,14 · 26,1x × 2,41 = 62,90 · 28,9x × 2,55 = 73,69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 (nuestro base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 -39,7 %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8,7 %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41,05 y 68,37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68,37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41,05 EUR (valor intrínseco): pasaríamos a Comprar si la ponderada a 12 meses supera el 15 %.</w:t>
      </w:r>
    </w:p>
    <w:p>
      <w:pPr>
        <w:pStyle w:val="ListParagraph"/>
        <w:numPr>
          <w:ilvl w:val="0"/>
          <w:numId w:val="2"/>
        </w:numPr>
        <w:spacing w:after="60"/>
      </w:pPr>
      <w:r>
        <w:t xml:space="preserve">Precio por encima de 68,37 EUR: pasaríamos a Vender.</w:t>
      </w:r>
    </w:p>
    <w:p>
      <w:pPr>
        <w:pStyle w:val="ListParagraph"/>
        <w:numPr>
          <w:ilvl w:val="0"/>
          <w:numId w:val="2"/>
        </w:numPr>
        <w:spacing w:after="60"/>
      </w:pPr>
      <w:r>
        <w:t xml:space="preserve">Margen EBIT ajustado del 3T26 por debajo del 12,3 %: bajaríamos el BPA y el objetivo.</w:t>
      </w:r>
    </w:p>
    <w:p>
      <w:pPr>
        <w:pStyle w:val="ListParagraph"/>
        <w:numPr>
          <w:ilvl w:val="0"/>
          <w:numId w:val="2"/>
        </w:numPr>
        <w:spacing w:after="60"/>
      </w:pPr>
      <w:r>
        <w:t xml:space="preserve">Remedios de competencia que alcancen al negocio de TKE en Norteamérica: revisaríamos el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KONE es un negocio de mantenimiento casi sin riesgo que merece 25 veces el beneficio, y que la combinación con TKE añadirá beneficio por acción desde el primer año completo gracias a 700 M de sinergias [53].</w:t>
      </w:r>
    </w:p>
    <w:p>
      <w:pPr>
        <w:keepNext/>
        <w:spacing w:after="100"/>
      </w:pPr>
      <w:r>
        <w:rPr>
          <w:b/>
          <w:bCs/>
        </w:rPr>
        <w:t xml:space="preserve">Lo que creemos nosotros.</w:t>
      </w:r>
    </w:p>
    <w:p>
      <w:pPr>
        <w:spacing w:after="100"/>
      </w:pPr>
      <w:r>
        <w:t xml:space="preserve">Coincidimos en la calidad, pero KONE sola vale 41 EUR con un coste de capital normal, y las sinergias corren peligro: las ventas de activos exigidas en Europa (27 % de TKE) y el posible remedio en EE. UU. las reducen, y la deuda de la operación limita el dividendo.</w:t>
      </w:r>
    </w:p>
    <w:p>
      <w:pPr>
        <w:keepNext/>
        <w:spacing w:after="100"/>
      </w:pPr>
      <w:r>
        <w:rPr>
          <w:b/>
          <w:bCs/>
        </w:rPr>
        <w:t xml:space="preserve">Por qué podemos tener razón.</w:t>
      </w:r>
    </w:p>
    <w:p>
      <w:pPr>
        <w:spacing w:after="100"/>
      </w:pPr>
      <w:r>
        <w:t xml:space="preserve">El Departamento de Justicia ya está en segunda fase y Reuters adelanta una venta europea mayor de lo esperado [64, 72]. El margen de KONE (12,2 %) está por debajo del de todos sus pares grandes [18, 19]: la empresa compra crecimiento cuando su propio margen todavía no ha convergido.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63 % de las ventas viene de mantenimiento y modernización [1].</w:t>
      </w:r>
    </w:p>
    <w:p>
      <w:pPr>
        <w:pStyle w:val="ListParagraph"/>
        <w:numPr>
          <w:ilvl w:val="0"/>
          <w:numId w:val="2"/>
        </w:numPr>
        <w:spacing w:after="60"/>
      </w:pPr>
      <w:r>
        <w:rPr>
          <w:b/>
        </w:rPr>
        <w:t xml:space="preserve">Rentabilidad muy alta</w:t>
      </w:r>
      <w:r>
        <w:t xml:space="preserve">: ROIC del 31,2 % frente a un WACC del 8,66 %.</w:t>
      </w:r>
    </w:p>
    <w:p>
      <w:pPr>
        <w:pStyle w:val="ListParagraph"/>
        <w:numPr>
          <w:ilvl w:val="0"/>
          <w:numId w:val="2"/>
        </w:numPr>
        <w:spacing w:after="60"/>
      </w:pPr>
      <w:r>
        <w:rPr>
          <w:b/>
        </w:rPr>
        <w:t xml:space="preserve">Directivos comprando</w:t>
      </w:r>
      <w:r>
        <w:t xml:space="preserve">: el consejero delegado invirtió ≈3,0 M EUR en julio a 47,84 EUR [42].</w:t>
      </w:r>
    </w:p>
    <w:p>
      <w:pPr>
        <w:pStyle w:val="ListParagraph"/>
        <w:numPr>
          <w:ilvl w:val="0"/>
          <w:numId w:val="2"/>
        </w:numPr>
        <w:spacing w:after="60"/>
      </w:pPr>
      <w:r>
        <w:rPr>
          <w:b/>
        </w:rPr>
        <w:t xml:space="preserve">Modernización al alza</w:t>
      </w:r>
      <w:r>
        <w:t xml:space="preserve">: pedidos del 2T26 +10,6 % y cartera de 9.630,8 M [12].</w:t>
      </w:r>
    </w:p>
    <w:p>
      <w:pPr>
        <w:pStyle w:val="ListParagraph"/>
        <w:numPr>
          <w:ilvl w:val="0"/>
          <w:numId w:val="2"/>
        </w:numPr>
        <w:spacing w:after="60"/>
      </w:pPr>
      <w:r>
        <w:rPr>
          <w:b/>
        </w:rPr>
        <w:t xml:space="preserve">Dividendo</w:t>
      </w:r>
      <w:r>
        <w:t xml:space="preserve">: 1,80 EUR por acción, un 3,3 % de rentabilidad [1].</w:t>
      </w:r>
    </w:p>
    <w:p>
      <w:pPr>
        <w:pStyle w:val="Heading2"/>
      </w:pPr>
      <w:r>
        <w:t xml:space="preserve">En contra</w:t>
      </w:r>
    </w:p>
    <w:p>
      <w:pPr>
        <w:pStyle w:val="ListParagraph"/>
        <w:numPr>
          <w:ilvl w:val="0"/>
          <w:numId w:val="2"/>
        </w:numPr>
        <w:spacing w:after="60"/>
      </w:pPr>
      <w:r>
        <w:rPr>
          <w:b/>
        </w:rPr>
        <w:t xml:space="preserve">Valor intrínseco muy por debajo</w:t>
      </w:r>
      <w:r>
        <w:t xml:space="preserve">: 41,05 EUR, un 25,7 % bajo el precio.</w:t>
      </w:r>
    </w:p>
    <w:p>
      <w:pPr>
        <w:pStyle w:val="ListParagraph"/>
        <w:numPr>
          <w:ilvl w:val="0"/>
          <w:numId w:val="2"/>
        </w:numPr>
        <w:spacing w:after="60"/>
      </w:pPr>
      <w:r>
        <w:rPr>
          <w:b/>
        </w:rPr>
        <w:t xml:space="preserve">Margen rezagado</w:t>
      </w:r>
      <w:r>
        <w:t xml:space="preserve">: EBIT ajustado del 12,2 % frente al 14,8 % de Otis [18].</w:t>
      </w:r>
    </w:p>
    <w:p>
      <w:pPr>
        <w:pStyle w:val="ListParagraph"/>
        <w:numPr>
          <w:ilvl w:val="0"/>
          <w:numId w:val="2"/>
        </w:numPr>
        <w:spacing w:after="60"/>
      </w:pPr>
      <w:r>
        <w:rPr>
          <w:b/>
        </w:rPr>
        <w:t xml:space="preserve">TKE</w:t>
      </w:r>
      <w:r>
        <w:t xml:space="preserve">: 270 M de acciones nuevas y 5.000 M en efectivo, con competencia en segunda fase en EE. UU. [37, 72].</w:t>
      </w:r>
    </w:p>
    <w:p>
      <w:pPr>
        <w:pStyle w:val="ListParagraph"/>
        <w:numPr>
          <w:ilvl w:val="0"/>
          <w:numId w:val="2"/>
        </w:numPr>
        <w:spacing w:after="60"/>
      </w:pPr>
      <w:r>
        <w:rPr>
          <w:b/>
        </w:rPr>
        <w:t xml:space="preserve">China</w:t>
      </w:r>
      <w:r>
        <w:t xml:space="preserve">: 19 % de las ventas y obra nueva cayendo otro ≈10 % en 2026 [1].</w:t>
      </w:r>
    </w:p>
    <w:p>
      <w:pPr>
        <w:pStyle w:val="ListParagraph"/>
        <w:numPr>
          <w:ilvl w:val="0"/>
          <w:numId w:val="2"/>
        </w:numPr>
        <w:spacing w:after="60"/>
      </w:pPr>
      <w:r>
        <w:rPr>
          <w:b/>
        </w:rPr>
        <w:t xml:space="preserve">Caja neta menguante</w:t>
      </w:r>
      <w:r>
        <w:t xml:space="preserve">: de 2.164 M en 2021 a 245,5 M en junio de 2026 [12].</w:t>
      </w:r>
    </w:p>
    <w:p>
      <w:pPr>
        <w:pStyle w:val="Heading2"/>
      </w:pPr>
      <w:r>
        <w:t xml:space="preserve">Qué tiene que pasar para que la tesis funcione</w:t>
      </w:r>
    </w:p>
    <w:p>
      <w:pPr>
        <w:spacing w:after="100"/>
      </w:pPr>
      <w:r>
        <w:t xml:space="preserve">La tesis depende de que el mercado siga pagando 25-27 veces el beneficio de KONE mientras se aprueba TKE. La señal en contra sería un margen ajustado del 3T26 por debajo del 12,3 % (la guía queda en el aire) o remedios de competencia en Norteamérica, que reducirían las sinergias de 700 M a unos 450 M y harían que el mercado tratase a KONE como a Otis (16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(1S26); guía 12,3-13,0 %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12,3 %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de 2026e-2028e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Adelantan las ventas de modernización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del total, −14,3 %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o peor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Arrastre principal de la obra nueva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neta con intereses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Deuda neta antes del cierre de TKE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un dividendo por encima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Remedios de competencia de TKE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 de TKE Europa en preparación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en EE. UU.</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Deciden las sinergias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14,8x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 / 23,7x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KONE nace en 1910 como filial de un taller de reparaciones de Helsinki; en 1924 la compra Harald Herlin y desde entonces la controla la familia Herlin, hoy a través de las acciones de clase A (Antti Herlin, presidente desde 2003) [17]. Creció comprando: el negocio de ascensores de ASEA (1968), el europeo de Westinghouse (1974) y Montgomery en EE. UU. (1994) [17]. En 1996 lanzó MonoSpace, el primer ascensor sin cuarto de máquinas, y en 1998 abrió su fábrica de Kunshan en China, que llegaría a ser su mayor mercado de equipo nuevo [17]. En 2005 escindió Cargotec y quedó como empresa pura de ascensores [17]. En 2020 abandonó una oferta conjunta con CVC de unos 17.000 M EUR por TK Elevator, en parte por el riesgo de competencia [24]; en abril de 2026 acordó combinarse con TKE por un valor empresa de 29.400 M EUR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KONE (27 de octubre) a partir del taller Tarmo de Helsinki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Harald Herlin compra la compañía: empieza el control de la familia Herlin, que dura hasta hoy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negocio de ascensores de ASEA y pasa a liderar el norte de Europa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negocio europeo de ascensores de Westinghouse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Montgomery Elevator: entrada a escala en EE. UU., hoy su primer país (21 % de las ventas de 2025)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MonoSpace, el primer ascensor sin cuarto de máquinas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fábrica de Kunshan (China) y se alía con Toshiba en Japón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Escinde Cargotec y queda como empresa pura de ascensores y escaleras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multa con 992 M EUR al cártel de ascensores (Otis, KONE, Schindler, ThyssenKrupp); KONE obtiene inmunidad en Bélgica y Luxemburgo por delatarlo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 la oferta conjunta con CVC por TK Elevator (unos 17.000 M EUR), en parte por el riesgo de competencia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 ajustado cae al 9,9 % (12,5 % en 2021) por costes y China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sustituye a Henrik Ehrnrooth como consejero delegado (1 de enero)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combinarse con TKE (29 de abril), aprobado por la junta extraordinaria del 3 de junio; cierre como pronto en el 2T27 [12,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KONE diseña, fabrica, instala, mantiene y moderniza ascensores, escaleras mecánicas y puertas automáticas. Reporta un único segmento (NIIF 8) y desglosa las ventas en tres líneas: equipo nuevo (New Building Solutions, 4.098 M EUR en 2025, 36 %), mantenimiento (Service, 4.754 M EUR, 42 %) y modernización (2.394 M EUR, 21 %) [1]. Los clientes del equipo nuevo son promotores y constructoras de vivienda, oficinas e infraestructuras; los del servicio, propietarios y gestores de edificios, comunidades y administraciones. Mantiene también equipos de otros fabricantes [1]. Vendió 11.245 M EUR en 2025: 40 % en Europa, 25 % en América, 19 % en Gran China y 15 % en el resto de Asia-Pacífico, Oriente Medio y África; por países, EE. UU. 21 %, China 18 %, Alemania 8 % y Francia 6 % [1]. Mantiene unos 1,8 millones de unidades y tiene unos 65.000 empleados [2].</w:t>
      </w:r>
    </w:p>
    <w:p>
      <w:pPr>
        <w:pStyle w:val="Heading2"/>
      </w:pPr>
      <w:r>
        <w:t xml:space="preserve">Cómo gana dinero</w:t>
      </w:r>
    </w:p>
    <w:p>
      <w:pPr>
        <w:spacing w:after="100"/>
      </w:pPr>
      <w:r>
        <w:t xml:space="preserve">El equipo nuevo es la puerta de entrada: margen bajo, pero la mayoría de las unidades entregadas pasa a la base de mantenimiento, que se cobra con cuotas fijas durante décadas, y al final de su vida llega la modernización [1]. KONE no publica márgenes por línea; la referencia más cercana es Otis, con un margen operativo del 4,8 % en equipo nuevo y del 25,1 % en servicio y modernización en 2025 [18]. Servicio y modernización ya son el 63 % de las ventas de KONE (46 % en 2021) [1, 7]. El margen depende de la densidad de rutas de los técnicos, de los salarios (36 % de los costes: 4.091 M EUR de 9.951 M) y de materiales y subcontratas (3.878 M) [1]. El circulante es negativo (−798 M EUR a fin de 2025) porque cobra anticipos en todas las líneas [1, 2]. Para 2026 espera crecer un 3-6 % a tipos constantes con un margen EBIT ajustado del 12,3-13,0 % [12].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 (New Building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Modernización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 nuevo (New Building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Modernización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primer cliente, en EE. UU., supuso el 0,3 % de las ventas de 2025 [1]. Los contratos de mantenimiento son de cuota fija y se renuevan año a año; la base mantenida creció de algo más de 1,7 a unos 1,8 millones de unidades en 2025, sobre todo por la conversión de las entregas de equipo nuevo y por pequeñas compras, aunque el saldo de contratos ganados y perdidos frente a la competencia fue «ligeramente negativo» fuera de China y peor en China, donde KONE ha podado contratos poco rentables [2]. El poder de precios es real pero no excepcional: el margen EBIT ajustado pasó del 9,9 % de 2022 al 12,2 % de 2025 con «mejores precios» en servicio, mientras en el equipo nuevo de China la competencia de precios sigue siendo intensa [2, 7]. Cobra anticipos en todas las líneas, lo que deja el circulante en negativo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(+6,8 %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+10,6 %; no incluye los contratos de mantenimiento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9.058,6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8.804,3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9.630,8 M EUR en jun-26, +12,3 % frente a jun-25 con la cifra reexpresada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mantenimiento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algo más de 1,7 millones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 millones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crece (KONE no da la cifra exacta)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pequeñas compras; TKE aportaría más de 1,4 millones [2,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Ascensores conectados en la base mantenida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40 %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aprox.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mantenimiento predictivo 24/7 Connected Services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12,3-13,0 %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servicio y modernización en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clasificación de 2025; en 2026 KONE pasó 301 M EUR de reparaciones de modernización a servicio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233,9 M EUR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y escaleras mecánicas en sus tres negocios: equipo nuevo, mantenimiento y modernización. Usamos Roland Berger, que lo estima en 110.000 M USD en 2025 y 133.000 M USD en 2030 (≈ 4 % anual), con el mantenimiento como mayor negocio y la modernización como el que más crece (≈ 7 % anual) [22]. Credence Research da una cifra mucho mayor, 161.730 M USD en 2024 y 228.940 M USD en 2032 (4,4 % anual), con un perímetro menos claro que solo distingue instalación nueva y mantenimiento [23]. Preferimos Roland Berger porque su tamaño cuadra con las ventas de los grandes: los cinco primeros suman unos 50.000 M EUR, la mitad de su cifra (estimación propia) [15, 18, 19,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 97.300 M EUR al cambio medio del BCE de 2025, 1,13 USD/EUR) [22,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KONE en Gran China cayeron un 14,3 % en 2025 (2.166 M EUR) y su peso pasó del 23 % al 19 %; KONE espera que el mercado chino de equipo nuevo caiga otro 10 % en 2026 y Roland Berger no ve mejora antes de 2027 [1, 14,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modernización de KONE crecieron un 17,4 % a tipos constantes en 2025, con dos dígitos en todas las regiones; KONE habla de más de 10 millones de unidades listas para modernizar y China es el mercado de modernización que más crece [1, 2,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base mantenida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mantenimiento es el mayor negocio del mercado y aportará 13.000 de los 23.000 M USD de crecimiento hasta 2030; las ventas de servicio de KONE crecieron un 7,6 % a tipos constantes en 2025 [2,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en India, Oriente Medio y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KONE en Asia-Pacífico, Oriente Medio y África crecieron un 15,0 % a tipos constantes en 2025, con India ya en el 4 % de las ventas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descarbonización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entregas de KONE lleva variadores regenerativos y el 50 % de sus ventas de 2025 (5.627 M EUR) está alineado con la taxonomía europea [1,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Juntas venderían unos 20.500 M EUR y mantendrían 3,2 millones de unidades; en Europa el número de grandes pasaría de cuatro a tres y Schindler ha dicho que recurrirá la operación [15,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con márgenes del 12-15 % (Otis 14,8 %, TKE 14,8 % ajustado, Schindler 12,6 %, KONE 11,9 %) conviven con guerra de precios en el equipo nuevo de China y con independientes en el mantenimiento; KONE perdió algo más de contratos de los que ganó fuera de China en 2025 [2, 15, 18,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fuerte el equipo nuevo (Otis gana un 4,8 % en él); en el mantenimiento el cliente cambia poco por el coste de un fallo y las piezas propias, y el primer cliente de KONE es el 0,3 % de las ventas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Materiales y subcontratas son 3.878 M EUR de costes; muchos proveedores están en China y los aranceles de 2025 tuvieron «algún impacto negativo». El golpe de costes de 2022 llevó el margen ajustado al 9,9 %, pero se recuperó con precios [1,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red densa de técnicos (KONE y TKE suman más de 100.000 empleados) y años de entregas para tener base mantenida; los nuevos entran por el equipo nuevo de bajo coste en Asia, no por el servicio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transporte vertical en edificios de varias plantas; el riesgo está en la forma de prestar el servicio (sensores y mantenimiento remoto de terceros), no en el producto.</w:t>
            </w:r>
          </w:p>
        </w:tc>
      </w:tr>
    </w:tbl>
    <w:p>
      <w:pPr>
        <w:spacing w:after="160" w:before="0"/>
      </w:pPr>
    </w:p>
    <w:p>
      <w:pPr>
        <w:pStyle w:val="Heading2"/>
      </w:pPr>
      <w:r>
        <w:t xml:space="preserve">Ciclo</w:t>
      </w:r>
    </w:p>
    <w:p>
      <w:pPr>
        <w:spacing w:after="100"/>
      </w:pPr>
      <w:r>
        <w:t xml:space="preserve">El ciclo va partido: el equipo nuevo mundial cayó ligeramente en 2025 por China, mientras crecía en Norteamérica, Europa y el resto de Asia, y el servicio y la modernización crecieron en todas las regiones [2]. Los pedidos de KONE crecieron un 10,6 % en el 2T26 y su cartera un 12,3 % [12]. En 2020 sus ventas solo cayeron un 0,4 % (+1,4 % a tipos constantes) [5]; en 2022 el golpe vino de los costes, con el margen ajustado del 12,5 % al 9,9 % [7]. No hay datos comparables de 2008-09 en los documentos leídos.</w:t>
      </w:r>
    </w:p>
    <w:p>
      <w:pPr>
        <w:pStyle w:val="Heading2"/>
      </w:pPr>
      <w:r>
        <w:t xml:space="preserve">Regulación</w:t>
      </w:r>
    </w:p>
    <w:p>
      <w:pPr>
        <w:spacing w:after="100"/>
      </w:pPr>
      <w:r>
        <w:t xml:space="preserve">Las normas de seguridad (EN 81 en Europa) obligan a inspecciones periódicas y empujan la modernización de equipos antiguos; KONE ve la exigencia de eficiencia energética como motor de la modernización y en 2025 alineó con la taxonomía europea el 50 % de sus ventas [1]. La regulación que más pesa hoy es la de competencia: la combinación con TKE necesita autorizaciones en la UE, el Reino Unido y otros países. En mayo de 2026 no estaba notificada a la Comisión [24]; KONE dice que las solicitudes están «presentadas o en curso en todas las jurisdicciones clave» [12]. La CMA británica abrió consulta el 22-sep-2026 sin haber iniciado aún su fase 1 [26].</w:t>
      </w:r>
    </w:p>
    <w:p>
      <w:pPr>
        <w:pStyle w:val="Heading2"/>
      </w:pPr>
      <w:r>
        <w:t xml:space="preserve">Tendencias y disrupción</w:t>
      </w:r>
    </w:p>
    <w:p>
      <w:pPr>
        <w:spacing w:after="100"/>
      </w:pPr>
      <w:r>
        <w:t xml:space="preserve">Tres tendencias. Primera, la conectividad y la IA en el mantenimiento: el 44 % de los ascensores mantenidos por KONE están conectados y su asistente de IA para técnicos lo usan más de 13.000 personas en 56 países [12]; Otis tiene 1,1 de sus 2,5 millones de unidades conectadas [18]. Esto favorece a los fabricantes con escala y datos y abarata cada visita, aunque podría dar armas a los independientes si los sensores de terceros se generalizan (opinión propia). Segunda, la modernización de una base envejecida, el negocio que más crece [22]. Tercera, los fabricantes chinos de bajo coste en el equipo nuevo de Asia, a lo que KONE responde con gamas más baratas para vivienda [1, 14]. KONE gana con las dos primeras por su peso en servicio.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Tercero mundial por ventas (11.245 M EUR en 2025), por detrás de Otis y Schindler; la cuota del 11,6 % es una estimación propia sobre el mercado de Roland Berger convertido a euros [1, 22]. Con TKE sería el primero, con unos 20.500 M EUR de ventas y 3,2 millones de unidades mantenidas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del mundo: 14.431 M USD de ventas en 2025 (convertidas a 1,13 USD/EUR), 2,5 millones de unidades mantenidas; margen operativo del 4,8 % en equipo nuevo y del 25,1 % en servicio, que es el 65 % de sus ventas [18,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10.947 M CHF de ventas en 2025 (convertidas a 0,937 CHF/EUR), +1,3 % en moneda local; margen ajustado del 13,3 %. Ha dicho que recurrirá la operación KONE-TKE y que podría comprar los negocios que se vendan como remedio [19, 24,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Advent y Cinven; ventas de unos 9.200 M EUR en el ejercicio a septiembre de 2025 y margen EBIT AJUSTADO del 14,8 % (11,1 % en 2022), más de 1,4 millones de unidades mantenidas y 65 % de las ventas en servicio y modernización. Objetivo de la combinación con KONE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(Building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enero de 2026 para el ejercicio a marzo de 2026: 850.000 M JPY de ventas (−9 %) y EBITA ajustado del 12,0 %; cae por el equipo nuevo en China y compensa con servicio. Convertido a 174,8 JPY/EUR [21,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Mitsubishi Electric (Building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6503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707.800 M JPY de ventas en el ejercicio a marzo de 2026 (+6 %) y 66.700 M JPY de beneficio operativo; crece por la consolidación de una filial en Oriente Medio, por los mercados fuera de Japón (sin China) y por la renovación en Japón. Convertido a 174,8 JPY/EUR [20,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sentido estricto; los datos de 0,8 millones de equipos conectados (44 % de 1,8 millones) mejoran el diagnóstico, pero no hacen el servicio más valioso para un cliente por tener más clientes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Piezas, software y conocimiento propios hacen que el mantenimiento se quede casi siempre con el fabricante: la base mantenida crece cada año, aunque en 2025 KONE perdió algo más de contratos de los que ganó fuera de China [2]. El servicio de Otis gana un 25,1 % frente al 4,8 % del equipo nuevo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(MonoSpace, UltraRope, variadores regenerativos en el 75 % de las entregas) y marca reconocida, pero el equipo nuevo se compra sobre todo por precio y las licitaciones públicas lo comparan [9,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demuestra: su margen EBIT ajustado del 12,2 % en 2025 está por debajo del de Otis (14,8 %), TKE (14,8 % ajustado) y Schindler (13,3 % ajustado) [2, 10, 5,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densidad de rutas de técnicos por ciudad da economías de escala locales: de los ≈ 700 M EUR de sinergias de la combinación con TKE, la primera partida es la productividad por redes de servicio más densas [5].</w:t>
            </w:r>
          </w:p>
        </w:tc>
      </w:tr>
    </w:tbl>
    <w:p>
      <w:pPr>
        <w:spacing w:after="160" w:before="0"/>
      </w:pPr>
    </w:p>
    <w:p>
      <w:pPr>
        <w:pStyle w:val="Heading2"/>
      </w:pPr>
      <w:r>
        <w:t xml:space="preserve">Amenazas</w:t>
      </w:r>
    </w:p>
    <w:p>
      <w:pPr>
        <w:spacing w:after="100"/>
      </w:pPr>
      <w:r>
        <w:t xml:space="preserve">Primera, la combinación con TKE: Bruselas puede exigir más ventas de las previstas. KONE prepara vender gran parte del negocio europeo de TKE (unos 2.500 M EUR de ventas, el 27 % de TKE, según Reuters) [25] y dice que los 700 M de sinergias ya descuentan esas ventas [14]; si el remedio crece o el cierre se retrasa más allá del 2T27, se pierde parte de la lógica de densidad. Probabilidad media. Segunda, China: guerra de precios en el equipo nuevo y pérdida de contratos de mantenimiento [2]. Probabilidad alta, pero ya pesa solo el 19 % de las ventas [1]. Tercera, la tecnología: sensores de terceros, mantenimiento remoto e IA abaratan el servicio y pueden dar más armas a los independientes; a cambio, KONE reduce coste por visita. Probabilidad baja-media a cinco años (opinión propia). Cuarta, los ciberataques sobre equipos conectados, que KONE cita entre sus riesgos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2,5 %</w:t>
      </w:r>
      <w:r>
        <w:t xml:space="preserve">, EBITDA </w:t>
      </w:r>
      <w:r>
        <w:rPr>
          <w:b/>
          <w:bCs/>
        </w:rPr>
        <w:t xml:space="preserve">2,7 %</w:t>
      </w:r>
      <w:r>
        <w:t xml:space="preserve">, BPA </w:t>
      </w:r>
      <w:r>
        <w:rPr>
          <w:b/>
          <w:bCs/>
        </w:rPr>
        <w:t xml:space="preserve">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2,5 % anual entre 2020 y 2025 (9.938,5 a 11.245,2 M), con un cambio de mezcla profundo: obra nueva cae de 5.637,7 M en 2021 a 4.097,7 M en 2025 por el desplome de la construcción en China (China, como país, pasó de unos 26 % de las ventas en 2023 al 18 % en 2025), mientras servicio y modernización suben de 4.876,6 a 7.147,6 M [1, 3, 4, 6]. Las compras son pequeñas (117,7 M en 2025, 33 operaciones) y no mueven el crecimiento [1]. El margen EBIT publicado tocó suelo en 2022 (9,5 %) por la inflación de materiales y fletes, los costes de China y la salida de Rusia, y se ha recuperado al 11,9 % en 2025 (ajustado: del 9,9 % al 12,2 %) [1]. Los materiales directos y la subcontratación bajaron del 40,9 % de las ventas en 2022 al 34,5 % en 2025, el principal motor de la mejora, junto con la mezcla hacia servicio [1, 3]. En el LTM a junio de 2026 el EBIT publicado baja ligeramente (1.326,7 M) por 58,3 M de partidas no comparables del 1S26, sobre todo costes de la operación TKE [12].</w:t>
      </w:r>
    </w:p>
    <w:p>
      <w:pPr>
        <w:pStyle w:val="Heading2"/>
      </w:pPr>
      <w:r>
        <w:t xml:space="preserve">Ajustes y partidas no recurrentes</w:t>
      </w:r>
    </w:p>
    <w:p>
      <w:pPr>
        <w:spacing w:after="100"/>
      </w:pPr>
      <w:r>
        <w:t xml:space="preserve">Se usan cifras publicadas. KONE publica un «EBIT ajustado» que excluye «partidas que afectan a la comparabilidad»: 15 M en 2021, 45 M en 2022 (deterioros y provisiones por Rusia y Ucrania y reestructuración), 48 M en 2023 (reestructuración, con una plusvalía de 8,0 M por la venta de Rusia), 54 M en 2024 (36 M de reestructuración y 18 M de desarrollos dados de baja), 33 M en 2025 (separación del negocio de puertas y reestructuración) y 58,3 M en 1S26 [1, 3, 12]. Como la reestructuración se repite todos los años, no se trata como no recurrente en los ejercicios. Sí en el LTM: 25,8 M de costes de la operación TKE y 18 M de provisión por la liquidación del plan de pensiones de prestación definida de KONE Inc. en EE. UU. (43,8 M en no_recurrentes_en_ebitda) [12]. El EBITDA es EBIT + amortizaciones (incluidos los derechos de uso). 2020 y 2021 llevan dividendo extraordinario (0,50 y 0,35 EUR) [5,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(29-abr-2026).</w:t>
      </w:r>
      <w:r>
        <w:t xml:space="preserve"> La conferencia se dedicó casi entera al anuncio de la combinación con TKE: 5.000 M en efectivo y hasta 270 M de acciones B nuevas, valor empresa de 29.400 M con 9.200 M de deuda neta de TKE, 700 M de sinergias de costes antes de impuestos y cierre como pronto en el 2T27 [13]. Los analistas preguntaron sobre todo por la competencia (qué parte de TKE habrá que vender), el apalancamiento cercano a 4 veces al cierre frente al «grado de inversión sólido» prometido y si el número de acciones es fijo aunque suba la cotización (sí: «es un compromiso de número de acciones»). La dirección no detalló remedios ni calendario regulatorio ni cómo bajará la deuda [13]. Confirmó dividendo por 2026 y dividendo «estable» los primeros años tras el cierre [13]. </w:t>
      </w:r>
      <w:r>
        <w:rPr>
          <w:b/>
        </w:rPr>
        <w:t xml:space="preserve">2T26 (22-jul-2026).</w:t>
      </w:r>
      <w:r>
        <w:t xml:space="preserve"> Pedidos +10,9 % a divisa constante y margen ajustado del 12,6 % (+40 pb) [12, 14]. Las preguntas se repitieron sobre el margen de los pedidos, que bajó ligeramente por la inflación de costes (la empresa subió precios en todas las regiones salvo China), sobre el crecimiento de servicio por debajo del 6 % (base alta en China, menos compras pequeñas por la operación TKE y «problemas de ejecución» en reparaciones) y sobre el calendario de la autorización en EE. UU., que la dirección se negó a comentar [14]. Del primer trimestre al segundo el discurso pasa de la operación a la inflación y los precios; las sinergias de 700 M se reiteran [14]. La guía de 2026 de febrero (ventas +2-6 % a divisa constante) [2] se estrechó a +3-6 % en abril [11] y se mantuvo en julio, con margen EBIT ajustado del 12,3-13,0 % [12]. El EBITDA trimestral de la tabla es EBIT publicado + amortizaciones [8, 9, 10, 11,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KONE funciona con circulante negativo: anticipos de clientes y facturación adelantada (1.965,2 M) y proveedores financian existencias, clientes y obra en curso; el circulante con impuestos y partidas financieras fue de -797,6 M en 2025 frente a -1.468,2 M en 2021 [1, 6]. Esa pérdida de casi 700 M de financiación gratuita, por la caída de obra nueva y de anticipos en China, explica la mayor parte de la bajada de la caja neta con intereses, de 2.164 M en 2021 a 700 M en 2025 [1]. A la vez se pagó más de lo ganado en dividendos (pago superior al 95 % todos los años, con extraordinarios en 2020 y 2021). La deuda financiera es casi solo dos préstamos del BEI de 200 M (uno a tipo fijo que vence en 2026 y otro variable hasta 2031; la deuda con intereses a corto bajó de 355,1 a 157,7 M en el 1S26) [1, 12]. Coste de la deuda, estimación propia: intereses pagados de 35,7 M entre una deuda bruta media con arrendamientos de 857,7 M (4,2 %). A jun-26 la caja neta baja a 245,5 M tras el dividendo de 932,7 M pagado en el 1S26 [12]. Tras el cierre con TKE el grupo pasará a deuda neta: unos 13.000 M, según los analistas en la conferencia del 1T26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5.827</w:t>
      </w:r>
      <w:r>
        <w:t xml:space="preserve">, conversión </w:t>
      </w:r>
      <w:r>
        <w:rPr>
          <w:b/>
          <w:bCs/>
        </w:rPr>
        <w:t xml:space="preserve">104 %</w:t>
      </w:r>
      <w:r>
        <w:t xml:space="preserve"> del beneficio neto; adquisiciones 512, dividendos 5.877, recompras 96.</w:t>
      </w:r>
    </w:p>
    <w:p>
      <w:pPr>
        <w:spacing w:after="100"/>
      </w:pPr>
      <w:r>
        <w:t xml:space="preserve">La conversión es alta: el flujo operativo (después de intereses e impuestos) superó al beneficio neto en todos los años salvo 2022, cuando cayó a 531,5 M por el consumo de circulante (subida de existencias y clientes y caída de anticipos en China) [1, 7]. Los intereses pagados, también los de arrendamientos, van en el flujo operativo; el principal de los arrendamientos (150,5 M en 2025) va en financiación [1, 12]. El capex en inmovilizado material e intangible es bajo, 1,4 % de las ventas en 2025 (fábricas, I+D, licencias y dispositivos de conexión) [1]; KONE no separa mantenimiento y crecimiento. Estimación propia: las amortizaciones sin derechos de uso son unos 160 M (96 M de inmovilizado propio y 63 M de intangibles, buena parte de clientes comprados), así que el capex de 154 M está cerca del de mantenimiento. Las altas de arrendamientos (224,1 M en 2025, sobre todo furgonetas de mantenimiento y oficinas) no son caja y por eso el «capex» de las cifras clave (378 M) es mayor [1]. 2023 lleva -2,1 M en desinversiones por la caja entregada con la venta de Rusia [3]. En el LTM a jun-26 el flujo operativo sube a 1.399,1 M [12].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Oy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desde la junta del 2 de marzo de 2021 (cinco ejercicios seguidos a 2025) y su opinión sobre 2025 es favorable [1]. Las cuestiones clave de auditoría son el reconocimiento de ingresos por grado de avance en obra nueva y modernización, que depende de estimar los costes totales de cada contrato, y la valoración de las cuentas por cobrar, con el riesgo de crédito de los promotores chinos [1]. La I+D se lleva a gastos (233,9 M en 2025) y no hay intereses activados [1]. Hay partidas «no comparables» todos los años (15-58 M), casi siempre reestructuración: no son extraordinarias. Dos cambios de 2026 piden atención: la reexpresión de 2025 que pasa unos 301 M de reparaciones de Modernización a Servicio (y baja la cartera de pedidos de dic-25 en 111 M), y el cambio de política contable que lleva los costes de las coberturas de la operación TKE a patrimonio en lugar de a resultados (70,2 M diferidos en el 1S26, sin reexpresar los periodos anteriores) [12]. El tipo impositivo efectivo es estable (22,6-25,2 % entre 2020 y 2025) [1, 3]. Lectura de Altman, Piotroski y Beneish: pendiente del cálculo del motor; con circulante negativo y sin deuda neta, el Altman Z debería salir muy alto y no significa riesgo.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coberturas de la operación TKE llevados a patrimonio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70,2 M de costes diferidos en patrimonio en el 1S26 que antes habrían ido a resultados; los periodos anteriores no se reexpresan por «impacto inmaterial» [12]. Inflan el beneficio del año respecto a la política antigua.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líneas de negocio y de la cartera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Reparaciones pasan de Modernización a Servicio (unos 301 M en 2025) y la cartera de dic-25 baja de 8.804,3 a 8.693,0 M; no cambia el total de ventas, pero hace que Modernización crezca menos sobre la nueva base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comparables»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 y 58 M al año desde 2021, casi siempre reestructuración; el EBIT ajustado de la empresa sobrestima algo el recurrente [1,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crédito de promotores chinos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Cuestión clave de auditoría; la empresa sigue «muy de cerca» el riesgo de los promotores chinos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1.553 M en 2025 (el 49 % del capital invertido medio); ha subido más de un 5 % en 2 de 5 años: compras pequeñas. ROIC publicado 31,2 %; sin fondo de comercio, 60,8 %.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8,7 %.</w:t>
      </w:r>
    </w:p>
    <w:p>
      <w:pPr>
        <w:spacing w:after="100"/>
      </w:pPr>
      <w:r>
        <w:t xml:space="preserve">Con capital empleado muy bajo (activos empleados de 2.127 M en 2025, porque el circulante es negativo) la rentabilidad es alta: la propia empresa da una rentabilidad sobre el capital empleado del 26,9 % en 2025 y del 27,3 % en el LTM a jun-26, y una rentabilidad sobre fondos propios del 34,7 % y el 35,3 % [1, 12]. El ROIC lo mueve sobre todo la rotación: el capital empleado ha pasado de 1.035 M en 2021 a 2.127 M en 2025 porque se perdió circulante negativo en China y se compraron carteras de mantenimiento (fondo de comercio de 1.405 a 1.553 M) [1, 6]. Por eso el ROIC incremental del motor saldrá bajo o raro: el capital crece por la normalización del circulante, no por inversión productiva. El margen sí ayuda desde 2022 (EBIT del 9,5 % al 11,9 %). Tras la operación TKE el capital invertido se multiplicará (5.000 M en efectivo, hasta 270 M de acciones y 9.200 M de deuda neta de TKE): el ROIC del grupo combinado será muy inferior al actual [12, 13]. Comparación con competidores: a cargo de la nota de comparables.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440,5 M + depósitos e inversiones monetarias a corto 1.268,4 M + línea de crédito comprometida (ligada a sostenibilidad) de 850 M sin disponer; además, un programa de pagarés no comprometido de 500 M [1]. A 30-jun-26: caja 440,1 M y depósitos 690,5 M; caja neta con intereses de 245,5 M [12]. Para TKE tiene financiación comprometida de 14.300 M (Bank of America y BNP Paribas) [12,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citado en el informe anual 2025 ni en el semestral de 2026; la empresa dice que el grupo combinado con TKE «obtendrá un rating sólido de grado de inversión»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pasivos por prestaciones a empleados de 158,7 M a dic-25 y 170,9 M a jun-26 (activos de 13,9 y 13,4 M) [1, 12]; en el 2T26 se dotaron 18 M por la liquidación del plan de prestación definida de EE. UU. [12]. Provisiones de 176,4 M a dic-25 y 197,7 M a jun-26 [1, 12]. Opciones de compra de minoritarios de adquisiciones: 11,8 M [1]. Litigios: demandas civiles derivadas de la decisión de la Comisión Europea de 2007 sobre cárteles en Alemania, Luxemburgo, Bélgica y Países Bajos, con 30,5 M reclamados de forma solidaria a todos los demandados; KONE no las provisiona [12]. Operación TKE: derivados de tipo de interés con contingencia de cierre (6.388 M de nominal; valor razonable de -71,0 M) y a plazo de divisa (7.331 M de nominal); 70,2 M de costes de cobertura diferidos en patrimonio tras el cambio de política contable de 2026 [12]. No se han encontrado </w:t>
      </w:r>
      <w:r>
        <w:rPr>
          <w:i/>
        </w:rPr>
        <w:t xml:space="preserve">covenants</w:t>
      </w:r>
      <w:r>
        <w:t xml:space="preserve">, </w:t>
      </w:r>
      <w:r>
        <w:rPr>
          <w:i/>
        </w:rPr>
        <w:t xml:space="preserve">factoring</w:t>
      </w:r>
      <w:r>
        <w:t xml:space="preserve"> ni </w:t>
      </w:r>
      <w:r>
        <w:rPr>
          <w:i/>
        </w:rPr>
        <w:t xml:space="preserve">confirming</w:t>
      </w:r>
      <w:r>
        <w:t xml:space="preserve">.</w:t>
      </w:r>
    </w:p>
    <w:p>
      <w:pPr>
        <w:pStyle w:val="Heading1"/>
      </w:pPr>
      <w:r>
        <w:t xml:space="preserve">12. Asignación de capital</w:t>
      </w:r>
    </w:p>
    <w:p>
      <w:pPr>
        <w:pStyle w:val="Confianza"/>
        <w:spacing w:after="100"/>
      </w:pPr>
      <w:r>
        <w:t xml:space="preserve">Confianza: Media</w:t>
      </w:r>
    </w:p>
    <w:p>
      <w:pPr>
        <w:spacing w:after="100"/>
      </w:pPr>
      <w:r>
        <w:t xml:space="preserve">KONE no tiene una política de dividendos formal [1]. En la práctica reparte casi todo el beneficio: pago del 95-117 % entre 2021 y 2025, con dividendo extraordinario en 2020 (0,50 EUR) y 2021 (0,35 EUR); el de 2025 fue de 1,80 EUR por acción B (931,95 M) [1, 5, 6]. No hay recompras salvo para los planes de incentivos (45,8 M en 2021 y 50,0 M en 2022) [1]. La caja se usa además en compras pequeñas de carteras de mantenimiento (117,7 M en 2025). Con TKE la prioridad cambia: dividendo «estable» los primeros años tras el cierre y creciente después, compromiso de grado de inversión y reducción de deuda; la empresa confirma el dividendo por 2026 [13]. Antti Herlin se ha comprometido a comprar acciones por 1.000 M a los accionistas de TKE al cierre y conservará más del 50 % de los votos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 (combinación anunciada el 29-abr-2026)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5.000 M en efectivo + hasta 270 M de acciones B nuevas + refinanciación de unos 9.200 M de deuda neta de TKE; financiación comprometida de 14.300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aprobada por la junta extraordinaria del 3-jun-2026; cierre como pronto en el 2T27 sujeto a competencia; 700 M de sinergias anuales antes de impuestos al tercer año con costes únicos de 1-1,2 veces esa cifra [12,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 compras pequeñas, sobre todo carteras de mantenimiento en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materiales; 72,0 M asignados a intangibles de clientes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materiales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compras en EMEA (ascensores, escaleras y puertas automáticas); venta de las operaciones en Rusia (octubre)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materiales; la salida de Rusia costó deterioros y provisiones en 2022 y dejó una plusvalía de 8,0 M en 2023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materiales [3].</w:t>
            </w:r>
          </w:p>
        </w:tc>
      </w:tr>
    </w:tbl>
    <w:p>
      <w:pPr>
        <w:spacing w:after="160" w:before="0"/>
      </w:pPr>
    </w:p>
    <w:p>
      <w:pPr>
        <w:spacing w:after="100"/>
      </w:pPr>
      <w:r>
        <w:t xml:space="preserve">Hasta 2025 KONE ha sido un asignador de capital conservador: casi todo el flujo libre se ha devuelto en dividendos y las compras han sido pequeñas, de carteras de mantenimiento [1, 3]. Ese reparto por encima del beneficio, sumado a la pérdida de circulante negativo en China, ha consumido 1.460 M de caja neta desde 2021 [1]. La operación TKE rompe con esa historia: es la mayor de su historia (29.400 M de valor empresa), se paga con deuda y con hasta un 52 % más de acciones (270 M sobre 517,9 M en circulación) y su éxito depende de 700 M de sinergias y de lo que pidan las autoridades de competencia; KONE ya prepara la venta de gran parte del negocio europeo de TKE [12, 13]. El veredicto sobre la dirección queda abierto hasta conocer los remedios, el precio de lo que se venda y el apalancamiento real al cierre.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Delorme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el 1-ene-2024, fichado de fuera: venía de Schneider Electric, donde fue vicepresidente ejecutivo de operaciones en Europa y miembro del comité ejecutivo de 2009 a 2023 [29]. Con él al mando las ventas de 2025 crecieron un 4,0 % a tipos constantes y el margen EBIT ajustado subió del 11,7 % al 12,2 % [30, 50]. Llegó al cierre de 2025 sin acciones [29] y el 23-jul-2026, al día siguiente de los resultados semestrales, compró 62.500 acciones B en bolsa a 47,84 EUR de media (≈2,99 M EUR, unas 3,5 veces su sueldo base) [42]. Dirigiría el grupo combinado con TKE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Ilkka Hara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miembro del comité de dirección desde 2016; antes fue director general y director financiero de Microsoft Phones (2014-2016) y pasó por Nokia, ABN AMRO y Morgan Stanley [29]. Tenía 68.746 acciones B al cierre de 2025 y recibió 13.421 más del plan de incentivos el 9-feb-2026 [29, 45]. Seguiría como director financiero del grupo combinado con TKE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1991, presidente desde 2003, primer ejecutivo de 1996 a 2006 y presidente ejecutivo de 2006 a 2021 [29]. Accionista de control: a 30-sep-2026, 123,6 M de acciones (23,35 % del capital) y el 62,4 % de los votos, sobre todo a través de Holding Manutas Oy y Security Trading Oy [47, 52]. Comprará a los vendedores de TKE acciones B por 1.000 M EUR al cierre de la operación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del consejo (Executive Vice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la familia de control: consejero desde 2012, vicepresidente desde 2014 y vicepresidente ejecutivo, con contrato laboral, desde 2021; antes fue analista y responsable de estrategia en KONE (2016-2020) y consultor de Accenture [29]. Consejero de Holding Manutas y de Security Trading [29]. Cobró 229.376 EUR en 2025 como empleado [30]. Tiene 105.467 acciones B directas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Johannes Frände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Secretario general (General Counsel)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KONE desde 2012 y en el comité de dirección desde 2021; fue secretario del consejo de 2022 a 2024 [29]. Tenía 10.467 acciones B al cierre de 2025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ventas +0-6 % a tipos constantes y margen EBIT ajustado del 12,4-13,4 % [5]; en octubre, ventas +4-6 % y margen del 12,4-12,8 % por el coste de materiales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+5,3 % a tipos constantes; margen ajustado del 12,5 %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ventas +2-7 % a tipos constantes y EBIT ajustado de 1.180-1.330 M EUR [6]; tres rebajas: 2-5 % y 1.180-1.280 M en abril, de −1 a +3 % y 1.130-1.210 M en julio, y de −1 a −4 % y 1.010-1.090 M en el aviso del 14-oct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−1,8 % a tipos constantes; EBIT ajustado de 1.077 M EUR (9,9 %)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tipos constantes parecidas a las de 2022; el margen ajustado empezaría a recuperarse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+5,0 % a tipos constantes; margen ajustado del 11,4 % (9,9 % en 2022)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estables o con ligero crecimiento a tipos constantes; seguiría la mejora del margen ajustado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+2,2 % a tipos constantes; margen ajustado del 11,7 % (11,4 %)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Ligero crecimiento de las ventas a tipos constantes; seguiría la mejora del margen ajustado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+4,0 % a tipos constantes; margen ajustado del 12,2 % (11,7 %)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+2-6 % a tipos constantes y margen ajustado del 12,3-13,0 % [2]; en abril se precisó la horquilla de ventas a +3-6 % y en julio se mantuvo [11,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ventas +5,0 % a tipos constantes; margen ajustado del 11,8 % (11,3 %) [12]. Año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la guía anual en cuatro de los cinco ejercicios cerrados (2021 y 2023-2025). El fallo de 2022 fue serio: tres rebajas y un EBIT ajustado de 1.077 M EUR, frente a 1.180-1.330 M de partida, por China y el coste de materiales [6, 7, 49]. Desde 2023 la guía es cualitativa y prudente, y se ha superado. La de 2026 se precisó al alza en abril, pero el margen del primer semestre (11,8 %) queda por debajo del rango anual: el año depende de la segunda mitad [12]. El equipo es estable: el consejero delegado es la única incorporación externa (2024) y el director financiero lleva diez años. La sucesión se ve más en la familia (Jussi Herlin, vicepresidente ejecutivo) que en la gestión, y TKE hará más pesado el cargo. La compra de ≈3 M EUR de Delorme en julio es una señal de confianza poco frecuente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Jussi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Herlin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la junta de 2026; vicepresidenta de Security Trading Oy, la sociedad de Antti Herlin, con funciones ejecutivas desde 2024</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Matti Alahuhta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KONE de 2005 a 2014 y cobra una pensión de la empresa (KONE lo considera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 Ihamuotila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Nokia y director financiero de ABB de 2017 a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y retribuciones;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Duinhoven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Marika Fredriksson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Banmali Agrawala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asesor sénior de Tata Sons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Matti Alahuhta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3,47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Antti Herlin (directo y por Holding Manutas Oy y Security Trading Oy)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70,56 M de acciones A y 53,07 M de acciones B; 62,43 %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el último mes [47]; ganó 1.690 acciones B en 2025 [29]. Al cierre de la operación con TKE comprará a Vertical Topco I acciones B por 1.000 M EUR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5,65 M de acciones A y 9,86 M de acciones B; 5,46 %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 con compromiso de votar a favor de la operación con TKE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Polttina Oy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Wipunen varainhallinta oy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Ilmarinen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Mutua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−45.000 acciones en el último mes [47]; compromiso de votar a favor de la operación con TKE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Varma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Mutua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 compromiso de votar a favor de la operación con TKE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(KONE Oyj)</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11.112.228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desde 11.129.576 acciones (marzo de 2026) por la entrega de acciones a los consejeros en abril [34, 40,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Vertical Topco I S.A. (Advent y Cinven, vendedores de TKE)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 accionista significativo: hasta 270 M de acciones B nuevas, ≈33,8 % del capital y ≈18,3 % de los votos al cierre de la operación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al cierre, previsto como pronto en el 2T27; bloqueo de 180 días [37,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Delorme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 Ihamuotila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Devengado por el consejero delegado en 2025: 1,99 M EUR, de los que 1,01 M son fijos (sueldo, especie y pensión) y 0,98 M de variable anual al 115 % del objetivo. Son 42 veces el coste medio por empleado; en caja cobró 2,03 M [30]. No tuvo variable a largo plazo: su primer plan vence en 2027 [30]. En 2025 el tope del variable anual subió del 150 % al 200 % del sueldo; pesan el EBIT (24 %), las ventas (24 %), el margen de los pedidos (16 %), la caja (8 %), la conectividad (8 %) y lo individual (20 %) [30]. El plan a largo plazo mide margen EBIT ajustado (40 %), crecimiento de ventas (40 %) y sostenibilidad (20 %); ni ROIC, ni TSR, ni caja, y sin objetivos publicados [30]. Hay </w:t>
      </w:r>
      <w:r>
        <w:rPr>
          <w:i/>
        </w:rPr>
        <w:t xml:space="preserve">clawback</w:t>
      </w:r>
      <w:r>
        <w:t xml:space="preserve"> y malus, un requisito de acciones por cinco veces el sueldo y una indemnización de 12 meses [31]. Máximo voto en contra en tres juntas: 13,9 % de los votos presentes en 2024 (4,1 % si la cifra son acciones) [34, 35, 36].</w:t>
      </w:r>
    </w:p>
    <w:p>
      <w:pPr>
        <w:pStyle w:val="Heading2"/>
      </w:pPr>
      <w:r>
        <w:t xml:space="preserve">Operaciones vinculadas, estructura de control y defensas</w:t>
      </w:r>
    </w:p>
    <w:p>
      <w:pPr>
        <w:spacing w:after="100"/>
      </w:pPr>
      <w:r>
        <w:t xml:space="preserve">Cada acción A (no cotizada) da un voto y cada diez acciones B, uno [29]. Antti Herlin tiene el 23,35 % del capital y el 62,43 % de los votos; la KONE Foundation tiene el resto de las A [47]. Tres de los ocho consejeros elegidos en 2026 dependen de él [32, 52]: el propio Herlin, que preside; Jussi Herlin, vicepresidente ejecutivo y miembro de las dos comisiones, y Anna Herlin, directiva de Security Trading [29, 33, 52]. KONE se aparta del código finlandés en la independencia de esas comisiones [29]. Con la compra de TKE, Advent y Cinven tendrán hasta el 33,8 % del capital y el 18,3 % de los votos, dos consejeros (uno, covicepresidente) y un bloqueo de solo 180 días [37, 38, 39, 40]. Herlin conserva más del 50 % de los votos, apoyará a esos consejeros y les comprará acciones por 1.000 M EUR [37].</w:t>
      </w:r>
    </w:p>
    <w:p>
      <w:pPr>
        <w:pStyle w:val="Heading2"/>
      </w:pPr>
      <w:r>
        <w:t xml:space="preserve">Señales de alerta</w:t>
      </w:r>
    </w:p>
    <w:p>
      <w:pPr>
        <w:pStyle w:val="ListParagraph"/>
        <w:numPr>
          <w:ilvl w:val="0"/>
          <w:numId w:val="2"/>
        </w:numPr>
        <w:spacing w:after="60"/>
      </w:pPr>
      <w:r>
        <w:t xml:space="preserve">Doble clase de acciones: Antti Herlin controla el 62,4 % de los votos con el 23,4 % del capital, y el consejo admite que se aparta del código en la independencia de las comisiones de nombramientos y retribuciones [29, 47].</w:t>
      </w:r>
    </w:p>
    <w:p>
      <w:pPr>
        <w:pStyle w:val="ListParagraph"/>
        <w:numPr>
          <w:ilvl w:val="0"/>
          <w:numId w:val="2"/>
        </w:numPr>
        <w:spacing w:after="60"/>
      </w:pPr>
      <w:r>
        <w:t xml:space="preserve">Al cierre de la operación con TKE entra un segundo bloque, el de Advent y Cinven, con hasta el 33,8 % del capital, dos consejeros y una comisión de estrategia e integración paritaria; el bloqueo es solo de 180 días, así que hay riesgo de colocaciones a partir de la segunda mitad de 2027 [37, 39].</w:t>
      </w:r>
    </w:p>
    <w:p>
      <w:pPr>
        <w:pStyle w:val="ListParagraph"/>
        <w:numPr>
          <w:ilvl w:val="0"/>
          <w:numId w:val="2"/>
        </w:numPr>
        <w:spacing w:after="60"/>
      </w:pPr>
      <w:r>
        <w:t xml:space="preserve">Pacto de hecho entre el accionista de control y los vendedores: Herlin les compra acciones por 1.000 M EUR fuera del mercado, a la media de 10 sesiones, y se compromete a votar a sus consejeros [37].</w:t>
      </w:r>
    </w:p>
    <w:p>
      <w:pPr>
        <w:pStyle w:val="ListParagraph"/>
        <w:numPr>
          <w:ilvl w:val="0"/>
          <w:numId w:val="2"/>
        </w:numPr>
        <w:spacing w:after="60"/>
      </w:pPr>
      <w:r>
        <w:t xml:space="preserve">El consejero Matti Alahuhta, consejero delegado hasta 2014, cobró de KONE 316.534 EUR de pensión en 2025, y la empresa lo cuenta como independiente [29, 30].</w:t>
      </w:r>
    </w:p>
    <w:p>
      <w:pPr>
        <w:pStyle w:val="ListParagraph"/>
        <w:numPr>
          <w:ilvl w:val="0"/>
          <w:numId w:val="2"/>
        </w:numPr>
        <w:spacing w:after="60"/>
      </w:pPr>
      <w:r>
        <w:t xml:space="preserve">Hubo fondos que votaron en contra de la política de retribución de 2024: OP lo dejó en el acta y los custodios sumaron 13,0 M de votos en contra [36]. El variable a largo plazo no mide ROIC, TSR ni caja [30].</w:t>
      </w:r>
    </w:p>
    <w:p>
      <w:pPr>
        <w:pStyle w:val="ListParagraph"/>
        <w:numPr>
          <w:ilvl w:val="0"/>
          <w:numId w:val="2"/>
        </w:numPr>
        <w:spacing w:after="60"/>
      </w:pPr>
      <w:r>
        <w:t xml:space="preserve">En los últimos 12 meses no hay ventas de consejeros ni de directivos en los avisos regulados: solo dos compras en bolsa (consejero delegado y Timo Ihamuotila, 23-jul-2026), honorarios en acciones (30-abr-2026) y entregas de incentivos (9-feb-2026) [42, 43, 44, 45, 46].</w:t>
      </w:r>
    </w:p>
    <w:p>
      <w:pPr>
        <w:pStyle w:val="ListParagraph"/>
        <w:numPr>
          <w:ilvl w:val="0"/>
          <w:numId w:val="2"/>
        </w:numPr>
        <w:spacing w:after="60"/>
      </w:pPr>
      <w:r>
        <w:t xml:space="preserve">Plan de acciones restringidas de hasta 300.000 acciones B para retener a directivos hasta el cierre de la operación con TKE [41].</w:t>
      </w:r>
    </w:p>
    <w:p>
      <w:pPr>
        <w:pStyle w:val="ListParagraph"/>
        <w:numPr>
          <w:ilvl w:val="0"/>
          <w:numId w:val="2"/>
        </w:numPr>
        <w:spacing w:after="60"/>
      </w:pPr>
      <w:r>
        <w:t xml:space="preserve">Según Reuters (2-oct-2026), KONE prepara la venta de la mayor parte del negocio europeo de TKE para obtener la aprobación de competencia; KONE no lo ha comunicado [51].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KONE espera para 2026 un crecimiento de las ventas del 3-6 % a tipos de cambio constantes y un margen EBIT ajustado del 12,3-13,0 %; la guía se confirmó sin cambios el 22-jul-2026 con el semestre, y con los tipos de julio el efecto de las divisas en el margen sería limitado [53]. En febrero el rango de ventas era del 2-6 % con el mismo margen [2]: la subida del suelo es la única revisión del año. El objetivo a largo plazo propio (margen EBIT ajustado del 16 %) queda «reiniciado» por la combinación con TKE, que apunta a unos 700 M EUR de sinergias de costes antes de impuestos al final del tercer año tras el cierre, con costes únicos de 1-1,2 veces esas sinergias en dos años, y a un BPA ajustado (sin amortización de intangibles de la compra ni costes de integración) mayor desde el primer año completo [54]. El cierre se espera, como pronto, en el 2T27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(EBITDA y EBIT ajustados; BPA publicado) [55]; Yahoo: BPA 2,20 (19 analistas) y ventas 11.782 M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[55]; Yahoo: BPA 2,47 (17 analistas) y ventas 12.522 M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(sin segunda fuente para 2028e) [55]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8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82,00</w:t>
            </w:r>
          </w:p>
        </w:tc>
      </w:tr>
    </w:tbl>
    <w:p>
      <w:pPr>
        <w:spacing w:after="160" w:before="0"/>
      </w:pPr>
    </w:p>
    <w:p>
      <w:pPr>
        <w:pStyle w:val="Heading2"/>
      </w:pPr>
      <w:r>
        <w:t xml:space="preserve">Revisiones de estimaciones</w:t>
      </w:r>
    </w:p>
    <w:p>
      <w:pPr>
        <w:spacing w:after="100"/>
      </w:pPr>
      <w:r>
        <w:t xml:space="preserve">Las estimaciones de BPA apenas se han movido en tres meses: según Yahoo, el BPA medio de 2026e ha pasado de 2,22 a 2,20 EUR (−0,7 %) y el de 2027e de 2,48 a 2,47 EUR (−0,3 %) en 90 días; en el último mes subieron ligeramente (2,19 → 2,20 y 2,46 → 2,47) [56]. Las estimaciones de consenso siguen siendo de KONE en solitario: no incluyen TKE porque el cierre no llega antes del 2T27. Las dos fuentes difieren en la base del BPA: MarketScreener da 2,05 EUR para 2026e, coherente con el beneficio neto publicado (1.068 M), y Yahoo 2,20 EUR, que parece excluir las partidas que afectan a la comparabilidad (costes de la operación con TKE: 25,8 M en el primer semestre [53]). El objetivo medio (59,75 EUR, 21-22 analistas) coincide en las dos fuentes [55, 56]. No hay histórico gratuito de las revisiones a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Rentabilidades de precio para todo (el OMX Helsinki 25 de Yahoo no lleva dividendos); el sector es el ETF iShares STOXX Europe 600 Industrial Goods &amp; Services (EXH4) [57]. KONE se ha quedado muy atrás del índice finlandés en el último año (−3,1 % frente a +23,5 %) y de los bienes de equipo europeos a 3, 5 y 10 años. El año se explica por tres fechas: el 6-feb-2026, día de las cuentas de 2025 con una guía de ventas del 2-6 % [2, 65], cayó un 5,5 %; el 29-abr-2026, con el anuncio de la combinación con TKE (5.000 M EUR en efectivo y hasta 270 M de acciones nuevas) [54], empezó una caída que llevó la acción de 56,30 a 49,83 EUR el 13-may (−11,5 %); y el 22-jul-2026, con el semestre, marcó el cierre más bajo del año (46,72 EUR) pese a confirmar la guía [53]. Desde entonces ha recuperado un 18 %. La beta mensual de 5 años es 0,83 frente al STOXX Europe 600 (0,89 ajustada) y 0,74 frente al OMX Helsinki 25 (0,83 ajustada); la semanal de 2 años, 0,78 y 0,74 [57]. La caída máxima de cinco años (−37,2 %) fue de enero a septiembre de 2022, con el frenazo de la construcción en China [57].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 +14,6 % / -4,4 % / -1,0 %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 / +18,3 %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2026-02-06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 publicación de las cuentas de 2025: guía de ventas para 2026 del 2-6 % a tipos constantes y margen EBIT ajustado del 12,3-13,0 %, con un efecto negativo de las divisas de unos 10 puntos básicos [2, 65]. La guía se elevó después (3-6 %)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29-abr a 13-may-2026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combinación con TKE (valor empresa de 29.400 M EUR; 5.000 M en efectivo y hasta 270 M de acciones B nuevas, el 33,8 % del capital tras el cierre) junto con los resultados del 1T26 [54]. El mercado descuenta dilución, deuda y riesgo de competencia; mayor caída de un mes en 6 meses: −14,6 % hasta el 13-may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Advent y Cinven para combinar KONE y TKE: valor empresa de 29.400 M EUR, 5.000 M en efectivo y hasta 270 M de acciones B nuevas (el 33,8 % del capital tras el cierre); sinergias de ≈700 M al tercer año. Antti Herlin comprará a los vendedores acciones por 1.000 M EUR al cierre y los vendedores tienen un bloqueo de 180 días [37,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colocación de acciones de Advent y Cinven a partir de 180 días después del cierre (no antes de finales de 2027).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extraordinaria aprobó la operación; los accionistas con el 74,3 % de los votos se habían comprometido a votar a favor [39,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pedidos del 2T26 +10,6 % y cartera de 9.630,8 M; margen EBIT ajustado del 1S26 del 11,8 % frente a una guía anual del 12,3-13,0 %, que se confirma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compró 62.500 acciones B a 47,84 EUR (≈3,0 M EUR) y el presidente del comité de nombramientos 10.000 acciones; no hay ventas de directivos en 12 meses [42,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Justicia de EE. UU. pidió información adicional sobre la operación con TKE (segunda fase de revisión) [72]; la CMA británica abrió su consulta el 22-sep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EE. UU. exige vender negocio en Norteamérica, las sinergias caen (Citi estima ≈450 M frente a 700 M) [69].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KONE prepara la venta de la mayor parte del negocio europeo de TKE (≈2.500 M EUR de ventas, el 27 % de TKE) para lograr la autorización europea; el proceso podría empezar en noviembre [64].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pasa a Comprar con objetivo de 63 EUR: considera que el precio no paga nada por TKE [69]. Es la noticia que acompaña a la subida del 9,5 % del último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está en tendencia lateral (1,9 % sobre la media de 200 sesiones) y ha recuperado un 18 % desde el mínimo del 22-jul [57]. La subida del último mes (+9,5 %) coincide con la mejora de Citi a Comprar del 7-oct [69] y con la compra de acciones del consejero delegado en julio [42]. Lo pendiente que puede mover el precio es la operación con TKE: las condiciones de competencia en Europa y EE. UU. [64, 72] y, después del cierre (2T27 como pronto), el paquete del 33,8 % de Advent y Cinven, bloqueado 180 días [37]. Nada de eso cae en los próximos meses: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de cotización de cada año (Yahoo, históricos diarios) [57]. Cierres anteriores para la media larga: 2016 42,57; 2017 44,78; 2018 41,64; 2019 58,28 EUR [57]. KONE cotizó a 30-40 veces beneficio en 2019-2021, cuando el mercado pagaba la estabilidad del mantenimiento y China crecía; desde 2022 (caída de la obra nueva en China, BPA de 1,50 EUR) el múltiplo se ha asentado en 24-27 veces el beneficio del año siguiente. Ningún año se excluye en esta serie (EV/EBITDA y PER del último año los calcula el motor).</w:t>
      </w:r>
    </w:p>
    <w:p>
      <w:pPr>
        <w:pStyle w:val="Heading1"/>
      </w:pPr>
      <w:r>
        <w:t xml:space="preserve">18. Comparables cotizados</w:t>
      </w:r>
    </w:p>
    <w:p>
      <w:pPr>
        <w:pStyle w:val="Confianza"/>
        <w:spacing w:after="100"/>
      </w:pPr>
      <w:r>
        <w:t xml:space="preserve">Confianza: Media</w:t>
      </w:r>
    </w:p>
    <w:p>
      <w:pPr>
        <w:spacing w:after="100"/>
      </w:pPr>
      <w:r>
        <w:t xml:space="preserve">Los dos grandes de ascensores cotizados en Occidente (Otis y Schindler) y el coreano Hyundai Elevator, que son los comparables puros; ASSA ABLOY (puertas y accesos, mucho servicio en edificios), Legrand (equipamiento eléctrico de edificios), Atlas Copco y Konecranes (bienes de equipo con base instalada y servicio recurrente) y Mitsubishi Electric (número uno de ascensores en Japón y China, pero conglomerado). Fuera: TKE (no cotiza), Fujitec (excluida de bolsa por EQT) e Hitachi y Toshiba (ascensores muy pequeños dentro del grupo). Todos con datos de Yahoo del 16-oct-2026 [56] y tipos del BCE de ese día [58]: capitalización y valor empresa de Yahoo; EBITDA de los últimos 12 meses publicado (base NIIF/US GAAP, no ajustado); PER de los próximos 12 meses = precio ÷ (2,5/12 del BPA de 2026e + 9,5/12 del de 2027e; Mitsubishi Electric, ejercicio a marzo: 5,5/12 y 6,5/12); crecimiento = ventas de los próximos 12 meses del consenso frente a las de los últimos 12, anualizado a 15,5 meses (incluye efecto divisa). Sin EV/EBITDA adelantado: Yahoo no da EBITDA estimado y mezclar el de MarketScreener (ajustado) con el publicado falsea el salto; tampoco ROIC homogéneo. Hyundai Elevator tiene un solo analista: frágil.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Hyundai Elevator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15,8x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18,9x / 21,0x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2,3x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Con los mismos datos de Yahoo, KONE cotiza a 18,4 veces el EBITDA de los últimos 12 meses (1.532 M según Yahoo), 2,48 veces ventas y 22,9 veces el BPA de los próximos 12 meses de Yahoo (2,42 EUR; 22,3 con el de 2027e) [56]. Frente a los puros del sector, KONE cotiza con prima sobre Otis (16,1 veces), que tiene más margen (17,7 % de EBITDA) pero una deuda neta de 3 veces el EBITDA, y en línea con Schindler (23,7 veces), que tiene caja neta como KONE. La mediana del PER adelantado de los ocho es 18,9 veces; sin Hyundai Elevator (un solo analista) sería 19,9. El grupo amplio (ASSA ABLOY, Atlas Copco, Legrand) crece más deprisa por efecto de las compras y de las divisas: sus crecimientos no son orgánicos. La valoración de Yahoo del EBITDA de KONE (1.532 M) queda por debajo del EBITDA publicado de 2025 (1.656 M) [1]: el motor usará el de las cuentas; conviene comprobar el EBITDA de los últimos 12 meses en la integración.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 (TKE)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con la acción B de KONE a 56,30 EUR (28-abr-2026) y 270 M de acciones nuevas: 15.201 M en acciones + 5.000 M en efectivo + ≈ 9.200 M de deuda neta. Sobre las ventas (9.230 M) y el EBITDA ajustado (1.617 M) del ejercicio octubre 2024-septiembre 2025 de TKE; con el EBITDA publicado (1.455 M), 20,2 veces; con el EBIT ajustado (1.365 M), 21,5 veces. No incluye sinergias (≈ 700 M). Al cierre del 16-oct (55,26 EUR) el valor empresa baja a ≈ 29.120 M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thyssenkrupp Elevator Technology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Advent, Cinven y fundación RAG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de 17.200 M EUR (thyssenkrupp reinvirtió 1.250 M) [61]. Ventas de 7.960 M y EBIT ajustado de 907 M en el ejercicio 2018/19: 19,0 veces el EBIT ajustado [62]. El EBITDA no se publicó por segmento.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Hardware and Home Improvement (Spectrum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4.300 M USD sin caja ni deuda; ventas de 1.342 M USD en el ejercicio a septiembre de 2020; 14 veces el EBITDA ajustado esperado del ejercicio 2021 según ASSA ABLOY (unas 10 veces con el ahorro fiscal y las sinergias) [63]. Cierre en 2023, tras el pleito con el regulador de EE. UU. Accesos residenciales, no ascensores: referencia de lo que se paga por negocios de edificios con marca.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59,15 – 70,56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Los dos precios de TKE fijan la referencia de control del sector: 2,2 veces ventas y 19 veces el EBIT ajustado en 2020, y 3,2 veces ventas y 18,2 veces el EBITDA ajustado (21,5 el EBIT ajustado) en 2026, pagados en buena parte con acciones de KONE. KONE cotiza hoy a 2,5 veces ventas y 18,4 veces el EBITDA de los últimos 12 meses: está a múltiplos de transacción sin prima de control. Es poco probable que KONE sea objetivo de una compra: Antti Herlin controla el 62 % de los votos con las acciones A no cotizadas [1], y tras el cierre comprará 1.000 M EUR más en acciones [54]. Faltan múltiplos de EQT-Fujitec (2025) y de la OPA de Otis sobre Zardoya Otis (2022): no se han localizado el valor empresa ni el EBITDA en documentos oficiales.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2,5 % anual en 2020-2025 con la obra nueva cayendo desde 2021 por China (19 % de las ventas, −14,3 % en 2025) y el servicio y la modernización subiendo hasta el 63 % [1, 2]. Para 2026e tomamos un 3,0 % publicado, por debajo del 3-6 % a tipos constantes de la guía, por las divisas (el 1S26 creció un 2,2 % publicado) [12]. Después, 4,5 % en 2027e-2029e, con la cartera de pedidos en 9.630,8 M (+8,9 % a tipos constantes) y la modernización a doble dígito [12], y una bajada gradual al 2,5 %. El mercado crece ≈4 % anual hasta 2030 según Roland Berger [22]. El consenso espera más: 6 % anual en 2027e-2028e [55].</w:t>
      </w:r>
    </w:p>
    <w:p>
      <w:pPr>
        <w:keepNext/>
        <w:spacing w:after="100"/>
      </w:pPr>
      <w:r>
        <w:rPr>
          <w:b/>
          <w:bCs/>
        </w:rPr>
        <w:t xml:space="preserve">Márgenes.</w:t>
      </w:r>
    </w:p>
    <w:p>
      <w:pPr>
        <w:spacing w:after="100"/>
      </w:pPr>
      <w:r>
        <w:t xml:space="preserve">El EBIT ajustado pasó del 9,9 % de 2022 al 12,2 % de 2025 [1]. La guía de 2026 es del 12,3-13,0 % ajustado y el 1S26 se quedó en el 11,8 % [12]. Proyectamos un EBITDA publicado del 14,8 % en 2026e (EBIT del 11,9 %, con ≈0,6 puntos de costes de la operación con TKE y reestructuración), del 15,6 % en 2027e y del 16,2 % en 2028e, y un techo del 16,5 % (EBIT ≈13,6 %). Es menos que lo que ganan hoy Otis (14,8 % de EBIT) y TKE (14,8 % ajustado) [15, 18] y que el objetivo propio de KONE (16 % ajustado), que la operación «reinicia» [53].</w:t>
      </w:r>
    </w:p>
    <w:p>
      <w:pPr>
        <w:keepNext/>
        <w:spacing w:after="100"/>
      </w:pPr>
      <w:r>
        <w:rPr>
          <w:b/>
          <w:bCs/>
        </w:rPr>
        <w:t xml:space="preserve">Inversión y circulante.</w:t>
      </w:r>
    </w:p>
    <w:p>
      <w:pPr>
        <w:spacing w:after="100"/>
      </w:pPr>
      <w:r>
        <w:t xml:space="preserve">KONE apenas necesita capital: el capex del estado de flujos fue del 1,4 % de las ventas en 2025 (153,9 M, intangibles incluidos) y los pagos de arrendamientos otros 150,5 M (1,3 %) [1]. Con los arrendamientos en la deuda, el capex del DCF suma las dos cosas: 2,7 % de las ventas, y 2,9 % en los tres últimos años para quedar por encima de la amortización (2,85 %, derechos de uso incluidos). El circulante comercial neto de anticipos se mantiene en el 6,0 % de las ventas de 2025: los anticipos de clientes de la obra nueva financian existencias y cuentas a cobrar [1].</w:t>
      </w:r>
    </w:p>
    <w:p>
      <w:pPr>
        <w:keepNext/>
        <w:spacing w:after="100"/>
      </w:pPr>
      <w:r>
        <w:rPr>
          <w:b/>
          <w:bCs/>
        </w:rPr>
        <w:t xml:space="preserve">Coste del capital.</w:t>
      </w:r>
    </w:p>
    <w:p>
      <w:pPr>
        <w:spacing w:after="100"/>
      </w:pPr>
      <w:r>
        <w:t xml:space="preserve">Tasa libre: Bund a 10 años del 3,45 % (Bundesbank, 16-oct) [59]. Beta 0,89: la ajustada mensual de 5 años frente al STOXX 600 (0,83 sin ajustar; 0,74 frente al OMXH25, índice local poco diversificado) [57]. Prima de mercado del 5,5 % y 0,5 puntos adicionales por China (19 % de las ventas, con la obra nueva en contracción) [1]. Coste de los recursos propios del 8,85 % y WACC del 8,66 % con un 3 % de deuda (KONE tiene caja neta con intereses de 245,5 M a junio) [12]. Con la prima implícita del mercado (4,2 %, Damodaran) [60] el WACC baja al 7,5 %.</w:t>
      </w:r>
    </w:p>
    <w:p>
      <w:pPr>
        <w:keepNext/>
        <w:spacing w:after="100"/>
      </w:pPr>
      <w:r>
        <w:rPr>
          <w:b/>
          <w:bCs/>
        </w:rPr>
        <w:t xml:space="preserve">Valor terminal.</w:t>
      </w:r>
    </w:p>
    <w:p>
      <w:pPr>
        <w:spacing w:after="100"/>
      </w:pPr>
      <w:r>
        <w:t xml:space="preserve">Gordon con un crecimiento del 2,3 % en euros: 1-1,5 % real más una inflación cercana al 2 % del BCE, por debajo de la tasa libre (3,45 %) menos medio punto. El valor terminal pesa un 57 % del valor de empresa, poco para una empresa de crecimiento bajo y estable. El múltiplo de salida de 14 veces el EBITDA (por debajo de las 16,7 veces de hoy y en la parte baja de los comparables) se usa solo de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(reinvierte el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frente al 3,5 %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(hoy: 11,6 %)</w:t>
            </w:r>
          </w:p>
        </w:tc>
      </w:tr>
    </w:tbl>
    <w:p>
      <w:pPr>
        <w:spacing w:after="160" w:before="0"/>
      </w:pPr>
    </w:p>
    <w:p>
      <w:pPr>
        <w:spacing w:after="100"/>
      </w:pPr>
      <w:r>
        <w:t xml:space="preserve">La proyección apenas necesita inversión neta de la amortización (reinversión acumulada de 159 M, el 1 % del NOPAT, con un capex bruto medio del 2,8 % de las ventas). En un negocio de activos ligeros, el crecimiento medio del 3,5 % tiene que salir de subir precios y de ganar volumen sin capital nuevo, y la prueba es el poder de precios y la cuota (11,7 % del mercado en 2030e, frente al 11,6 %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(servicio y modernización crecen, la obra nueva en China cae ≈10 %), precio +2,5 % (contratos de mantenimiento indexados) y −1 punto por divisas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+2,0 % con la cartera de pedidos (+8,9 % a tipos constantes en junio) y la base de mantenimiento creciendo hacia 1,8 millones de unidades; precio +2,5 % [1,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modernización de un parque envejecido en Europa y EE. UU. y China estabilizada (Roland Berger no ve mejora antes de 2027)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+2,0 % y precio +2,5 %, en línea con el mercado (≈4 % anual)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y precio +2,5 %: se acerca al crecimiento del mercado sin ganar cuota [22].</w:t>
            </w:r>
          </w:p>
        </w:tc>
      </w:tr>
    </w:tbl>
    <w:p>
      <w:pPr>
        <w:spacing w:after="160" w:before="0"/>
      </w:pPr>
    </w:p>
    <w:p>
      <w:pPr>
        <w:spacing w:after="100"/>
      </w:pPr>
      <w:r>
        <w:t xml:space="preserve">Sí. El crecimiento medio del 3,6 % que proyectamos casi no necesita capital (reinversión del 1 % del NOPAT) y queda por debajo del crecimiento del mercado (≈4 % anual hasta 2030, Roland Berger) [22]: la cuota se mantiene en torno al 11,7 % frente al 11,6 % de hoy. Se apoya en dos cosas que KONE ya ha demostrado: precios indexados en el mantenimiento (el margen ajustado subió del 9,9 % al 12,2 % en 2022-2025 con las ventas casi planas) [1] y una base de 1,8 millones de unidades mantenidas que crece cada año [1]. El ROIC del 31,2 % frente a un WACC del 8,66 % deja margen de sobra.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8,7 %)</w:t>
            </w:r>
          </w:p>
        </w:tc>
      </w:tr>
    </w:tbl>
    <w:p>
      <w:pPr>
        <w:spacing w:after="160" w:before="0"/>
      </w:pPr>
    </w:p>
    <w:p>
      <w:pPr>
        <w:spacing w:after="100"/>
      </w:pPr>
      <w:r>
        <w:t xml:space="preserve">El DCF de KONE sola da 40,53 EUR por acción, un 26,7 % por debajo del precio (55,26 EUR), con el valor terminal en el 57 % del valor de empresa. El DCF inverso es la clave: para justificar 55,26 EUR con nuestro WACC, KONE tendría que crecer un 8,5 % anual en 2027e-2035e (proyectamos un 3,6 % y el mercado crece ≈4 %) o llegar a un margen EBITDA del 21,5 % (proyectamos el 16,5 %). La rentabilidad anual implícita en el precio es del 6,9 %, por debajo de nuestro WACC (8,7 %) y del que pide hoy el mercado (7,5 %). Es exigente: el precio paga la estabilidad del mantenimiento con un coste de capital bajo, o paga ya parte de las sinergias de TKE. Con la prima implícita del mercado el DCF sube a 49,06 EUR, todavía un 11 % bajo el precio. La sensibilidad es alta: medio punto menos de WACC sube el valor a 46,50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cayendo en 2027-2028, la modernización se frena con la construcción europea y la integración de TKE distrae a la dirección: el margen EBIT se queda en el 12 % de 2025. Ya pasó en 2022, cuando el margen ajustado bajó al 9,9 %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modernización crecen a medio dígito, China se estabiliza y el margen EBIT sube hacia el 13,5 % por mezcla y precio, sin contar sinergias de TKE.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modernización mantiene el ritmo del 2T26 (doble dígito), China toca fondo en 2026 y el margen se acerca al de Otis (14-15 %).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39,22 EUR (-29,0 %).</w:t>
      </w:r>
    </w:p>
    <w:p>
      <w:pPr>
        <w:spacing w:after="100"/>
      </w:pPr>
      <w:r>
        <w:t xml:space="preserve">Los tres escenarios del DCF quedan por debajo del precio: 33,34 EUR en el bajista (−39,7 %), 40,53 en el base y 44,74 en el alcista (−19,0 %), con una asimetría negativa de −0,48 veces. El DCF no encuentra un escenario razonable de KONE sola que pague los 55,26 EUR de hoy con nuestro coste de capital: hace falta una tasa de descuento cercana a la del mercado (con ella el alcista llega a 54,30 EUR) o creer en las sinergias de TKE. A 12 meses la lectura es otra, porque el mercado lleva años pagando 25-34 veces el beneficio de KONE: allí el bajista pierde un 18 % y el base gana un 17 %.</w:t>
      </w:r>
    </w:p>
    <w:p>
      <w:pPr>
        <w:pStyle w:val="Heading1"/>
      </w:pPr>
      <w:r>
        <w:t xml:space="preserve">22. Suma de partes</w:t>
      </w:r>
    </w:p>
    <w:p>
      <w:pPr>
        <w:pStyle w:val="Confianza"/>
        <w:spacing w:after="100"/>
      </w:pPr>
      <w:r>
        <w:t xml:space="preserve">Confianza: Media</w:t>
      </w:r>
    </w:p>
    <w:p>
      <w:pPr>
        <w:spacing w:after="100"/>
      </w:pPr>
      <w:r>
        <w:t xml:space="preserve">No aplica: KONE tiene un solo segmento y las tres líneas (obra nueva, servicio y modernización) comparten clientes, técnicos y base instalada; no hay comparables puros de cada una que den un valor separado fiable.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55,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41,05 EUR (-25,7 % sobre 55,26).</w:t>
      </w:r>
    </w:p>
    <w:p>
      <w:pPr>
        <w:spacing w:after="100"/>
      </w:pPr>
      <w:r>
        <w:t xml:space="preserve">Pesamos el DCF al 50 %, los comparables al 25 % y los escenarios al 25 %. El DCF es el método más fiable para un negocio estable y casi sin inversión, aunque es muy sensible al WACC. Los comparables por PER (43,90 EUR) penalizan a KONE porque la mediana (18,9 veces) mezcla a Otis (16,1), endeudada, y a industriales más cíclicos; Schindler, el más parecido, cotiza como KONE (23,7 veces). Las transacciones (70,45 EUR, mediana de 3,19 veces las ventas) llevan prima de control y la propia operación de TKE: no se ponderan. La dispersión es grande: todos los métodos fundamentales dan 33-49 EUR y solo las transacciones y los objetivos de los analistas pasan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(25.2x) a mitad de camino hacia la mediana de 5 años (27x)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r>
    </w:tbl>
    <w:p>
      <w:pPr>
        <w:spacing w:after="160" w:before="0"/>
      </w:pPr>
    </w:p>
    <w:p>
      <w:pPr>
        <w:spacing w:after="100"/>
      </w:pPr>
      <w:r>
        <w:rPr>
          <w:b/>
          <w:bCs/>
        </w:rPr>
        <w:t xml:space="preserve">Objetivo a 12 meses (ponderado):</w:t>
      </w:r>
      <w:r>
        <w:t xml:space="preserve"> 59,73 EUR · rentabilidad +11,3 % (base +17,1 %) · señal Mantener.</w:t>
      </w:r>
    </w:p>
    <w:p>
      <w:pPr>
        <w:spacing w:after="100"/>
      </w:pPr>
      <w:r>
        <w:t xml:space="preserve">Para comparar, con la regla v2 (historia al cierre, mismo precio): 21,4x / 25,2x / 30,3x, 11,3 %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queda por debajo del consenso de MarketScreener: 2,20 EUR frente a 2,40 en 2027e (−8,5 %) y 2,41 frente a 2,67 en 2028e (−9,7 %) [55]. La diferencia es de ventas (el consenso supone un 6 % anual en 2027e-2028e y nosotros un 4,5 %) y algo de margen (EBIT ajustado del 13,7 % en 2028e frente a nuestro 13,35 % publicado). Aun así, nuestro precio base (62,90 EUR) queda un 5,3 % por encima del objetivo medio de los analistas (59,75 EUR): la regla de múltiplos devuelve parte de la prima histórica (26,1 veces frente a las 25,2 de hoy).</w:t>
      </w:r>
    </w:p>
    <w:p>
      <w:pPr>
        <w:keepNext/>
        <w:spacing w:after="100"/>
      </w:pPr>
      <w:r>
        <w:rPr>
          <w:b/>
          <w:bCs/>
        </w:rPr>
        <w:t xml:space="preserve">Del valor intrínseco al objetivo a 12 meses.</w:t>
      </w:r>
    </w:p>
    <w:p>
      <w:pPr>
        <w:spacing w:after="100"/>
      </w:pPr>
      <w:r>
        <w:t xml:space="preserve">El objetivo a 12 meses (59,73 EUR, +11,3 % con el dividendo) queda un 46 % por encima del valor intrínseco (41,05 EUR). La distancia es de múltiplo: el mercado paga desde hace años 25-34 veces el beneficio del año siguiente por la estabilidad del mantenimiento, mientras que nuestro DCF con un WACC del 8,7 % justifica unas 18 veces. Para cerrarla haría falta que el beneficio creciera mucho más (sinergias de TKE) o que el mercado aceptara un coste de capital menor de forma permanente. No hay catalizador a 12 meses que lo cierre, y el objetivo descansa en que el múltiplo histórico se mantenga.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frente a la guía del 12,3-13,0 % (el 1S26 quedó en el 11,8 %) y pedidos de modernización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en adelante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europeo de TKE como remedio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venta y efecto en las sinergias de 700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fase del Departamento de Justicia de EE. UU. y decisión de la Comisión Europea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exigen vender en Norteamérica, la lógica de la operación cambia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 operación casi cerrada; dividendo propuesto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 como pronto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combinación con TKE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270 M de acciones nuevas, 5.000 M de deuda y BPA combinado; empieza a contar el bloqueo de 180 días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bloqueo de Advent y Cinven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Posibles colocaciones de un paquete de hasta el 33,8 % menos lo que compra Herlin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operación con TKE destruye valor: remedios más duros, sinergias menores y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dice que las sinergias de 700 M ya cuentan con ventas de activos; Herlin conserva más del 50 % de los votos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la Comisión Europea y del Departamento de Justicia; precio de la venta de TKE Europa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sigue cayendo y arrastra a la obra nueva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(escenario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ya solo el 19 %; la modernización allí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China en los trimestrales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llega a la guía de 2026 (12,3-13,0 % ajustado)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ya estaba en el 12,6 % ajustado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3T26 por debajo del 12,3 %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del paquete de Advent y Cinven tras el bloqueo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Bloqueo de 180 días y compra de 1.000 M de Herlin al cierre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cierre de la operación y anuncios de colocación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vuelve hacia el de los comparables (18,9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una década por encima de 24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PER frente a Schindler y Otis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encima del beneficio y caja neta menguante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promete grado de inversión y dividendo estable tras TKE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con intereses (245,5 M en junio frente a 2.164 M en 2021)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Accidentes laborales y seguridad de los equipos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Programas de seguridad; MSCI AA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muertes en accidentes en 2025, frente a dos en 2024</w:t>
            </w:r>
          </w:p>
        </w:tc>
      </w:tr>
    </w:tbl>
    <w:p>
      <w:pPr>
        <w:spacing w:after="160" w:before="0"/>
      </w:pPr>
    </w:p>
    <w:p>
      <w:pPr>
        <w:pStyle w:val="Heading2"/>
      </w:pPr>
      <w:r>
        <w:t xml:space="preserve">Pre-mortem</w:t>
      </w:r>
    </w:p>
    <w:p>
      <w:pPr>
        <w:spacing w:after="100"/>
      </w:pPr>
      <w:r>
        <w:t xml:space="preserve">Es octubre de 2029 y KONE vale un 40 % menos. La Comisión Europea y el Departamento de Justicia aprobaron la compra de TKE en 2027 con condiciones más duras de lo previsto: venta de casi toda TKE Europa a un precio bajo y de parte del negocio en EE. UU. Las sinergias se quedaron en 400-450 M, los costes de integración llegaron a 1,2 veces lo previsto y la deuda neta de unos 14.000 M obligó a congelar el dividendo, que era la razón de muchos accionistas para estar. Al acabar el bloqueo, Advent y Cinven colocaron su paquete en tres tramos con descuento. Mientras tanto, China siguió cayendo y el margen de KONE sola no pasó del 12 %. El mercado dejó de pagar 25 veces el beneficio y pasó a pagar 18, como a Otis. Las señales estaban: el requerimiento del Departamento de Justicia de agosto de 2026, el tamaño de la venta en Europa (27 % de TKE) y un margen semestral (11,8 %) por debajo de la guía.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w:t>
      </w:r>
    </w:p>
    <w:p>
      <w:pPr>
        <w:spacing w:after="100"/>
      </w:pPr>
      <w:r>
        <w:t xml:space="preserve">El negocio es físico: instalar, mantener y modernizar ascensores exige técnicos en el edificio y la IA no lo sustituye. Toca sobre todo el servicio (el 45 % de las ventas con la clasificación de 2026): mantenimiento predictivo con el 44 % de los ascensores mantenidos ya conectados y un asistente de IA para técnicos con más de 13.000 usuarios [1]. Eso favorece a los grandes con datos de su base instalada frente a los mantenedores independientes. El riesgo, menor, es que la conectividad abierta facilite a terceros competir en el mantenimiento. La señal sería una pérdida neta de contratos de mantenimiento fuera de China (ya fue ligeramente negativa en 2025) [1].</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(riesgo medio; 23,9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Tres asuntos mueven cifras. Uno, la seguridad: en 2025 murieron 4 empleados de KONE en accidentes de trabajo (2 en 2024 y 0 en 2023), aunque la frecuencia de accidentes con baja bajó a 0,8 (1,3 en 2024); un accidente de usuario o de técnico tiene coste legal y de reputación [1]. Dos, la eficiencia energética de los edificios, que empuja la modernización: el 50 % de las ventas de 2025 (5.627 M EUR) está alineado con la taxonomía europea [1]. Tres, las emisiones: el alcance 3 bajó de 12,5 millones de t CO₂e en 2023 a 10,2 en 2025, y el 63 % (6,4 millones) es la energía que consumirán en su vida los equipos vendidos, lo que obliga a vender equipos más eficientes [1].</w:t>
      </w:r>
    </w:p>
    <w:p>
      <w:pPr>
        <w:pStyle w:val="Heading2"/>
      </w:pPr>
      <w:r>
        <w:t xml:space="preserve">Controversias</w:t>
      </w:r>
    </w:p>
    <w:p>
      <w:pPr>
        <w:spacing w:after="100"/>
      </w:pPr>
      <w:r>
        <w:t xml:space="preserve">No hemos encontrado en el informe anual de 2025 ni en la búsqueda sanciones de competencia o de corrupción a KONE en los tres últimos años [1]. Las 4 muertes de empleados de 2025 son el principal incidente [1]. El antecedente que importa es el cártel de ascensores de Bélgica, Alemania, Luxemburgo y Países Bajos (1995-2004), multado con 992 M EUR por la Comisión en 2007, en el que KONE obtuvo inmunidad en dos países por delatarlo [27]; explica por qué la operación con TKE tendrá un examen de competencia estricto.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TKE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sinergias de 700 M depende de los negocios de TKE en Europa y EE. UU. que podrían venderse?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estima ≈450 M si hubiera que vender la mitad de KONE en EE. UU.; cambia el valor de la operación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2026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pasa del 11,8 % ajustado del 1S26 al 12,3-13,0 % del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segundo semestre necesita más de un 13 %; un fallo de guía como el de 2022 movería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de caer la obra nueva en China y qué margen tiene hoy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Pesa el 19 % de las ventas y explica la caída de la obra nueva desde 2021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se mantendrá tras el cierre, con 270 M de acciones más y 5.000 M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pago del 95 % del beneficio es parte de la tesis del accionista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mantenimiento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base de mantenimiento fuera de China perdió ligeramente más contratos de los que ganó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es el foso; una pérdida neta continuada sería la primera señal de erosión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suman ya los costes de cobertura de TKE llevados a patrimonio y cómo se tratarán al cierre?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70,2 M en el 1S26 no pasan por resultados tras el cambio de política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Inderes, hilo de KONE (julio-agosto: resultados del 2T26 y TKE)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debate pasa del precio pagado por TKE a la calidad del negocio: varios defienden que el servicio conectado y el mantenimiento predictivo son la ventaja que hará reales las sinergias, y se celebra la compra de acciones del consejero delegado. En contra, la investigación antimonopolio de EE. UU. y el temor a que los vendedores de TKE coloquen en bolsa las acciones que reciban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Inderes, hilo de KONE (septiembre-octubre: desinversiones en Europa)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noticia de que KONE venderá gran parte del negocio europeo de TKE se toma como algo esperado, y la puja de varios compradores, como buena para el precio; la tesis del banco que ve la operación como «opción gratuita» circula como argumento alcista. La objeción es que las desinversiones recortan las sinergias de 700 M EUR y pueden crear un competidor europeo fuerte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TKE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el tema dominante de abril a junio [67] y pierde peso desde julio [66]. La crítica tiene base: KONE emite hasta 270 M de acciones B, el 33,8 % de las acciones tras el cierre, más 5.000 M EUR en efectivo; la empresa solo promete que la operación aumentará el BPA (sin amortizaciones de la compra ni costes únicos) en el primer año completo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en bolsa de las acciones que reciban los vendedores de TKE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existe, pero tiene fecha: los vendedores se comprometen a no vender durante 180 días desde que reciban las acciones, salvo las que compra el presidente, por unos 1.000 M EUR [54]. Con el cierre en el 2T27 como pronto, esa presión llegaría a finales de 2027 o en 2028, no ahora.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Antimonopolio y desinversiones en Europa y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hecho: el Departamento de Justicia de EE. UU. pidió información adicional el 10-ago-2026, primer paso de una revisión que puede durar más de un año [72], y la empresa dice que la revisión «avanza según lo previsto» [70]. El foro acierta en que vender negocio europeo reduce las sinergias. Un banco (Citi) estima unos 1.600 M EUR de ventas a vender en Europa en su caso base, y unas sinergias de unos 450 M EUR si hubiera que vender la mitad del negocio de KONE en EE. UU.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conectado, datos e IA como ventaja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solo en parte: la empresa destaca la «reaceleración» de la modernización, que crece a doble dígito en todas las regiones, pero no publica una cifra de pedidos de modernización [70]. Lo del valor de los datos es tesis, no dato.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acciones del consejero delegado y cotización ya castigada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el consejero delegado compró acciones en bolsa el 23-jul-2026, unas 62.500 acciones a unos 47,8 EUR, en torno a 3 M EUR (estimación propia sumando los 21 bloques de la notificación) [71]. Inderes pasó a «Lisää» (acumular) con objetivo de 52 EUR el 23-jul [68] y Citi a «Comprar» con objetivo de 63 EUR el 7-oct [69]. Con la cotización ya en 55,26 EUR, parte del rebote ya se ha producido.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Apenas se discute ya. La empresa sigue esperando que el mercado chino «caiga claramente» en 2026 [70]: es un lastre conocido, no una sorpresa.</w:t>
            </w:r>
          </w:p>
        </w:tc>
      </w:tr>
    </w:tbl>
    <w:p>
      <w:pPr>
        <w:spacing w:after="160" w:before="0"/>
      </w:pPr>
    </w:p>
    <w:p>
      <w:pPr>
        <w:spacing w:after="100"/>
      </w:pPr>
      <w:r>
        <w:t xml:space="preserve">El foro finlandés, que es casi el único debate real sobre KONE, ha pasado de la indignación por el precio de TKE (abril-junio) [67] a una postura dividida pero más constructiva: el negocio va bien (pedidos +10,6 % en el 2T26 [70]), el consejero delegado compra y algún banco ve la operación como opción gratuita [69]. No hay euforia ni capitulación. Lo que el informe debe recoger es lo que el foro ve con razón: las desinversiones exigidas en Europa y quizá en EE. UU. pueden reducir las sinergias de 700 M EUR, y la colocación de hasta 270 M de acciones al acabar el bloqueo de 180 días es una presión que llegará después del cierre [54, 72]. El sentimiento particular coincide con el giro de los analistas a recomendaciones más favorables; no lo contradice.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72 (54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11,7 % en 2030e frente al 11,6 %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transcripciones de KONE: no dan el consenso previo; 2) presentaciones 1T26 y 2T26: tampoco; 3) consenso previo de agregadores (Vara/Infront): no accesible desde aquí, queda para la nota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KONE publica el crecimiento a tipos de cambio constantes, que incluye las compras pequeñas, no el orgánico; 2) informe anual 2025: igual; 3) derivarlo: las compras no se cuantifican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crecimiento a divisa constante está en _trimestres_detalle y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5.3 del informe anual 2025: no la da; 2) semestral 2026: tampoco; 3) derivarla: con dos préstamos de 200 M (uno devuelto en el 2T26 y otro a 2031) y arrendamientos a 1-5 años no es representativa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(tabla de cinco años, solo 2021-2025); 2) informe anual 2021 en finés (ESEF): no localizada la media ponderada; 3) boletín anual 2020: acciones en circulación en la propuesta de dividendo (76.208.712 A + 442.181.142 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(518,4 M en circulación, no media ponderada diluida)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del informe anual 2025: un solo segmento, sin margen por línea; 2) transcripción 2T26: el director financiero dice que no da márgenes por negocio; 3) prensa/analistas: solo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y TCAC histórico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Roland Berger 2026: solo 2025 y 2030; 2) informes de KONE y 10-K de Otis: dan la base mantenida y la evolución en unidades por cualitativo (+/++), no el tamaño en dinero; 3) Credence, IMARC y Research and Markets: perímetro distinto (161.730 M USD en 2024) que no se puede mezclar con Roland Berger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chino de equipo nuevo en unidades (NBS / asociación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KONE: solo variación cualitativa (−−−) y previsión de −10 % para 2026; 2) búsqueda de la estadística oficial china: solo resúmenes secundarios con cifras que no cuadran entre sí (1,49 y 1,40 millones de unidades, −1,8 %); 3) Elevator World: dato de 2023 (1,557 millones) sin abrir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 mercado publicadas (de la empresa o de un tercero)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KONE: no publica cuota; 2) Roland Berger: tamaño sin cuotas; 3) cálculo con las ventas de cada competidor sobre el mercado de Roland Berger convertido a euros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reales del ejercicio a marzo de 2026 de Hitachi Building Systems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Hitachi: la presentación de resultados anuales de abril de 2026 no aparece con la ruta habitual; 2) búsqueda web: solo totales del grupo; 3) presentación del 3T (enero de 2026) con la previsión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del expediente en la Comisión Europea (número de caso, fase)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de KONE: «solicitudes presentadas o en curso»; 2) búsqueda del caso M. en la web de la Comisión: sin resultado; 3) prensa (Reuters, mayo de 2026): no notificada entonces, y Kepler ve «muy probable» una fase 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 y 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las juntas de 2024, 2025 y 2026: dan los votos en contra de los custodios («opposing votes»), pero no dicen si son acciones o votos (cada diez acciones B dan un voto) ni el recuento a favor; 2) acta de la junta extraordinaria de 2026: distingue acciones y votos, pero solo en el voto anticipado y no trata de retribución; 3) búsqueda de resultados de voto de terceros (Nanuk, Folketrygdfondet): votaron en contra del informe en 2024 y 2026,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el voto en contra se pone con la lectura prudente (votos: 13,9 % en 2024, 4,8 % en 2025 y 2,7 % en 2026 sobre los votos presentes). El voto libre en contra se deja en null porque oscila entre el 6,3 % (si son acciones) y el 51,6 % (si son votos) del capital o los votos libres presentes en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posiciones cortas netas vigentes de la FIN-FSA (la tabla se carga con JavaScript; descargar.mjs y WebFetch no la ven); 2) Búsqueda de posiciones ≥ 0,5 % en KONE: solo datos del ADR KNYJY en EE. UU.; 3) Agregadores (MarketBeat, Benzinga): solo el ADR, no la acción de Helsinki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no da EBITDA estimado ni ROIC; 2) MarketScreener: EBITDA estimado ajustado (Otis 2026e 2.576 M USD), definición distinta del publicado de Yahoo; mezclar falsearía el múltiplo; 3) Stock Analysis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EQT-Fujitec (2025) y Otis-Zardoya Otis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no localizados con valor empresa y EBITDA; 2) Prensa: Fujitec, 5.700 JPY por acción y ≈ 407.800 M JPY de valor del capital (Bloomberg, sin abrir); Zardoya, 7,07 EUR por acción (BME), sin EBITDA; 3) Informe del consejo de Zardoya en la CNMV: no abierto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thyssenkrupp Elevator 2018/19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thyssenkrupp de 21-nov-2019: solo EBIT ajustado por segmento; 2) Comunicado de venta de 27-feb-2020: sin múltiplo; 3) Prensa (WSJ vía CPI): «unas 18 veces el beneficio», fuente anónima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EV/EBIT ajustado de 19,0 veces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 y segunda fuente para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con registro); 2) Yahoo: solo 7, 30, 60 y 90 días y hasta 2027e; 3) Simply Wall St / Inderes: artículos sin serie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búsqueda de Reddit: 429 (bloqueado); 2) WebSearch site:reddit.com «Kone TKE / TK Elevator 2026»: ningún hilo; 3) WebSearch general «reddit Kone TK Elevator»: solo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con KNYJY: símbolo no encontrado; 2) con KNYJF: no encontrado; 3) con KNEBV y KNEBV.HE: no encontrado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RSS combinado de KNYJY: en los últimos tres meses solo noticias y transcripciones, ningún artículo de opinión (el último, de agosto de 2025); 2) comentarios de lectores: no accesibles sin cuenta; 3) WebSearch de artículos recientes: ninguno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sin debate real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comentarios de lectores en Kauppalehti, Arvopaperi, Salkunrakentaja, Placera/Nordnet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WebSearch en finés por Kauppalehti/Arvopaperi/Salkunrakentaja septiembre-octubre: sin páginas con comentarios; 2) intento directo a un artículo de Salkunrakentaja: 404; 3) WebSearch en sueco/alemán por Placera, Nordnet y Börsvärlden: sin hilos (Simply Wall St Community da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4-8 sitios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Inderes (hilo de KONE, JSON de Discourse, 26 mensajes de julio a octubre leídos enteros); 2) búsqueda en el resto del foro de Inderes de menciones a KONE/TKE desde julio: solo menciones sueltas sin debate; 3) Investing.com (0 comentarios), Seeking Alpha, Stocktwits, Reddit: sin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con un solo foro con debate real, partido en dos periodos; dicho en la confianza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Annual Review 2025 (informe anual completo: informe de gestión, estados financieros con notas e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https://assets.kone.com/adobe/assets/urn:aaid:aem:f93ba782-9bb3-4d76-b2df-16301cd081cf/renditions/original/as/KONE%20Annual%20Review%202025.pdf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https://assets.kone.com/adobe/assets/urn:aaid:aem:f19e141e-fb15-4010-97ae-cdb42d175e05/renditions/original/as/KONE_Financial%20Statement%20Bulletin_2025.pdf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Annual Review 2023 (informe financiero anual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(repositorio ESEF de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https://filings.xbrl.org/2138001CNF45JP5XZK38/2023-12-31/ESEF/FI/1/KONE-2023-12-31-en/reports/KONE-2023-12-31-en.xhtml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Vuosikatsaus 2021 (informe financiero anual ESEF, en finés)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(repositorio ESEF de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https://filings.xbrl.org/2138001CNF45JP5XZK38/2021-12-31/ESEF/FI/1/2138001CNF45JP5XZK38-2021-12-31-FI/reports/2138001CNF45JP5XZK38-2021-12-31-FI.html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https://www.kone.com/global/en/newsroom/releases/2021/financial-statement-bulletin-of-kone-corporation-for-january-december-2020-2021-01-28.html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Financial Statement Bulletin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https://assets.kone.com/adobe/assets/urn:aaid:aem:f5326864-1b4f-4d8d-bab1-cc014df26844/renditions/original/as/KONE%20Financial%20Statement%20Bulletin%202021.pdf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Financial Statement Bulletin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https://assets.kone.com/adobe/assets/urn:aaid:aem:de0f893b-272a-44cc-827a-4cf537063020/renditions/original/as/KONE%20Financial%20Statement%20Bulletin%202022.pdf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Financial Statement Bulletin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https://assets.kone.com/adobe/assets/urn:aaid:aem:a323fd8b-c8db-4f17-b694-c096908034a4/renditions/original/as/KONE%20Financial%20Statement_Bulletin%202024.pdf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Interim Report January–September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https://assets.kone.com/adobe/assets/urn:aaid:aem:2092967c-3635-461c-b8a1-4e822c1e015d/renditions/original/as/KONE%20Q3%20Interim%20Report%202024.pdf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Interim Report January–September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https://assets.kone.com/adobe/assets/urn:aaid:aem:748e880d-b92e-459b-9f44-1c56521aba54/renditions/original/as/KONE_Q3_2025_Interim_Report.pdf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Interim Report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https://assets.kone.com/adobe/assets/urn:aaid:aem:cfc05685-65f6-4b70-b939-5f633e1aceca/renditions/original/as/KONE_Q12026_InterimReport.pdf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Half-year financial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https://assets.kone.com/adobe/assets/urn:aaid:aem:052f52ee-f4ab-4f98-a75e-5be205826f02/renditions/original/as/KONE_Half-yearFinancialReport_2026.pdf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KONE Corp Earnings Call, transcripción editada (LSEG StreetEvents)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https://assets.kone.com/adobe/assets/urn:aaid:aem:d4c23f98-98c3-4b93-9608-823c121dca10/renditions/original/as/Q1%202026%20Kone%20Corp%20Earnings%20Call%20Transcript.pdf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KONE Corp Earnings Call, transcripción editada (LSEG StreetEvents)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https://assets.kone.com/adobe/assets/urn:aaid:aem:9acf8cf6-e429-48c1-bbbf-193b3136b7ab/renditions/original/as/KNEBV-HEL_Transcript_2026-07-22.pdf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and TKE – Rise together (presentación de la operación)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https://assets.kone.com/adobe/assets/urn:aaid:aem:ba4f16b0-4d7f-4fca-bc51-b6c982b121a7/renditions/original/as/KONEandTKE_RiseTogether_Presentation.pdf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Q4 2023 Financial Statement Bulletin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https://assets.kone.com/adobe/assets/urn:aaid:aem:7ca8864f-abaf-4cef-a5e2-09e93d4b907f/renditions/original/as/KONE%20Financial%20Statement%20Bulletin%202023.pdf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https://www.kone.com/global/en/company/history.html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https://www.sec.gov/Archives/edgar/data/1781335/000178133526000011/otis-20251231.htm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resultados del ejercicio 2025 (anuncio ad hoc, art. 53 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(reproducido por Marktpuls)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https://www.marktpuls.ch/artikel/permalink/655785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Consolidated Financial Results for Fiscal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Q3 FY2025 Financial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https://www.hitachi.com/content/dam/hitachi/global/en/press/articles/2026/01/260129/2025_3Qpre.pdf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and Escalator Market to Reach USD 228.94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https://tools.prnewswire.com/en-us/live/20823/release/20251120EN30251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Analysis-Kone's new TK Elevator deal comes amid climate change on European champions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(KFGO)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https://kfgo.com/2026/05/04/analysis-kones-new-tk-elevator-deal-comes-amid-climate-change-on-european-champions/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Plans European Asset Sale as TK Elevator Deal Faces Scrutiny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CPI / PYMNTS (a partir de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https://www.pymnts.com/cpi-posts/kone-plans-european-asset-sale-as-tk-elevator-deal-faces-scrutiny/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TK Elevator merger inquiry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https://www.gov.uk/cma-cases/kone-slash-tk-elevator-merger-inquiry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IP/07/209 Competition: Commission fines members of lifts and escalators cartels over €990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https://ec.europa.eu/commission/presscorner/detail/en/IP_07_209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(medias de 2025 y del ejercicio abr-25 a mar-26, cálculo propio)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https://assets.kone.com/adobe/assets/urn:aaid:aem:2dcdd41f-f8ac-4672-801b-fd0a3ea81910/renditions/original/as/KONE%20Corporate%20Governance%20Statement%202025.pdf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https://assets.kone.com/adobe/assets/urn:aaid:aem:d0c64cd9-9d6c-4061-8065-fed2f938bfaa/renditions/original/as/KONE%20Remuneration%20Report%202025.pdf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Policy of KONE Corporation (anexo 1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https://assets.kone.com/adobe/assets/urn:aaid:aem:ce55901a-8918-42ba-aa88-4a25f357c6a2/renditions/original/as/KONE%20AGM%202024_Annex%201_Remuneration%20Policy.pdf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taken by KONE Corporation's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https://www.kone.com/global/en/newsroom/releases/2026/decisions-taken-by-kone-corporation-s-annual-general-meeting-2026-03-05.html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Decisions by the Board of Directors (comunicado, copia de Inderes)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https://www.inderes.fi/en/releases/kone-oyj-decisions-by-the-board-of-directors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https://assets.kone.com/adobe/assets/urn:aaid:aem:5d8b97f8-f3f6-4fec-8b89-03def03ed362/renditions/original/as/KONE%20Corporation%20-%20AGM%20minutes%202026.pdf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https://assets.kone.com/adobe/assets/urn:aaid:aem:6090a2f4-d6c0-4c66-b469-80ac2db4f70d/renditions/original/as/KONE%20Corporation%20-%20AGM%20minutes%202025%20(ENG).pdf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https://assets.kone.com/adobe/assets/urn:aaid:aem:a6b0451b-4ef6-4300-b1b9-78030097717e/renditions/original/as/KONE%20AGM%202024%20-%20Minutes%20of%20the%20meeting%20ENG.pdf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creating a world-class company in the elevator and escalator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https://mfn.se/cis/a/kone/kone-oyj-inside-information-kone-and-tke-to-combine-creating-a-world-class-company-in-the-elevator-and-escalator-industry-c52a4431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Notice to convene Extraordinary General Meeting (copia de Inderes)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https://www.inderes.se/en/releases/kone-corporation-notice-to-convene-extraordinary-general-meeting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Corporation's Extraordinary General Meeting has approved the proposed resolutions related to the TK Elevator transaction (copia de Inderes)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https://www.inderes.se/en/releases/kone-oyj-kone-corporations-extraordinary-general-meeting-has-approved-the-proposed-resolutions-related-to-the-tk-elevator-transaction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Extraordinary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https://assets.kone.com/adobe/assets/urn:aaid:aem:27e53f7b-f2ac-475d-906e-d24f86adda59/renditions/original/as/KONE%20Corporation%20-%20EGM%20minutes%202026.pdf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Board of Directors of KONE Corporation decided on a new tranche under the Restricted Share Plan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https://mfn.se/cis/a/kone/kone-oyj-the-board-of-directors-of-kone-corporation-decided-on-a-new-tranche-under-the-restricted-share-plan-2026-ba9f4783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Managers' Transactions – Philippe Delorme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https://mfn.se/cis/a/kone/kone-corporation-managers-transactions-philippe-delorme-4eb72e55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Managers' Transactions – Timo Ihamuotila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https://mfn.se/cis/a/kone/kone-corporation-managers-transactions-timo-ihamuotila-cf851572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Managers' Transactions – Antti Herlin (honorarios en acciones; mismos avisos para siete consejeros más y Kaori Uehigashi)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https://mfn.se/cis/a/kone/kone-oyj-kone-corporation-managers-transactions-antti-herlin-da4124e1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Managers' Transactions – Ilkka Hara (incentivo en acciones; mismos avisos para nueve directivos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https://mfn.se/cis/a/kone/kone-oyj-kone-corporation-managers-transactions-ilkka-hara-3049863f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lista de comunicados regulados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shareholders (30-09-2026)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(Euroland)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https://tools.euroland.com/majorshareholder/sf-kon_redesign2026/?lang=en-gb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of KONE Corporation for January–September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https://www.kone.com/global/en/newsroom/releases/2021/interim-report-of-kone-corporation-for-januaryseptember-2021-2021-10-28.html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lowers its full year sales and adjusted EBIT outlook and provides preliminary key figures for the third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https://www.kone.com/global/en/newsroom/releases/2022/inside-information--kone-lowers-its-full-year-sales-and-adjusted-ebit-outlook-and-provides-preliminary-key-figures-for-the-third-quarter-2022-10-14.html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Statement Bulletin of KONE Corporation for January–December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https://mfn.se/cis/a/kone/kone-oyj-financial-statement-bulletin-of-kone-corporation-for-january-december-2024-74126c81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KONE planlægger salg af TKE's europæiske forretningsområder (comentario de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https://www.inderes.dk/analyst-comments/reuters-kone-planlaegger-salg-af-tkes-europaeiske-forretningsomrader-for-at-blidgore-konkurrencemyndighederne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(página de KONE, composición tras la junta del 5-mar-2026)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https://www.kone.com/global/en/company/organization-and-management/board-of-directors.html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of KONE Corporation for January–June 2026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https://mb.cision.com/Public/18027/4376661/96ea5ae3374a66f9.pdf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creating a world-class company in the elevator and escalator industry (con anexo financiero de 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https://www.kone.com/global/en/newsroom/releases/2026/inside-information--kone-and-tke-to-combine--creating-a-world-class-company-in-the-elevator-and-escalator-industry-2026-04-29.html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finances (estimaciones 2026-2028)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https://www.marketscreener.com/quote/stock/KONE-OYJ-1412480/finances/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quoteSummary (precio, valor empresa, EBITDA, BPA estimado, recomendaciones) de KONE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https://finance.yahoo.com/quote/KNEBV.HE/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KNEBV.HE, ^OMXH25, ^STOXX y EXH4.DE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https://finance.yahoo.com/quote/KNEBV.HE/history/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yields of current federal securities, residual maturity 10 years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thyssenkrupp sells Elevator Technology business for €17.2 billion to consortium of bidders led by Advent, Cinven and RAG foundation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thyssenkrupp / TK Elevator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https://tkelevator.com/us-en/company/news-archive/02-27-20-thyssenkrupp-sells-elevator-tech-business.html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thyssenkrupp: Geschäftsjahr 2018/2019 (cifras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thyssenkrupp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https://ucpcdn.thyssenkrupp.com/_legacy/UCPthyssenkruppAG/assets.files/media/investoren/berichterstattung-publikationen/update-21.11.2019/de/20191121_thyssenkrupp-pressemitteilung_.pdf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to acquire Hardware and Home Improvement (HHI) division of Spectrum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https://www.nasdaq.com/press-release/assa-abloy-to-acquire-hardware-and-home-improvement-hhi-division-of-spectrum-brands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KONE planerar en försäljning av TKE:s europeiska affärsområden för att blidka konkurrensmyndigheterna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https://www.inderes.se/analyst-comments/reuters-kone-planerar-en-forsaljning-av-tkes-europeiska-affarsomraden-for-att-blidka-konkurrensmyndigheterna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Oyj: Financial reporting schedule of KONE Corporation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https://www.inderes.fi/releases/kone-oyj-financial-reporting-schedule-of-kone-corporation-in-2026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Omistautunut ihmisvirroille (hilo del foro, mensajes 619-646, de junio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https://forum.inderes.com/t/kone-omistautunut-ihmisvirroille/3248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 Omistautunut ihmisvirroille (mensajes 592-618, abril-junio de 2026, para la tendencia)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https://forum.inderes.com/t/kone-omistautunut-ihmisvirroille/3248/592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Q2'26: pidemmän aikavälin tuloshissin kyytiin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https://www.inderes.fi/research/kone-q226-pidemman-aikavalin-tuloshissin-kyytiin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 turns bullish on Kone as share slump leaves TKE deal unpriced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https://www.investing.com/news/stock-market-news/citi-turns-bullish-on-kone-as-share-slump-leaves-tke-deal-unpriced-4936353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of KONE Corporation for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https://news.cision.com/kone-oyj/r/half-year-financial-report-of-kone-corporation-for-january-june-2026,c4376661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Corporation: Managers' transactions – Philippe Delorme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(reproducido por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https://www.inderes.fi/en/releases/kone-corporation-managers-transactions-philippe-delorme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Opens Antitrust Review of Kone's $34 Billion TK Elevator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 / CPI (según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https://www.pymnts.com/cpi-posts/us-opens-antitrust-review-of-kones-34-billion-tk-elevator-acquisition/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18 oct 2026.</w:t>
      </w:r>
    </w:p>
    <w:p>
      <w:pPr>
        <w:pStyle w:val="Nota"/>
        <w:spacing w:after="100"/>
      </w:pPr>
      <w:r>
        <w:t xml:space="preserve">Línea cotizada: acción B (KNEBV, Nasdaq Helsinki); las acciones A (76,2 M) no cotizan y cobran 0,0025 EUR menos de dividendo [1]. Cuentas en EUR, NIIF-UE, ejercicio natural; cifras de 2020-2025 del XBRL ESEF del regulador comprobadas contra los informes anuales [1, 3, 4]. KONE tiene un solo segmento NIIF 8; desde el 1T26 pasa unos 301 M de reparaciones de Modernización a Servicio y solo ha reexpresado 2025 (Servicio 5.054,6 M y Modernización 2.092,9 M frente a 4.753,6 y 2.394,0 publicados): la serie 2020-2025 por líneas va en la base publicada cada año, homogénea [12]. Desde el 1S26, 70,2 M de costes de cobertura de la operación con TKE van a patrimonio por un cambio de política contable sin reexpresar años anteriores [12]. </w:t>
      </w:r>
      <w:r>
        <w:rPr>
          <w:b/>
        </w:rPr>
        <w:t xml:space="preserve">Todo el análisis es de KONE sola</w:t>
      </w:r>
      <w:r>
        <w:t xml:space="preserve">: la combinación con TKE (cierre como pronto en el 2T27, sujeto a competencia) no entra en las cifras; va como riesgo, catalizador y opción en el texto. Las acciones de 2020 son las de la propuesta de dividendo (518,4 M), no la media diluida.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KONE Oyj (KNEBV)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(46,22 – 64,42)</c:v>
                </c:pt>
                <c:pt idx="1">
                  <c:v>Precio objetivo de los analistas (46,00 – 82,00)</c:v>
                </c:pt>
                <c:pt idx="2">
                  <c:v>Comparables: PER NTM (36,80 – 48,91)</c:v>
                </c:pt>
                <c:pt idx="3">
                  <c:v>Transacciones precedentes (EV/ventas) (59,15 – 70,56)</c:v>
                </c:pt>
                <c:pt idx="4">
                  <c:v>DCF (WACC y g ± 0,5) (36,16 – 46,50)</c:v>
                </c:pt>
                <c:pt idx="5">
                  <c:v>Escenarios (bajista – alcista) (33,34 – 44,74)</c:v>
                </c:pt>
                <c:pt idx="6">
                  <c:v>DCF con la prima implícita del mercado (4,2 %)</c:v>
                </c:pt>
                <c:pt idx="7">
                  <c:v>Precio actual (55,26)</c:v>
                </c:pt>
              </c:strCache>
            </c:strRef>
          </c:cat>
          <c:val>
            <c:numRef>
              <c:f>Hoja1!$B$2:$B$9</c:f>
              <c:numCache>
                <c:formatCode>#,##0.0</c:formatCode>
                <c:ptCount val="8"/>
                <c:pt idx="0">
                  <c:v>46.22</c:v>
                </c:pt>
                <c:pt idx="1">
                  <c:v>46</c:v>
                </c:pt>
                <c:pt idx="2">
                  <c:v>36.8</c:v>
                </c:pt>
                <c:pt idx="3">
                  <c:v>59.15</c:v>
                </c:pt>
                <c:pt idx="4">
                  <c:v>36.16</c:v>
                </c:pt>
                <c:pt idx="5">
                  <c:v>33.34</c:v>
                </c:pt>
                <c:pt idx="6">
                  <c:v>44.85</c:v>
                </c:pt>
                <c:pt idx="7">
                  <c:v>54.98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(46,22 – 64,42)</c:v>
                </c:pt>
                <c:pt idx="1">
                  <c:v>Precio objetivo de los analistas (46,00 – 82,00)</c:v>
                </c:pt>
                <c:pt idx="2">
                  <c:v>Comparables: PER NTM (36,80 – 48,91)</c:v>
                </c:pt>
                <c:pt idx="3">
                  <c:v>Transacciones precedentes (EV/ventas) (59,15 – 70,56)</c:v>
                </c:pt>
                <c:pt idx="4">
                  <c:v>DCF (WACC y g ± 0,5) (36,16 – 46,50)</c:v>
                </c:pt>
                <c:pt idx="5">
                  <c:v>Escenarios (bajista – alcista) (33,34 – 44,74)</c:v>
                </c:pt>
                <c:pt idx="6">
                  <c:v>DCF con la prima implícita del mercado (4,2 %)</c:v>
                </c:pt>
                <c:pt idx="7">
                  <c:v>Precio actual (55,26)</c:v>
                </c:pt>
              </c:strCache>
            </c:strRef>
          </c:cat>
          <c:val>
            <c:numRef>
              <c:f>Hoja1!$C$2:$C$9</c:f>
              <c:numCache>
                <c:formatCode>#,##0.0</c:formatCode>
                <c:ptCount val="8"/>
                <c:pt idx="0">
                  <c:v>18.200000000000003</c:v>
                </c:pt>
                <c:pt idx="1">
                  <c:v>36</c:v>
                </c:pt>
                <c:pt idx="2">
                  <c:v>12.11</c:v>
                </c:pt>
                <c:pt idx="3">
                  <c:v>11.410000000000004</c:v>
                </c:pt>
                <c:pt idx="4">
                  <c:v>10.340000000000003</c:v>
                </c:pt>
                <c:pt idx="5">
                  <c:v>11.399999999999999</c:v>
                </c:pt>
                <c:pt idx="6">
                  <c:v>9.309999999999995</c:v>
                </c:pt>
                <c:pt idx="7">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Equipo nuevo (New Building Solutions)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5340.2</c:v>
                </c:pt>
                <c:pt idx="1">
                  <c:v>5637.7</c:v>
                </c:pt>
                <c:pt idx="2">
                  <c:v>5399.3</c:v>
                </c:pt>
                <c:pt idx="3">
                  <c:v>4921.5</c:v>
                </c:pt>
                <c:pt idx="4">
                  <c:v>4506.9</c:v>
                </c:pt>
                <c:pt idx="5">
                  <c:v>4097.7</c:v>
                </c:pt>
              </c:numCache>
            </c:numRef>
          </c:val>
        </c:ser>
        <c:ser>
          <c:idx val="1"/>
          <c:order val="1"/>
          <c:tx>
            <c:strRef>
              <c:f>Hoja1!$C$1</c:f>
              <c:strCache>
                <c:ptCount val="1"/>
                <c:pt idx="0">
                  <c:v>Mantenimiento (Service)</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3215.6</c:v>
                </c:pt>
                <c:pt idx="1">
                  <c:v>3450.6</c:v>
                </c:pt>
                <c:pt idx="2">
                  <c:v>3890.4</c:v>
                </c:pt>
                <c:pt idx="3">
                  <c:v>4127</c:v>
                </c:pt>
                <c:pt idx="4">
                  <c:v>4503.6</c:v>
                </c:pt>
                <c:pt idx="5">
                  <c:v>4753.6</c:v>
                </c:pt>
              </c:numCache>
            </c:numRef>
          </c:val>
        </c:ser>
        <c:ser>
          <c:idx val="2"/>
          <c:order val="2"/>
          <c:tx>
            <c:strRef>
              <c:f>Hoja1!$D$1</c:f>
              <c:strCache>
                <c:ptCount val="1"/>
                <c:pt idx="0">
                  <c:v>Modernización</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1382.8</c:v>
                </c:pt>
                <c:pt idx="1">
                  <c:v>1425.9</c:v>
                </c:pt>
                <c:pt idx="2">
                  <c:v>1616.9</c:v>
                </c:pt>
                <c:pt idx="3">
                  <c:v>1903.8</c:v>
                </c:pt>
                <c:pt idx="4">
                  <c:v>2088</c:v>
                </c:pt>
                <c:pt idx="5">
                  <c:v>2394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Equipo nuevo (New Building Solutions)</c:v>
                </c:pt>
                <c:pt idx="1">
                  <c:v>Mantenimiento (Service)</c:v>
                </c:pt>
                <c:pt idx="2">
                  <c:v>Modernización</c:v>
                </c:pt>
              </c:strCache>
            </c:strRef>
          </c:cat>
          <c:val>
            <c:numRef>
              <c:f>Hoja1!$B$2:$B$4</c:f>
              <c:numCache>
                <c:formatCode>General</c:formatCode>
                <c:ptCount val="3"/>
                <c:pt idx="0">
                  <c:v>36.4</c:v>
                </c:pt>
                <c:pt idx="1">
                  <c:v>42.3</c:v>
                </c:pt>
                <c:pt idx="2">
                  <c:v>21.3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Gran China</c:v>
                </c:pt>
                <c:pt idx="3">
                  <c:v>Asia-Pacífico, Oriente Medio y África</c:v>
                </c:pt>
              </c:strCache>
            </c:strRef>
          </c:cat>
          <c:val>
            <c:numRef>
              <c:f>Hoja1!$B$2:$B$5</c:f>
              <c:numCache>
                <c:formatCode>0"%"</c:formatCode>
                <c:ptCount val="4"/>
                <c:pt idx="0">
                  <c:v>40.2</c:v>
                </c:pt>
                <c:pt idx="1">
                  <c:v>25</c:v>
                </c:pt>
                <c:pt idx="2">
                  <c:v>19.3</c:v>
                </c:pt>
                <c:pt idx="3">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KONE</c:v>
                </c:pt>
                <c:pt idx="1">
                  <c:v>Otis Worldwide</c:v>
                </c:pt>
                <c:pt idx="2">
                  <c:v>Schindler</c:v>
                </c:pt>
                <c:pt idx="3">
                  <c:v>TK Elevator</c:v>
                </c:pt>
                <c:pt idx="4">
                  <c:v>Hitachi (Building Systems)</c:v>
                </c:pt>
                <c:pt idx="5">
                  <c:v>Mitsubishi Electric (Building Systems)</c:v>
                </c:pt>
              </c:strCache>
            </c:strRef>
          </c:cat>
          <c:val>
            <c:numRef>
              <c:f>Hoja1!$B$2:$B$7</c:f>
              <c:numCache>
                <c:formatCode>0.0"%"</c:formatCode>
                <c:ptCount val="6"/>
                <c:pt idx="0">
                  <c:v>11.9</c:v>
                </c:pt>
                <c:pt idx="1">
                  <c:v>14.8</c:v>
                </c:pt>
                <c:pt idx="2">
                  <c:v>12.6</c:v>
                </c:pt>
                <c:pt idx="3">
                  <c:v>14.8</c:v>
                </c:pt>
                <c:pt idx="4">
                  <c:v>12</c:v>
                </c:pt>
                <c:pt idx="5">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9938.5</c:v>
                </c:pt>
                <c:pt idx="1">
                  <c:v>10514.1</c:v>
                </c:pt>
                <c:pt idx="2">
                  <c:v>10906.7</c:v>
                </c:pt>
                <c:pt idx="3">
                  <c:v>10952.3</c:v>
                </c:pt>
                <c:pt idx="4">
                  <c:v>11098.4</c:v>
                </c:pt>
                <c:pt idx="5">
                  <c:v>11245.2</c:v>
                </c:pt>
                <c:pt idx="6">
                  <c:v>11583</c:v>
                </c:pt>
                <c:pt idx="7">
                  <c:v>12104</c:v>
                </c:pt>
                <c:pt idx="8">
                  <c:v>12648</c:v>
                </c:pt>
                <c:pt idx="9">
                  <c:v>13218</c:v>
                </c:pt>
                <c:pt idx="10">
                  <c:v>13746</c:v>
                </c:pt>
                <c:pt idx="11">
                  <c:v>14227</c:v>
                </c:pt>
                <c:pt idx="12">
                  <c:v>14654</c:v>
                </c:pt>
                <c:pt idx="13">
                  <c:v>15094</c:v>
                </c:pt>
                <c:pt idx="14">
                  <c:v>15471</c:v>
                </c:pt>
                <c:pt idx="15">
                  <c:v>15858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1451.9</c:v>
                </c:pt>
                <c:pt idx="1">
                  <c:v>1539.3</c:v>
                </c:pt>
                <c:pt idx="2">
                  <c:v>1290.5</c:v>
                </c:pt>
                <c:pt idx="3">
                  <c:v>1469.5</c:v>
                </c:pt>
                <c:pt idx="4">
                  <c:v>1541.2</c:v>
                </c:pt>
                <c:pt idx="5">
                  <c:v>1656.1</c:v>
                </c:pt>
                <c:pt idx="6">
                  <c:v>1714</c:v>
                </c:pt>
                <c:pt idx="7">
                  <c:v>1888</c:v>
                </c:pt>
                <c:pt idx="8">
                  <c:v>2049</c:v>
                </c:pt>
                <c:pt idx="9">
                  <c:v>2168</c:v>
                </c:pt>
                <c:pt idx="10">
                  <c:v>2268</c:v>
                </c:pt>
                <c:pt idx="11">
                  <c:v>2348</c:v>
                </c:pt>
                <c:pt idx="12">
                  <c:v>2418</c:v>
                </c:pt>
                <c:pt idx="13">
                  <c:v>2490</c:v>
                </c:pt>
                <c:pt idx="14">
                  <c:v>2553</c:v>
                </c:pt>
                <c:pt idx="15">
                  <c:v>2617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60.2</c:v>
                </c:pt>
                <c:pt idx="1">
                  <c:v>59.1</c:v>
                </c:pt>
                <c:pt idx="2">
                  <c:v>59.1</c:v>
                </c:pt>
                <c:pt idx="3">
                  <c:v>61.9</c:v>
                </c:pt>
                <c:pt idx="4">
                  <c:v>64.4</c:v>
                </c:pt>
                <c:pt idx="5">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14.6</c:v>
                </c:pt>
                <c:pt idx="1">
                  <c:v>14.6</c:v>
                </c:pt>
                <c:pt idx="2">
                  <c:v>11.8</c:v>
                </c:pt>
                <c:pt idx="3">
                  <c:v>13.4</c:v>
                </c:pt>
                <c:pt idx="4">
                  <c:v>13.9</c:v>
                </c:pt>
                <c:pt idx="5">
                  <c:v>14.7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12.3</c:v>
                </c:pt>
                <c:pt idx="2">
                  <c:v>9.5</c:v>
                </c:pt>
                <c:pt idx="3">
                  <c:v>11</c:v>
                </c:pt>
                <c:pt idx="4">
                  <c:v>11.3</c:v>
                </c:pt>
                <c:pt idx="5">
                  <c:v>11.9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9.5</c:v>
                </c:pt>
                <c:pt idx="1">
                  <c:v>9.6</c:v>
                </c:pt>
                <c:pt idx="2">
                  <c:v>7.1</c:v>
                </c:pt>
                <c:pt idx="3">
                  <c:v>8.5</c:v>
                </c:pt>
                <c:pt idx="4">
                  <c:v>8.6</c:v>
                </c:pt>
                <c:pt idx="5">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0.1</c:v>
                </c:pt>
                <c:pt idx="1">
                  <c:v>5.9</c:v>
                </c:pt>
                <c:pt idx="2">
                  <c:v>4.1</c:v>
                </c:pt>
                <c:pt idx="3">
                  <c:v>1.8</c:v>
                </c:pt>
                <c:pt idx="4">
                  <c:v>0.3</c:v>
                </c:pt>
                <c:pt idx="5">
                  <c:v>-0.5</c:v>
                </c:pt>
                <c:pt idx="6">
                  <c:v>1.3</c:v>
                </c:pt>
                <c:pt idx="7">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80</c:v>
                </c:pt>
                <c:pt idx="1">
                  <c:v>84</c:v>
                </c:pt>
                <c:pt idx="2">
                  <c:v>89</c:v>
                </c:pt>
                <c:pt idx="3">
                  <c:v>83</c:v>
                </c:pt>
                <c:pt idx="4">
                  <c:v>82</c:v>
                </c:pt>
                <c:pt idx="5">
                  <c:v>76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26</c:v>
                </c:pt>
                <c:pt idx="1">
                  <c:v>29</c:v>
                </c:pt>
                <c:pt idx="2">
                  <c:v>32</c:v>
                </c:pt>
                <c:pt idx="3">
                  <c:v>32</c:v>
                </c:pt>
                <c:pt idx="4">
                  <c:v>33</c:v>
                </c:pt>
                <c:pt idx="5">
                  <c:v>32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38</c:v>
                </c:pt>
                <c:pt idx="1">
                  <c:v>53</c:v>
                </c:pt>
                <c:pt idx="2">
                  <c:v>43</c:v>
                </c:pt>
                <c:pt idx="3">
                  <c:v>36</c:v>
                </c:pt>
                <c:pt idx="4">
                  <c:v>38</c:v>
                </c:pt>
                <c:pt idx="5">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1344.3</c:v>
                </c:pt>
                <c:pt idx="1">
                  <c:v>1367.3</c:v>
                </c:pt>
                <c:pt idx="2">
                  <c:v>306</c:v>
                </c:pt>
                <c:pt idx="3">
                  <c:v>855.2</c:v>
                </c:pt>
                <c:pt idx="4">
                  <c:v>942.5999999999999</c:v>
                </c:pt>
                <c:pt idx="5">
                  <c:v>1011.5999999999999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939.2</c:v>
                </c:pt>
                <c:pt idx="1">
                  <c:v>1014.2</c:v>
                </c:pt>
                <c:pt idx="2">
                  <c:v>774.5</c:v>
                </c:pt>
                <c:pt idx="3">
                  <c:v>925.8</c:v>
                </c:pt>
                <c:pt idx="4">
                  <c:v>951.3</c:v>
                </c:pt>
                <c:pt idx="5">
                  <c:v>980.1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28.9</c:v>
                </c:pt>
                <c:pt idx="1">
                  <c:v>30.9</c:v>
                </c:pt>
                <c:pt idx="2">
                  <c:v>25.5</c:v>
                </c:pt>
                <c:pt idx="3">
                  <c:v>31.9</c:v>
                </c:pt>
                <c:pt idx="4">
                  <c:v>31.5</c:v>
                </c:pt>
                <c:pt idx="5">
                  <c:v>31.2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8.7</c:v>
                </c:pt>
                <c:pt idx="1">
                  <c:v>8.7</c:v>
                </c:pt>
                <c:pt idx="2">
                  <c:v>8.7</c:v>
                </c:pt>
                <c:pt idx="3">
                  <c:v>8.7</c:v>
                </c:pt>
                <c:pt idx="4">
                  <c:v>8.7</c:v>
                </c:pt>
                <c:pt idx="5">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29.6</c:v>
                </c:pt>
                <c:pt idx="1">
                  <c:v>31.9</c:v>
                </c:pt>
                <c:pt idx="2">
                  <c:v>25.8</c:v>
                </c:pt>
                <c:pt idx="3">
                  <c:v>33.1</c:v>
                </c:pt>
                <c:pt idx="4">
                  <c:v>33.9</c:v>
                </c:pt>
                <c:pt idx="5">
                  <c:v>34.6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0.03</c:v>
                </c:pt>
                <c:pt idx="1">
                  <c:v>0.04</c:v>
                </c:pt>
                <c:pt idx="2">
                  <c:v>0.03</c:v>
                </c:pt>
                <c:pt idx="3">
                  <c:v>0.09</c:v>
                </c:pt>
                <c:pt idx="4">
                  <c:v>0.17</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343.3</c:v>
                </c:pt>
                <c:pt idx="1">
                  <c:v>269.5</c:v>
                </c:pt>
                <c:pt idx="2">
                  <c:v>245.2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26.9</c:v>
                </c:pt>
                <c:pt idx="1">
                  <c:v>34.5</c:v>
                </c:pt>
                <c:pt idx="2">
                  <c:v>31.6</c:v>
                </c:pt>
                <c:pt idx="3">
                  <c:v>169.2</c:v>
                </c:pt>
                <c:pt idx="4">
                  <c:v>119.2</c:v>
                </c:pt>
                <c:pt idx="5">
                  <c:v>130.2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880.5</c:v>
                </c:pt>
                <c:pt idx="1">
                  <c:v>1166.3</c:v>
                </c:pt>
                <c:pt idx="2">
                  <c:v>1087.8</c:v>
                </c:pt>
                <c:pt idx="3">
                  <c:v>904.9</c:v>
                </c:pt>
                <c:pt idx="4">
                  <c:v>905.5</c:v>
                </c:pt>
                <c:pt idx="5">
                  <c:v>931.9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45.8</c:v>
                </c:pt>
                <c:pt idx="2">
                  <c:v>50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Otro externo</c:v>
                </c:pt>
                <c:pt idx="3">
                  <c:v>Independiente</c:v>
                </c:pt>
              </c:strCache>
            </c:strRef>
          </c:cat>
          <c:val>
            <c:numRef>
              <c:f>Hoja1!$B$2:$B$5</c:f>
              <c:numCache>
                <c:formatCode>0</c:formatCode>
                <c:ptCount val="4"/>
                <c:pt idx="0">
                  <c:v>2</c:v>
                </c:pt>
                <c:pt idx="1">
                  <c:v>1</c:v>
                </c:pt>
                <c:pt idx="2">
                  <c:v>1</c:v>
                </c:pt>
                <c:pt idx="3">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Antti Herlin (directo y por Holding Manutas Oy y Security Trading Oy)</c:v>
                </c:pt>
                <c:pt idx="1">
                  <c:v>KONE Foundation</c:v>
                </c:pt>
                <c:pt idx="2">
                  <c:v>Polttina Oy</c:v>
                </c:pt>
                <c:pt idx="3">
                  <c:v>Wipunen varainhallinta oy</c:v>
                </c:pt>
                <c:pt idx="4">
                  <c:v>Ilmarinen</c:v>
                </c:pt>
                <c:pt idx="5">
                  <c:v>Varma</c:v>
                </c:pt>
                <c:pt idx="6">
                  <c:v>Autocartera (KONE Oyj)</c:v>
                </c:pt>
                <c:pt idx="7">
                  <c:v>Vertical Topco I S.A. (Advent y Cinven, vendedores de TKE)</c:v>
                </c:pt>
              </c:strCache>
            </c:strRef>
          </c:cat>
          <c:val>
            <c:numRef>
              <c:f>Hoja1!$B$2:$B$9</c:f>
              <c:numCache>
                <c:formatCode>0.0"%"</c:formatCode>
                <c:ptCount val="8"/>
                <c:pt idx="0">
                  <c:v>23.35</c:v>
                </c:pt>
                <c:pt idx="1">
                  <c:v>2.93</c:v>
                </c:pt>
                <c:pt idx="2">
                  <c:v>3.26</c:v>
                </c:pt>
                <c:pt idx="3">
                  <c:v>2.64</c:v>
                </c:pt>
                <c:pt idx="4">
                  <c:v>1.99</c:v>
                </c:pt>
                <c:pt idx="5">
                  <c:v>1.93</c:v>
                </c:pt>
                <c:pt idx="6">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8.7</c:v>
                </c:pt>
                <c:pt idx="1">
                  <c:v>5.2</c:v>
                </c:pt>
                <c:pt idx="2">
                  <c:v>-7</c:v>
                </c:pt>
                <c:pt idx="3">
                  <c:v>40</c:v>
                </c:pt>
                <c:pt idx="4">
                  <c:v>14</c:v>
                </c:pt>
                <c:pt idx="5">
                  <c:v>-5.1</c:v>
                </c:pt>
                <c:pt idx="6">
                  <c:v>-23.4</c:v>
                </c:pt>
                <c:pt idx="7">
                  <c:v>-6.3</c:v>
                </c:pt>
                <c:pt idx="8">
                  <c:v>3.8</c:v>
                </c:pt>
                <c:pt idx="9">
                  <c:v>28.9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6.5</c:v>
                </c:pt>
                <c:pt idx="2">
                  <c:v>-5.9</c:v>
                </c:pt>
                <c:pt idx="3">
                  <c:v>14.6</c:v>
                </c:pt>
                <c:pt idx="4">
                  <c:v>8.6</c:v>
                </c:pt>
                <c:pt idx="5">
                  <c:v>21.5</c:v>
                </c:pt>
                <c:pt idx="6">
                  <c:v>-13.4</c:v>
                </c:pt>
                <c:pt idx="7">
                  <c:v>-6.4</c:v>
                </c:pt>
                <c:pt idx="8">
                  <c:v>-4.4</c:v>
                </c:pt>
                <c:pt idx="9">
                  <c:v>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23.8</c:v>
                </c:pt>
                <c:pt idx="1">
                  <c:v>21.3</c:v>
                </c:pt>
                <c:pt idx="2">
                  <c:v>19.4</c:v>
                </c:pt>
                <c:pt idx="3">
                  <c:v>16.1</c:v>
                </c:pt>
                <c:pt idx="4">
                  <c:v>16</c:v>
                </c:pt>
                <c:pt idx="5">
                  <c:v>19.3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19.4</c:v>
                </c:pt>
                <c:pt idx="1">
                  <c:v>19.4</c:v>
                </c:pt>
                <c:pt idx="2">
                  <c:v>19.4</c:v>
                </c:pt>
                <c:pt idx="3">
                  <c:v>19.4</c:v>
                </c:pt>
                <c:pt idx="4">
                  <c:v>19.4</c:v>
                </c:pt>
                <c:pt idx="5">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KONE</c:v>
                </c:pt>
                <c:pt idx="1">
                  <c:v>Otis Worldwide</c:v>
                </c:pt>
                <c:pt idx="2">
                  <c:v>Schindler</c:v>
                </c:pt>
                <c:pt idx="3">
                  <c:v>Hyundai Elevator</c:v>
                </c:pt>
                <c:pt idx="4">
                  <c:v>ASSA ABLOY</c:v>
                </c:pt>
                <c:pt idx="5">
                  <c:v>Atlas Copco</c:v>
                </c:pt>
                <c:pt idx="6">
                  <c:v>Konecranes</c:v>
                </c:pt>
                <c:pt idx="7">
                  <c:v>Mitsubishi Electric</c:v>
                </c:pt>
                <c:pt idx="8">
                  <c:v>Legrand</c:v>
                </c:pt>
              </c:strCache>
            </c:strRef>
          </c:cat>
          <c:val>
            <c:numRef>
              <c:f>Hoja1!$B$2:$B$10</c:f>
              <c:numCache>
                <c:formatCode>0.0"x"</c:formatCode>
                <c:ptCount val="9"/>
                <c:pt idx="0">
                  <c:v>14.8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TK Elevator (TKE)</c:v>
                </c:pt>
                <c:pt idx="1">
                  <c:v>thyssenkrupp Elevator Technology</c:v>
                </c:pt>
                <c:pt idx="2">
                  <c:v>Hardware and Home Improvement (Spectrum Brands)</c:v>
                </c:pt>
              </c:strCache>
            </c:strRef>
          </c:cat>
          <c:val>
            <c:numRef>
              <c:f>Hoja1!$B$2:$B$4</c:f>
              <c:numCache>
                <c:formatCode>0.0"x"</c:formatCode>
                <c:ptCount val="3"/>
                <c:pt idx="0">
                  <c:v>18.2</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1040</c:v>
                </c:pt>
                <c:pt idx="1">
                  <c:v>1144</c:v>
                </c:pt>
                <c:pt idx="2">
                  <c:v>1253</c:v>
                </c:pt>
                <c:pt idx="3">
                  <c:v>1329</c:v>
                </c:pt>
                <c:pt idx="4">
                  <c:v>1396</c:v>
                </c:pt>
                <c:pt idx="5">
                  <c:v>1449</c:v>
                </c:pt>
                <c:pt idx="6">
                  <c:v>1497</c:v>
                </c:pt>
                <c:pt idx="7">
                  <c:v>1511</c:v>
                </c:pt>
                <c:pt idx="8">
                  <c:v>1553</c:v>
                </c:pt>
                <c:pt idx="9">
                  <c:v>1592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8831</c:v>
                </c:pt>
                <c:pt idx="1">
                  <c:v>11932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55,26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33.34</c:v>
                </c:pt>
                <c:pt idx="1">
                  <c:v>40.53</c:v>
                </c:pt>
                <c:pt idx="2">
                  <c:v>44.74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(46,22 – 64,42)</c:v>
                </c:pt>
                <c:pt idx="1">
                  <c:v>Precio objetivo de los analistas (46,00 – 82,00)</c:v>
                </c:pt>
                <c:pt idx="2">
                  <c:v>Comparables: PER NTM (36,80 – 48,91)</c:v>
                </c:pt>
                <c:pt idx="3">
                  <c:v>Transacciones precedentes (EV/ventas) (59,15 – 70,56)</c:v>
                </c:pt>
                <c:pt idx="4">
                  <c:v>DCF (WACC y g ± 0,5) (36,16 – 46,50)</c:v>
                </c:pt>
                <c:pt idx="5">
                  <c:v>Escenarios (bajista – alcista) (33,34 – 44,74)</c:v>
                </c:pt>
                <c:pt idx="6">
                  <c:v>DCF con la prima implícita del mercado (4,2 %)</c:v>
                </c:pt>
                <c:pt idx="7">
                  <c:v>Precio actual (55,26)</c:v>
                </c:pt>
              </c:strCache>
            </c:strRef>
          </c:cat>
          <c:val>
            <c:numRef>
              <c:f>Hoja1!$B$2:$B$9</c:f>
              <c:numCache>
                <c:formatCode>#,##0.0</c:formatCode>
                <c:ptCount val="8"/>
                <c:pt idx="0">
                  <c:v>46.22</c:v>
                </c:pt>
                <c:pt idx="1">
                  <c:v>46</c:v>
                </c:pt>
                <c:pt idx="2">
                  <c:v>36.8</c:v>
                </c:pt>
                <c:pt idx="3">
                  <c:v>59.15</c:v>
                </c:pt>
                <c:pt idx="4">
                  <c:v>36.16</c:v>
                </c:pt>
                <c:pt idx="5">
                  <c:v>33.34</c:v>
                </c:pt>
                <c:pt idx="6">
                  <c:v>44.85</c:v>
                </c:pt>
                <c:pt idx="7">
                  <c:v>54.98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(46,22 – 64,42)</c:v>
                </c:pt>
                <c:pt idx="1">
                  <c:v>Precio objetivo de los analistas (46,00 – 82,00)</c:v>
                </c:pt>
                <c:pt idx="2">
                  <c:v>Comparables: PER NTM (36,80 – 48,91)</c:v>
                </c:pt>
                <c:pt idx="3">
                  <c:v>Transacciones precedentes (EV/ventas) (59,15 – 70,56)</c:v>
                </c:pt>
                <c:pt idx="4">
                  <c:v>DCF (WACC y g ± 0,5) (36,16 – 46,50)</c:v>
                </c:pt>
                <c:pt idx="5">
                  <c:v>Escenarios (bajista – alcista) (33,34 – 44,74)</c:v>
                </c:pt>
                <c:pt idx="6">
                  <c:v>DCF con la prima implícita del mercado (4,2 %)</c:v>
                </c:pt>
                <c:pt idx="7">
                  <c:v>Precio actual (55,26)</c:v>
                </c:pt>
              </c:strCache>
            </c:strRef>
          </c:cat>
          <c:val>
            <c:numRef>
              <c:f>Hoja1!$C$2:$C$9</c:f>
              <c:numCache>
                <c:formatCode>#,##0.0</c:formatCode>
                <c:ptCount val="8"/>
                <c:pt idx="0">
                  <c:v>18.200000000000003</c:v>
                </c:pt>
                <c:pt idx="1">
                  <c:v>36</c:v>
                </c:pt>
                <c:pt idx="2">
                  <c:v>12.11</c:v>
                </c:pt>
                <c:pt idx="3">
                  <c:v>11.410000000000004</c:v>
                </c:pt>
                <c:pt idx="4">
                  <c:v>10.340000000000003</c:v>
                </c:pt>
                <c:pt idx="5">
                  <c:v>11.399999999999999</c:v>
                </c:pt>
                <c:pt idx="6">
                  <c:v>9.309999999999995</c:v>
                </c:pt>
                <c:pt idx="7">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