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FactSet Research Systems Inc.</w:t>
      </w:r>
    </w:p>
    <w:p>
      <w:pPr>
        <w:spacing w:after="60"/>
        <w:rPr>
          <w:color w:val="52514E"/>
          <w:sz w:val="22"/>
          <w:szCs w:val="22"/>
        </w:rPr>
      </w:pPr>
      <w:r>
        <w:rPr>
          <w:color w:val="52514E"/>
          <w:sz w:val="22"/>
          <w:szCs w:val="22"/>
        </w:rPr>
        <w:t xml:space="preserve">FDS · NYSE (también Nasdaq) · ISIN US3030751057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289,74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351,37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+22,8 % (base +19,3 %)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314,93 USD · mercado 364,76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10.265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FactSet Research Systems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FDS / US3030751057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(también Nasdaq)</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Norwalk (Connecticut) · 1978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https://www.factset.com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289,74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185,00 – 320,48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351,37 USD</w:t>
      </w:r>
      <w:r>
        <w:t xml:space="preserve"> frente a 289,74 · Rentabilidad a 12 meses </w:t>
      </w:r>
      <w:r>
        <w:rPr>
          <w:b/>
          <w:bCs/>
        </w:rPr>
        <w:t xml:space="preserve">+22,8 % (base +19,3 %)</w:t>
      </w:r>
      <w:r>
        <w:t xml:space="preserve"> · Valor intrínseco 314,93 USD · con la prima implícita del mercado: 364,76 (+25,9 %) · Alcista / bajista +19,2 % / -31,9 %</w:t>
      </w:r>
    </w:p>
    <w:p>
      <w:pPr>
        <w:spacing w:after="100"/>
      </w:pPr>
      <w:r>
        <w:rPr>
          <w:b/>
        </w:rPr>
        <w:t xml:space="preserve">La recomendación y por qué.</w:t>
      </w:r>
      <w:r>
        <w:t xml:space="preserve"> Mantener, con convicción baja. La regla a 12 meses da Comprar: objetivo de 351,37 USD, rentabilidad ponderada del 22,8 % y del 19,3 % en el base, con el valor intrínseco (314,93) un 8,7 % por encima del precio de 289,74 y el objetivo medio de los analistas (280) por debajo de nuestro rango central. Nos apartamos porque el control v2 da Mantener (11,5 %), la sostenibilidad del crecimiento es «En parte» y la asimetría del DCF es mala (+19,2 % frente a −31,9 %): la única razón para que el precio suba un 20 % en un año es que el mercado deje de descontar la sustitución por IA, y eso no se puede fechar. La convicción subiría con un ASV orgánico ≥ 6 % en el 1T FY2027 (≈ 17-dic) y bajaría si cae del 5 %.</w:t>
      </w:r>
    </w:p>
    <w:p>
      <w:pPr>
        <w:spacing w:after="100"/>
      </w:pPr>
      <w:r>
        <w:rPr>
          <w:b/>
        </w:rPr>
        <w:t xml:space="preserve">El negocio.</w:t>
      </w:r>
      <w:r>
        <w:t xml:space="preserve"> Cuarto proveedor mundial de datos financieros (≈ 5 % de un mercado de 49.200 M USD), con suscripciones que se renuevan al 95 % y un ROIC del 20,2 % frente a un WACC del 9,46 % (10,7 puntos; 34 % sin el fondo de comercio de CUSIP). Veredicto de calidad: </w:t>
      </w:r>
      <w:r>
        <w:rPr>
          <w:b/>
        </w:rPr>
        <w:t xml:space="preserve">En parte</w:t>
      </w:r>
      <w:r>
        <w:t xml:space="preserve">. La sostenibilidad del crecimiento es «En parte»: el 4,7 % que proyectamos no necesita capital y la cuota baja, pero se apoya en subir precios un 3 % al año, justo lo que la IA puede quitar [1, 13].</w:t>
      </w:r>
    </w:p>
    <w:p>
      <w:pPr>
        <w:spacing w:after="100"/>
      </w:pPr>
      <w:r>
        <w:rPr>
          <w:b/>
        </w:rPr>
        <w:t xml:space="preserve">Riesgo de que la IA se coma el negocio.</w:t>
      </w:r>
      <w:r>
        <w:t xml:space="preserve"> Es el riesgo que decide. FactSet es el eslabón de terminales y datos, el más expuesto: si los analistas trabajan desde ChatGPT para finanzas, Claude o Copilot y compran datos por volumen a varios proveedores, pierde poder de precio y puestos. Hoy las cifras dicen lo contrario (ASV de +4,5 % a +7,0 %, más del 10 % del ASV nuevo en productos de IA, 650 clientes con MCP), pero Morningstar retiró el foso y Redburn la puso en Vender por «riesgo terminal» [11, 15, 19]. Lo valoramos como probabilidad media y efecto del −32 % (bajista).</w:t>
      </w:r>
    </w:p>
    <w:p>
      <w:pPr>
        <w:spacing w:after="100"/>
      </w:pPr>
      <w:r>
        <w:rPr>
          <w:b/>
        </w:rPr>
        <w:t xml:space="preserve">Finanzas.</w:t>
      </w:r>
      <w:r>
        <w:t xml:space="preserve"> Ingresos +6,7 % en FY2026; margen ajustado −180 pb por incentivos; flujo libre de 708 M y deuda neta de 1.105 M (1,2 veces el EBITDA). EY dio opinión adversa sobre el control interno de ingresos en FY2024 y FY2025, sin errores detectados [2].</w:t>
      </w:r>
    </w:p>
    <w:p>
      <w:pPr>
        <w:spacing w:after="100"/>
      </w:pPr>
      <w:r>
        <w:rPr>
          <w:b/>
        </w:rPr>
        <w:t xml:space="preserve">Equipo y gobierno.</w:t>
      </w:r>
      <w:r>
        <w:t xml:space="preserve"> Consejo independiente y capital disperso; la cúpula entera es nueva (consejero delegado, director financiero, presidente y directora de IA en doce meses) y el variable premia crecer, no el ROIC [20, 22].</w:t>
      </w:r>
    </w:p>
    <w:p>
      <w:pPr>
        <w:spacing w:after="100"/>
      </w:pPr>
      <w:r>
        <w:rPr>
          <w:b/>
        </w:rPr>
        <w:t xml:space="preserve">Valoración.</w:t>
      </w:r>
      <w:r>
        <w:t xml:space="preserve"> El DCF da 305,45 (+5,4 %) y el inverso dice que el precio descuenta un crecimiento del 3,9 % anual frente a nuestro 4,7 %: no es exigente. A 16,4 veces el BPA de FY2027e cotiza muy por debajo de su mediana de 27,2 y del sector (24); la regla v3 supone que el múltiplo vuelve un 10 % hacia su historia, la v2 que no vuelve. Esa diferencia, de 11 puntos de rentabilidad, es la tesis entera.</w:t>
      </w:r>
    </w:p>
    <w:p>
      <w:pPr>
        <w:spacing w:after="100"/>
      </w:pPr>
      <w:r>
        <w:rPr>
          <w:b/>
        </w:rPr>
        <w:t xml:space="preserve">Riesgos y catalizadores.</w:t>
      </w:r>
      <w:r>
        <w:t xml:space="preserve"> IA (−32 %), poder de precio (−15 %) y competencia de Bloomberg y LSEG con sus MCP (−10 %). Catalizadores: día del inversor el 10-nov-2026 y resultados del 1T FY2027. Los foros están divididos y cada lanzamiento de IA de un laboratorio mueve la acción un 5-10 %.</w:t>
      </w:r>
    </w:p>
    <w:p>
      <w:pPr>
        <w:spacing w:after="100"/>
      </w:pPr>
      <w:r>
        <w:rPr>
          <w:b/>
        </w:rPr>
        <w:t xml:space="preserve">Qué cambiaría la decisión.</w:t>
      </w:r>
      <w:r>
        <w:t xml:space="preserve"> Compraríamos por debajo de 280,80 USD (pasan la v3 y la v2; la v3 sola, por debajo de 308,54) y venderíamos por encima de 395,36. Pasaríamos a Vender si la retención baja del 95 %. Una acción cuesta ≈ 260 EUR, muy por debajo del 7 % de una cartera de 30.000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351,37 USD</w:t>
      </w:r>
      <w:r>
        <w:t xml:space="preserve"> (rentabilidad +22,8 % (base +19,3 %)) · Valor intrínseco: 314,93 USD (+8,7 % sobre 289,74) · con la prima implícita del mercado: 364,76 (+25,9 %)</w:t>
      </w:r>
    </w:p>
    <w:p>
      <w:pPr>
        <w:spacing w:after="100"/>
      </w:pPr>
      <w:r>
        <w:t xml:space="preserve">FactSet es el cuarto proveedor mundial de datos financieros, con 2.476 M de ingresos, un 95 % de retención del ASV, un ROIC del 20,2 % (34 % sin fondo de comercio) y 708 M de flujo libre. En FY2026 su ASV orgánico se aceleró del 5,7 % al 7,0 % y la guía de FY2027 apunta a +5-6,5 % con mejora de margen [1].</w:t>
      </w:r>
    </w:p>
    <w:p>
      <w:pPr>
        <w:spacing w:after="100"/>
      </w:pPr>
      <w:r>
        <w:t xml:space="preserve">El precio, 289,74 USD, descuenta un crecimiento del 3,9 % anual y un margen del 38,9 %: menos de lo que hace hoy. Cotiza a 16,4 veces nuestro BPA de FY2027e, frente a 27 de mediana en cinco años y 24 del sector, y a 11,8 veces el EBITDA, el múltiplo más bajo de su grupo [26, 28].</w:t>
      </w:r>
    </w:p>
    <w:p>
      <w:pPr>
        <w:spacing w:after="100"/>
      </w:pPr>
      <w:r>
        <w:t xml:space="preserve">El mercado no se equivoca en la pregunta, sino quizá en la respuesta: la IA puede convertir el terminal en un proveedor de datos por volumen, y FactSet es el eslabón más expuesto (Morningstar le retiró el foso, Redburn la tiene en Vender). Para invertir hay que creer que sus datos limpios y su lógica de cálculo serán la fuente dentro de los asistentes y no un insumo intercambiable; las cifras de 2026 apuntan en esa dirección, pero son un año [11, 15, 19].</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16,05 = 231,12 · 18,0x × 18,95 = 341,10 · 24,4x × 20,17 = 492,15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280,00 (nuestro base +21,8 %)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314,93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 / -31,9 %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364,76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308,54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308,54 y 395,36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395,36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22,8 %, base 19,3 %, valor intrínseco 314,93 por encima del precio), pero nos apartamos por tres razones que la regla vigente no recoge. Primera, el control v2 da Mantener (11,5 %): la compra no es robusta, y la diferencia entre v3 y v2 es exactamente la apuesta de que el múltiplo vuelve hacia una historia que pertenece a otro régimen. Segunda, la sostenibilidad del crecimiento es «En parte» porque el riesgo de la IA ataca la palanca que sostiene la proyección, el precio. Tercera, la asimetría del DCF es mala (0,60: +19,2 % frente a −31,9 %). Compraríamos por debajo de 280,80 USD, donde pasan la v3 y la v2.</w:t>
      </w:r>
    </w:p>
    <w:p>
      <w:pPr>
        <w:pStyle w:val="Heading2"/>
      </w:pPr>
      <w:r>
        <w:t xml:space="preserve">Qué cambiaría la recomendación</w:t>
      </w:r>
    </w:p>
    <w:p>
      <w:pPr>
        <w:pStyle w:val="ListParagraph"/>
        <w:numPr>
          <w:ilvl w:val="0"/>
          <w:numId w:val="2"/>
        </w:numPr>
        <w:spacing w:after="60"/>
      </w:pPr>
      <w:r>
        <w:t xml:space="preserve">Precio por debajo de 280,80 USD (pasan la v3 y la v2): pasaríamos a Comprar si el ASV del 1T27 sigue ≥ 6 %.</w:t>
      </w:r>
    </w:p>
    <w:p>
      <w:pPr>
        <w:pStyle w:val="ListParagraph"/>
        <w:numPr>
          <w:ilvl w:val="0"/>
          <w:numId w:val="2"/>
        </w:numPr>
        <w:spacing w:after="60"/>
      </w:pPr>
      <w:r>
        <w:t xml:space="preserve">Precio por encima de 395,36 USD: Vender (ponderada ≤ −10 %).</w:t>
      </w:r>
    </w:p>
    <w:p>
      <w:pPr>
        <w:pStyle w:val="ListParagraph"/>
        <w:numPr>
          <w:ilvl w:val="0"/>
          <w:numId w:val="2"/>
        </w:numPr>
        <w:spacing w:after="60"/>
      </w:pPr>
      <w:r>
        <w:t xml:space="preserve">ASV orgánico &lt; 5 % en el 1T o el 2T de FY2027: revisaríamos el caso base a la baja (el bajista pasa a pesar más).</w:t>
      </w:r>
    </w:p>
    <w:p>
      <w:pPr>
        <w:pStyle w:val="ListParagraph"/>
        <w:numPr>
          <w:ilvl w:val="0"/>
          <w:numId w:val="2"/>
        </w:numPr>
        <w:spacing w:after="60"/>
      </w:pPr>
      <w:r>
        <w:t xml:space="preserve">Retención del ASV &lt; 95 %: Vender.</w:t>
      </w:r>
    </w:p>
    <w:p>
      <w:pPr>
        <w:pStyle w:val="ListParagraph"/>
        <w:numPr>
          <w:ilvl w:val="0"/>
          <w:numId w:val="2"/>
        </w:numPr>
        <w:spacing w:after="60"/>
      </w:pPr>
      <w:r>
        <w:t xml:space="preserve">Objetivos del día del inversor (10-nov) con crecimiento ≥ 7 % y margen ≥ 37 % ajustado: subiríamos la sostenibilidad a «Sí».</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caerá a la mitad (3,9 % anual) y que el margen no se recupera: una empresa madura que la IA irá erosionando, con un PER de 16 como el de una editorial de información.</w:t>
      </w:r>
    </w:p>
    <w:p>
      <w:pPr>
        <w:keepNext/>
        <w:spacing w:after="100"/>
      </w:pPr>
      <w:r>
        <w:rPr>
          <w:b/>
          <w:bCs/>
        </w:rPr>
        <w:t xml:space="preserve">Lo que creemos nosotros.</w:t>
      </w:r>
    </w:p>
    <w:p>
      <w:pPr>
        <w:spacing w:after="100"/>
      </w:pPr>
      <w:r>
        <w:t xml:space="preserve">En el caso base FactSet crece al 5 % y recupera margen hacia el 40,5 %, lo que da 305,45 por DCF; la IA es a la vez canal (MCP) y amenaza, y en 2026 ha sumado más de lo que ha restado.</w:t>
      </w:r>
    </w:p>
    <w:p>
      <w:pPr>
        <w:keepNext/>
        <w:spacing w:after="100"/>
      </w:pPr>
      <w:r>
        <w:rPr>
          <w:b/>
          <w:bCs/>
        </w:rPr>
        <w:t xml:space="preserve">Por qué podemos tener razón.</w:t>
      </w:r>
    </w:p>
    <w:p>
      <w:pPr>
        <w:spacing w:after="100"/>
      </w:pPr>
      <w:r>
        <w:t xml:space="preserve">El ASV se ha acelerado tres trimestres seguidos en pleno miedo a la IA, la retención no ha bajado y los clientes que usan la IA de FactSet crecen el doble. Pero nuestra distancia con el mercado es pequeña (un 8,7 % de valor intrínseco) y depende de un riesgo que no se puede medir hoy: no tenemos una visión muy distinta.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89,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ASV acelerando</w:t>
      </w:r>
      <w:r>
        <w:t xml:space="preserve">: orgánico de +4,5 % a +7,0 % en un año, récord de 168 M [1].</w:t>
      </w:r>
    </w:p>
    <w:p>
      <w:pPr>
        <w:pStyle w:val="ListParagraph"/>
        <w:numPr>
          <w:ilvl w:val="0"/>
          <w:numId w:val="2"/>
        </w:numPr>
        <w:spacing w:after="60"/>
      </w:pPr>
      <w:r>
        <w:rPr>
          <w:b/>
        </w:rPr>
        <w:t xml:space="preserve">Barata frente a su historia y su sector</w:t>
      </w:r>
      <w:r>
        <w:t xml:space="preserve">: 16,4 veces el BPA de FY2027e frente a 27 de mediana [26].</w:t>
      </w:r>
    </w:p>
    <w:p>
      <w:pPr>
        <w:pStyle w:val="ListParagraph"/>
        <w:numPr>
          <w:ilvl w:val="0"/>
          <w:numId w:val="2"/>
        </w:numPr>
        <w:spacing w:after="60"/>
      </w:pPr>
      <w:r>
        <w:rPr>
          <w:b/>
        </w:rPr>
        <w:t xml:space="preserve">Caja abundante</w:t>
      </w:r>
      <w:r>
        <w:t xml:space="preserve">: 708 M de flujo libre (6,9 % del valor de mercado) y 644 M de recompras en FY2026 [1].</w:t>
      </w:r>
    </w:p>
    <w:p>
      <w:pPr>
        <w:pStyle w:val="ListParagraph"/>
        <w:numPr>
          <w:ilvl w:val="0"/>
          <w:numId w:val="2"/>
        </w:numPr>
        <w:spacing w:after="60"/>
      </w:pPr>
      <w:r>
        <w:rPr>
          <w:b/>
        </w:rPr>
        <w:t xml:space="preserve">ROIC del 20,2 %</w:t>
      </w:r>
      <w:r>
        <w:t xml:space="preserve">, 10,7 puntos por encima del WACC [1].</w:t>
      </w:r>
    </w:p>
    <w:p>
      <w:pPr>
        <w:pStyle w:val="ListParagraph"/>
        <w:numPr>
          <w:ilvl w:val="0"/>
          <w:numId w:val="2"/>
        </w:numPr>
        <w:spacing w:after="60"/>
      </w:pPr>
      <w:r>
        <w:rPr>
          <w:b/>
        </w:rPr>
        <w:t xml:space="preserve">Retención &gt; 95 %</w:t>
      </w:r>
      <w:r>
        <w:t xml:space="preserve"> y contratos más largos sin descuento [11].</w:t>
      </w:r>
    </w:p>
    <w:p>
      <w:pPr>
        <w:pStyle w:val="Heading2"/>
      </w:pPr>
      <w:r>
        <w:t xml:space="preserve">En contra</w:t>
      </w:r>
    </w:p>
    <w:p>
      <w:pPr>
        <w:pStyle w:val="ListParagraph"/>
        <w:numPr>
          <w:ilvl w:val="0"/>
          <w:numId w:val="2"/>
        </w:numPr>
        <w:spacing w:after="60"/>
      </w:pPr>
      <w:r>
        <w:rPr>
          <w:b/>
        </w:rPr>
        <w:t xml:space="preserve">Riesgo terminal de la IA</w:t>
      </w:r>
      <w:r>
        <w:t xml:space="preserve">: Morningstar le retira el foso y Redburn la pone en Vender [15, 19].</w:t>
      </w:r>
    </w:p>
    <w:p>
      <w:pPr>
        <w:pStyle w:val="ListParagraph"/>
        <w:numPr>
          <w:ilvl w:val="0"/>
          <w:numId w:val="2"/>
        </w:numPr>
        <w:spacing w:after="60"/>
      </w:pPr>
      <w:r>
        <w:rPr>
          <w:b/>
        </w:rPr>
        <w:t xml:space="preserve">Asimetría del DCF mala</w:t>
      </w:r>
      <w:r>
        <w:t xml:space="preserve">: +19,2 % frente a −31,9 % (0,60 veces).</w:t>
      </w:r>
    </w:p>
    <w:p>
      <w:pPr>
        <w:pStyle w:val="ListParagraph"/>
        <w:numPr>
          <w:ilvl w:val="0"/>
          <w:numId w:val="2"/>
        </w:numPr>
        <w:spacing w:after="60"/>
      </w:pPr>
      <w:r>
        <w:rPr>
          <w:b/>
        </w:rPr>
        <w:t xml:space="preserve">La compra no es robusta</w:t>
      </w:r>
      <w:r>
        <w:t xml:space="preserve">: v2 da 11,5 %, Mantener.</w:t>
      </w:r>
    </w:p>
    <w:p>
      <w:pPr>
        <w:pStyle w:val="ListParagraph"/>
        <w:numPr>
          <w:ilvl w:val="0"/>
          <w:numId w:val="2"/>
        </w:numPr>
        <w:spacing w:after="60"/>
      </w:pPr>
      <w:r>
        <w:rPr>
          <w:b/>
        </w:rPr>
        <w:t xml:space="preserve">Margen a la baja</w:t>
      </w:r>
      <w:r>
        <w:t xml:space="preserve">: −180 pb ajustado en FY2026 por incentivos y tecnología [1].</w:t>
      </w:r>
    </w:p>
    <w:p>
      <w:pPr>
        <w:pStyle w:val="ListParagraph"/>
        <w:numPr>
          <w:ilvl w:val="0"/>
          <w:numId w:val="2"/>
        </w:numPr>
        <w:spacing w:after="60"/>
      </w:pPr>
      <w:r>
        <w:rPr>
          <w:b/>
        </w:rPr>
        <w:t xml:space="preserve">Control interno</w:t>
      </w:r>
      <w:r>
        <w:t xml:space="preserve">: opinión adversa de EY en FY2024 y FY2025 [2].</w:t>
      </w:r>
    </w:p>
    <w:p>
      <w:pPr>
        <w:pStyle w:val="ListParagraph"/>
        <w:numPr>
          <w:ilvl w:val="0"/>
          <w:numId w:val="2"/>
        </w:numPr>
        <w:spacing w:after="60"/>
      </w:pPr>
      <w:r>
        <w:rPr>
          <w:b/>
        </w:rPr>
        <w:t xml:space="preserve">Dirección nueva</w:t>
      </w:r>
      <w:r>
        <w:t xml:space="preserve"> en las cuatro posiciones clave en doce meses [22].</w:t>
      </w:r>
    </w:p>
    <w:p>
      <w:pPr>
        <w:pStyle w:val="Heading2"/>
      </w:pPr>
      <w:r>
        <w:t xml:space="preserve">Qué tiene que pasar para que la tesis funcione</w:t>
      </w:r>
    </w:p>
    <w:p>
      <w:pPr>
        <w:spacing w:after="100"/>
      </w:pPr>
      <w:r>
        <w:t xml:space="preserve">La tesis depende de que el ASV orgánico siga por encima del 5 % mientras la IA entra en los flujos de trabajo de los clientes. La señal de que falla: ASV orgánico por debajo del 5 % y retención por debajo del 95 % en el mismo trimestre, o un recorte de la guía de FY2027 en el 1T o el 2T. La señal de que acierta: más clientes de MCP de pago y un ASV de IA que pase del 10 % al 20 % del nuevo.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(ago-26)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del ASV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sustitución por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 y coste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IA en el ASV nuevo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Estancado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 si la IA es canal o amenaza.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con MCP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 (contrato o prueba)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20 % de crecimiento trimestral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Adopción de su producto de 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 / 14,6x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(FY2018-FY2026)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FactSet nació en 1978 en Nueva York como proveedor de datos de empresas para los bancos de inversión y salió a bolsa en 1996. Durante tres décadas creció de forma orgánica con un terminal para analistas y gestoras, y a partir de 2010 compró analítica de carteras (Portware, BISAM, Cobalt) para estar en todo el ciclo de inversión. La mayor compra de su historia fue CUSIP Global Services (2022, 1.932 M), el emisor exclusivo de los identificadores CUSIP. Phil Snow dirigió la empresa de 2015 a 2025; en septiembre de 2025 llegó Sanoke Viswanathan, de JPMorgan, con el encargo de acelerar la IA. En 2026 cambió también el director financiero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Nueva York por Howard Wille y Charles Snyder.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(NYSE; desde 2017 también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Portware (ejecución de órdenes) y BISAM (rendimiento y riesgo); Phil Snow,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CUSIP Global Services a S&amp;P Global por 1.932 M, financiada con deuda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Irwin (relación con inversores) y LiquidityBook (órdenes en la nube)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Sanoke Viswanathan sustituye a Phil Snow como consejero delegado (septiembre)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a 185 USD en febrero por el miedo a la IA; Redburn la baja a Vender en junio; nuevo director financiero (abril) y director de IA (marzo)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FactSet vende datos financieros, analítica y software de flujo de trabajo a más de 9.200 clientes y 260.000 usuarios: gestoras (82 % del ASV), bancos de inversión y bolsas (18 %), gestores patrimoniales y empresas. El producto central es el terminal FactSet Workstation, con datos de empresas, estimaciones de consenso, transcripciones y precios; alrededor hay analítica de carteras y riesgo, gestión de órdenes (Portware, LiquidityBook), datos por API y en la nube, CUSIP Global Services (emisor exclusivo de los identificadores CUSIP) y, desde 2025, productos de IA y MCP para que los asistentes de IA de los clientes consulten sus datos. El 68 % de los 12.800 empleados está en centros de India y Filipinas [1, 2].</w:t>
      </w:r>
    </w:p>
    <w:p>
      <w:pPr>
        <w:pStyle w:val="Heading2"/>
      </w:pPr>
      <w:r>
        <w:t xml:space="preserve">Cómo gana dinero</w:t>
      </w:r>
    </w:p>
    <w:p>
      <w:pPr>
        <w:spacing w:after="100"/>
      </w:pPr>
      <w:r>
        <w:t xml:space="preserve">Casi todo es suscripción: el ASV (valor anual de las suscripciones, 2.565 M a 31-ago-26) adelanta los ingresos de los 12 meses siguientes, y la retención supera el 95 % del ASV. El margen depende del precio (subidas anuales), de la mezcla (datos y API frente a puestos de terminal) y de la plantilla, que es el mayor coste; los pagos en acciones son el 3,4 % de las ventas. No hay estacionalidad relevante, aunque las renovaciones se concentran en el 4T. El apalancamiento operativo es alto: cada dólar de ASV nuevo cuesta poco de servir, por eso el frenazo de 2024-2025 y el aumento de incentivos en 2026 se notaron en el margen [1, 2].</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baja: ningún cliente supera el 3,5 % de los ingresos en FY2023-FY2025 [2]. La retención es del 95 % del ASV y del 91 % de los clientes [2]; en 2026 los contratos se renovaron un 30 % más largos y hacia acuerdos de empresa en vez de por puesto, «manteniendo el precio» [11]. El poder de precio está demostrado con ingresos al alza 47 años seguidos, pero no se publican subidas de tarifa; el riesgo es el paso de puestos a consumo por volumen (precio «en fase muy temprana», según la dirección)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orgánico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 (ago-25, base comparable)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2.568,2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aumento anual de su historia (+168,2 M); FY2025 creció un 5,7 %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ASV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clientes, 91 % en FY2025 [2]; renovaciones del 4T un 30 % más largas «manteniendo el precio»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 usuarios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8.996 / 237.324 (ago-25)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9.200 / &gt; 260.000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 +10 %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2026 redondeadas por la empresa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de soluciones de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 del ASV nuevo del 4T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del doble que en FY2025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 clientes con MCP en contrato o prueba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Incentivos ligados al ASV y tecnología; guía FY2027 34,75-35,25 %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12.800 (ago-25)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 en FY2026 (primera en años)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 de ≈ 10 % de la plantilla de tecnología en el 3T y más ajustes en octubre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mundial en datos y análisis de mercados financieros (terminales, datos de referencia y de precios, analítica de carteras y riesgo) que mide Burton-Taylor. Se usa esta cifra y no la del sector entero de infraestructura de mercados (≈ 100.000 M USD con bolsas, índices y calificaciones), porque FactSet solo vende datos, analítica y flujos de trabajo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49.200 M USD en 2025, +6,5 % (Burton-Taylor, citado en la ficha sectorial)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las suscripciones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anuales del 3-6 % en datos y terminales en el sector [13]; FactSet renovó en el 4T26 contratos un 30 % más largos «manteniendo el precio»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para IA (API, MCP,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canal de consumo: 650 clientes de FactSet con MCP; a la vez permite a laboratorios de IA empaquetar datos [11,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las gestoras activas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gestión pasiva reduce puestos de analista: riesgo declarado por FactSet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mercados privados, patrimonio y operaciones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ASV de banca de inversión y capital riesgo +9 % y de patrimonio +9 % en el 4T26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 proveedores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S&amp;P-IHS Markit, LSEG-Refinitiv, ICE-Black Knight: escala para competir en datos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Bloomberg y LSEG Workspace ≈ 50 % del gasto en datos de mercado; S&amp;P Capital IQ tercero; FactSet es el cuarto con ≈ 5 % [2,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gestoras negocian acuerdos de empresa; ningún cliente supera el 3,5 % de los ingresos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contenido viene de terceros (bolsas, S&amp;P, MSCI) con licencias que pueden encarecerse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de IA (OpenAI para servicios financieros, sep-2026) entran por la capa de interfaz, no por los datos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Asistentes de IA que leen documentos y datos públicos sustituyen parte del trabajo del analista en el terminal; Morningstar retiró el foso de FactSet por esa incertidumbre [15].</w:t>
            </w:r>
          </w:p>
        </w:tc>
      </w:tr>
    </w:tbl>
    <w:p>
      <w:pPr>
        <w:spacing w:after="160" w:before="0"/>
      </w:pPr>
    </w:p>
    <w:p>
      <w:pPr>
        <w:pStyle w:val="Heading2"/>
      </w:pPr>
      <w:r>
        <w:t xml:space="preserve">Ciclo</w:t>
      </w:r>
    </w:p>
    <w:p>
      <w:pPr>
        <w:spacing w:after="100"/>
      </w:pPr>
      <w:r>
        <w:t xml:space="preserve">Las suscripciones apenas notan el ciclo: FactSet creció en ingresos 47 años seguidos, también en 2008-09 y en 2020 [2]. Lo cíclico es el ASV de la banca de inversión (18 % del total), que se frenó en 2023 con la caída de operaciones y se ha recuperado en 2026 (+9 %). En 2022 el sector se desrateó por los tipos; en 2026 por la IA, no por el ciclo [11, 13].</w:t>
      </w:r>
    </w:p>
    <w:p>
      <w:pPr>
        <w:pStyle w:val="Heading2"/>
      </w:pPr>
      <w:r>
        <w:t xml:space="preserve">Regulación</w:t>
      </w:r>
    </w:p>
    <w:p>
      <w:pPr>
        <w:spacing w:after="100"/>
      </w:pPr>
      <w:r>
        <w:t xml:space="preserve">Pocas normas tocan los ingresos de FactSet: la presión de la FCA y de la UE sobre el precio de los datos de mercado (estudio de 2024, cinta consolidada en 2025-26) afecta sobre todo a las bolsas y a LSEG [13]. CUSIP Global Services opera con licencia renovable de la American Bankers Association y está demandada en una acción colectiva por sus tarifas (Dinosaur Financial Group contra S&amp;P Global y otros) [2]. La Ley de IA de la UE y DORA (ene-2025) añaden costes de cumplimiento [13].</w:t>
      </w:r>
    </w:p>
    <w:p>
      <w:pPr>
        <w:pStyle w:val="Heading2"/>
      </w:pPr>
      <w:r>
        <w:t xml:space="preserve">Tendencias y disrupción</w:t>
      </w:r>
    </w:p>
    <w:p>
      <w:pPr>
        <w:spacing w:after="100"/>
      </w:pPr>
      <w:r>
        <w:t xml:space="preserve">La IA generativa cambia cómo se consumen los datos: de puestos de terminal a llamadas por API y por MCP desde los asistentes. FactSet gana si sus datos limpios y su lógica de cálculo se vuelven la «fuente de verdad» dentro de esos asistentes (650 clientes con MCP, llamadas por API ×7 en un trimestre) y pierde si el valor se va a la interfaz que controlan OpenAI, Anthropic o Microsoft y el dato se compra por volumen a menor precio [11, 16]. La competencia de Bloomberg y LSEG, que también lanzan MCP, hace que la ventaja sea temporal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4.º proveedor mundial de datos y análisis de mercados financieros (≈ 5 % de 49.200 M USD), detrás de Bloomberg, LSEG Data &amp; Analytics y S&amp;P Market Intelligence; fuerte en gestoras (82 % del ASV) [2,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Bloomberg 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terminales; privada, sin cuentas [2].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 Data &amp; Analytics (Workspace)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Refinitiv; ASV ≈ +6 %; competidor directo en terminal y datos en tiempo real [13,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(Market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IQ Pro; ingresos y margen del grupo de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Analítica de carteras y riesgo frente a la parte de FactSet de gestión de carteras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fondos y patrimonio (Direct, PitchBook)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 Aladdin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de gestión de carteras que compite en la parte de flujo de trabajo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red entre usuarios comparable a la mensajería de Bloomberg.</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ASV &gt; 95 % durante años; los modelos y carteras de los clientes viven en su formato y su lógica de cálculo [2,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exclusiva de los CUSIP (monopolio de identificadores en EE. UU.) y bases de datos propias de estimaciones y transcripciones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68 % de la plantilla en India y Filipinas; margen operativo ajustado 34,5 % frente al 40 % o más de S&amp;P y MSCI [2,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con tres grandes por encima; ≈ 5 % de cuota [1].</w:t>
            </w:r>
          </w:p>
        </w:tc>
      </w:tr>
    </w:tbl>
    <w:p>
      <w:pPr>
        <w:spacing w:after="160" w:before="0"/>
      </w:pPr>
    </w:p>
    <w:p>
      <w:pPr>
        <w:pStyle w:val="Heading2"/>
      </w:pPr>
      <w:r>
        <w:t xml:space="preserve">Amenazas</w:t>
      </w:r>
    </w:p>
    <w:p>
      <w:pPr>
        <w:spacing w:after="100"/>
      </w:pPr>
      <w:r>
        <w:t xml:space="preserve">La amenaza principal es que la IA reduzca el valor del terminal: si los analistas trabajan desde un asistente (ChatGPT para servicios financieros, Claude, Copilot) que compra datos a varios proveedores, FactSet pasa de vender puestos con margen alto a vender datos por volumen, con menos poder de precio. Probabilidad media a cinco años; hoy no se ve en las cifras (ASV +7 %, retención &gt; 95 %), pero Morningstar retiró el foso y Redburn la bajó a Vender por «riesgo terminal» [15, 16,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FY2018-FY2026: ingresos </w:t>
      </w:r>
      <w:r>
        <w:rPr>
          <w:b/>
          <w:bCs/>
        </w:rPr>
        <w:t xml:space="preserve">7,9 %</w:t>
      </w:r>
      <w:r>
        <w:t xml:space="preserve">, EBITDA </w:t>
      </w:r>
      <w:r>
        <w:rPr>
          <w:b/>
          <w:bCs/>
        </w:rPr>
        <w:t xml:space="preserve">10,8 %</w:t>
      </w:r>
      <w:r>
        <w:t xml:space="preserve">, BPA </w:t>
      </w:r>
      <w:r>
        <w:rPr>
          <w:b/>
          <w:bCs/>
        </w:rPr>
        <w:t xml:space="preserve">10,0 %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1.350 M en FY2018 a 2.476 M en FY2026 (8,0 % anual), con CUSIP (marzo de 2022) como única compra grande; sin ella, el crecimiento orgánico fue del 4-7 % al año. FY2026 creció un 6,7 % (orgánico 6,7 %), la mejor cifra desde FY2023. El margen operativo publicado bajó del 32,2 % al 28,3 % por 79 M de partidas no recurrentes (reestructuración 46 M, premios de entrada del consejero delegado 20 M) y por la subida de incentivos ligados al ASV; el ajustado bajó 180 pb, al 34,5 %. El BPA diluido cayó un 6,3 % a 14,57 USD y el ajustado subió un 6,1 % a 18,01, el 30.º año seguido de subida [1].</w:t>
      </w:r>
    </w:p>
    <w:p>
      <w:pPr>
        <w:pStyle w:val="Heading2"/>
      </w:pPr>
      <w:r>
        <w:t xml:space="preserve">Ajustes y partidas no recurrentes</w:t>
      </w:r>
    </w:p>
    <w:p>
      <w:pPr>
        <w:spacing w:after="100"/>
      </w:pPr>
      <w:r>
        <w:t xml:space="preserve">El BPA ajustado de FactSet excluye la amortización de intangibles comprados (1,60 USD por acción en FY2026) y partidas que llama no recurrentes: reestructuración 0,97, premios del consejero delegado 0,41, deterioro de una participada 0,34, costes de compras 0,18. Esas partidas no son tan raras: suman 0,3-2,1 USD por acción cada año desde FY2021 (reestructuración en FY2021, FY2023, FY2024 y FY2026). Usamos un BPA intermedio (ajustado menos la amortización de intangibles: 16,41 en FY2026) y en el DCF devolvemos los 79 M de no recurrentes al EBITDA [1,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4T (30-sep-2026) la dirección vendió aceleración: ASV orgánico +7,0 %, el mayor aumento trimestral de su historia (86 M), más del 10 % del ASV nuevo en productos de IA y 650 clientes con MCP en contrato o prueba. La guía de FY2027 (+5,0-6,5 %) es más baja que el 7 % de salida, y la dirección dijo que no hubo adelanto de ventas. Frente al 3T (1-jul), el discurso pasó de «defender la base» a «la IA es canal»: en julio se anunció un recorte de ≈ 10 % de la plantilla de tecnología. Lo más preguntado fue la IA: Morgan Stanley preguntó si los grandes laboratorios son socios o rivales y el consejero delegado respondió que son «complementarios» y que podrían competir «posiblemente, pero no nos preocupa»; RBC y Wells Fargo preguntaron por los MCP de la competencia. La dirección evitó dar los ingresos y el beneficio de la IA, el reparto entre pruebas y contratos de MCP y el ASV del 1T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CUSIP Global Services, comprada el 1-mar-2022 por 1.932 M en efectivo: medio año en la cuenta y entera en el balance.; FY2025: Irwin (nov-2024, 120 M) y LiquidityBook (feb-2025, 243 M): ≈ 10 M de ingresos comprados en FY2026.).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es de 1.370 M (bonos de 500 M al 2,9 % con vencimiento en marzo de 2027, que pasan al corto plazo, bonos de 500 M al 3,45 % en 2032 y el préstamo de 375 M) y la caja con inversiones, de 265 M: deuda neta de 1.105 M, 1,2 veces el EBITDA. La caja bajó 104 M porque las recompras (644 M) y los dividendos (164 M) superaron el flujo libre (708 M). El circulante es negativo (ingresos diferidos de 184 M). La refinanciación de los bonos de 2027 a tipos de hoy restará unos 10 M de intereses al año [1,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FY2018-FY2026: FCF </w:t>
      </w:r>
      <w:r>
        <w:rPr>
          <w:b/>
          <w:bCs/>
        </w:rPr>
        <w:t xml:space="preserve">4.654</w:t>
      </w:r>
      <w:r>
        <w:t xml:space="preserve">, conversión </w:t>
      </w:r>
      <w:r>
        <w:rPr>
          <w:b/>
          <w:bCs/>
        </w:rPr>
        <w:t xml:space="preserve">119 %</w:t>
      </w:r>
      <w:r>
        <w:t xml:space="preserve"> del beneficio neto; adquisiciones 2.427, dividendos 1.157, recompras 2.364.</w:t>
      </w:r>
    </w:p>
    <w:p>
      <w:pPr>
        <w:spacing w:after="100"/>
      </w:pPr>
      <w:r>
        <w:t xml:space="preserve">El flujo operativo de FY2026 fue de 822 M (+13,2 %) y el libre, de 708 M (+14,6 %): un 133 % del beneficio neto, inflado por la subida de incentivos devengados y no pagados (+63 M) y por los pagos en acciones (84 M), que no salen de caja. El capex es casi todo de mantenimiento y software capitalizado (115 M, 4,6 % de las ventas). En nueve años, FactSet ha generado ≈ 5.000 M de flujo operativo y ha devuelto ≈ 3.200 M en recompras y dividendos; la compra de CUSIP (1.932 M) se financió con deuda que ya ha devuelto en buena parte [1,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en las cuentas; desfavorable (adversa) sobre el control interno en FY2024 y FY2025 por una debilidad material en los controles generales de TI de ingresos, cuentas a cobrar e ingresos diferidos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(EY, desde 2013) da opinión favorable sobre las cuentas pero </w:t>
      </w:r>
      <w:r>
        <w:rPr>
          <w:b/>
        </w:rPr>
        <w:t xml:space="preserve">adversa sobre el control interno</w:t>
      </w:r>
      <w:r>
        <w:t xml:space="preserve"> de FY2024 y FY2025, por una debilidad material en los controles generales de TI que soportan los ingresos, las cuentas a cobrar y los ingresos diferidos; no causó errores detectados y la empresa preveía remediarla en FY2026: el 10-K de FY2026 lo confirmará [2]. El BPA ajustado excluye partidas «no recurrentes» que vuelven casi cada año (ver ajustes). Los pagos en acciones subieron de 61 a 84 M (3,4 % de las ventas). El software capitalizado es moderado. Los indicadores del motor no dan alarmas: Altman Z de 4,88 (zona segura), Piotroski de 5 sobre 9 (neutro, por el margen y la caída del BPA publicado) y Beneish M de −2,72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en controles de TI de ingresos (FY2024-FY2025)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adversa de EY sobre el control interno; sin errores; remediación prevista en FY2026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Reestructuraciones en cuatro de los últimos seis ejercicios; el BPA ajustado sobrestima el beneficio repetible en ≈ 0,3-2 USD por acción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por encima del beneficio por incentivos devengados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M de compensación a pagar en FY2026 que saldrán en FY2027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1.283 M en FY2026 (el 41 % del capital invertido medio); ha subido más de un 5 % en 3 de 8 años: comprador en serie. ROIC publicado 20,2 %; sin fondo de comercio, 34,1 %.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15,9 % · </w:t>
      </w:r>
      <w:r>
        <w:rPr>
          <w:b/>
          <w:bCs/>
        </w:rPr>
        <w:t xml:space="preserve">WACC</w:t>
      </w:r>
      <w:r>
        <w:t xml:space="preserve">: 9,5 %.</w:t>
      </w:r>
    </w:p>
    <w:p>
      <w:pPr>
        <w:spacing w:after="100"/>
      </w:pPr>
      <w:r>
        <w:t xml:space="preserve">FactSet crea valor con holgura: ROIC del 20,2 % en FY2026 frente a un WACC del 9,46 %, 10,7 puntos de diferencia, y por encima del WACC todos los años desde FY2018. Antes de CUSIP el ROIC rondaba el 40-45 % (FY2019-FY2021); la compra duplicó el capital invertido (de 897 a 1.860 M) y lo bajó al 18-23 %. Sin fondo de comercio, el ROIC de FY2026 es del 34 % (estimación propia: NOPAT de 640 M sobre 1.879 M de capital sin los 1.283 M de fondo de comercio); Morningstar da un 18 % y un 26 % de media en tres años [15]. El ROIC lo mueve el margen (rotación baja, 0,59 veces, por los intangibles de CUSIP). El ROIC incremental histórico (15,9 %) es menor que el medio porque CUSIP se pagó caro, pero sigue por encima del WACC. Frente a sus pares queda en medio: por debajo de MSCI y Moody's (32-40 %), por encima de S&amp;P Global, ICE y LSEG (6-11 %), que compraron más grande [28].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265 M (31-ago-26) + revolving de 1.500 M sin disponer hasta ago-2031 [1, 11,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Moody's lo reafirmó con perspectiva estable en 2026 (nota exacta no verificada en documento primario)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de prestación definida relevantes. Arrendamientos operativos de 172 M (fuera del puente: su gasto está en el EBITDA). Pagos aplazados de compras pequeños (15 M pagados en FY2026). Impuestos a pagar a largo plazo de 25,5 M. Litigio: acción colectiva contra CUSIP Global Services por sus tarifas (Dinosaur Financial Group), sin provisión significativa. El préstamo a plazo de 375 M vence en 2029 y el revolving de 1.500 M, en 2031, sin amortizaciones intermedias tras la enmienda de agosto [2, 12].</w:t>
      </w:r>
    </w:p>
    <w:p>
      <w:pPr>
        <w:pStyle w:val="Heading1"/>
      </w:pPr>
      <w:r>
        <w:t xml:space="preserve">12. Asignación de capital</w:t>
      </w:r>
    </w:p>
    <w:p>
      <w:pPr>
        <w:pStyle w:val="Confianza"/>
        <w:spacing w:after="100"/>
      </w:pPr>
      <w:r>
        <w:t xml:space="preserve">Confianza: Alta</w:t>
      </w:r>
    </w:p>
    <w:p>
      <w:pPr>
        <w:spacing w:after="100"/>
      </w:pPr>
      <w:r>
        <w:t xml:space="preserve">Dividendo trimestral de 1,16 USD (27.º año seguido de subida) y recompras: 644 M en FY2026, más del doble que en FY2025, con 356 M aún autorizados a 31-ago-26. Prioridades declaradas: inversión orgánica, compras que encajen y devolución del exceso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CUSIP Global Services (S&amp;P Global)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 de 1.000 M (2,9 % 2027 y 3,45 % 2032) y préstamos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de identificadores CUSIP con licencia renovable de la ABA; 215 M de fondo de comercio y ≈ 1.700 M de intangibles; sin deterioros; ROIC del grupo de 25 % a 18 % por el capital añadido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LiquidityBook (gestión de órdenes en la nube)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revolving</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oferta de mesa de operaciones; sin deterioro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Irwin (plataforma de relación con inversores)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Añadió clientes corporativos (≈ +779 clientes en FY2025)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BCC Group (distribución de datos en tiempo real, Fráncfort)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 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en sep-2026, precio no publicado [11].</w:t>
            </w:r>
          </w:p>
        </w:tc>
      </w:tr>
    </w:tbl>
    <w:p>
      <w:pPr>
        <w:spacing w:after="160" w:before="0"/>
      </w:pPr>
    </w:p>
    <w:p>
      <w:pPr>
        <w:spacing w:after="100"/>
      </w:pPr>
      <w:r>
        <w:t xml:space="preserve">Buen asignador hasta ahora: CUSIP es un monopolio de identificadores con licencia renovable y no ha tenido deterioros, y las compras pequeñas (Irwin, LiquidityBook) encajan. En FY2026 la prioridad pasó a las recompras: 644 M, más del doble que en FY2025, a un precio medio de ≈ 250 USD en el 4T, con las acciones bajando casi un 7 % en un año; si la acción vale lo que dice el DCF (305,45), recomprar a 250 crea valor. El dividendo, con un payout del 31 % sobre el BPA publicado, deja margen. El riesgo es que la nueva dirección use el balance (1,2 veces de deuda neta) para comprar crecimiento en IA a precios altos [1,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Sanoke Viswanathan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JPMorgan (dirigió la banca de consumo internacional y antes la estrategia de la banca de inversión). Su primer año: ASV orgánico de +5,7 % a +7,0 %, recorte de plantilla de tecnología y margen ajustado −180 pb por incentivos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Joshua Warren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8-abr-2026 tras la salida de Helen Shan; sin historial propio de guía todavía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Malcolm Frank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CXO Partners y exdirectivo de Cognizant; presidente desde el 17-sep-2025 en sustitución de Robin Abrams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Goran Skoko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EMEA y Asia-Pacífico; compró 500 acciones en el último año [20,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Kate Stepp</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directora de tecnología; dirige los productos de IA y MCP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17,25-17,75; ingresos 2.450-2.470 M (revisada al alza en el 2T)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18,01; ingresos 2.476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16,80-17,40; margen ajustado 36-37 %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16,98; margen 36,3 %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15,65-16,15; ASV +6-8 %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16,45; ASV orgánico + servicios ≈ +5 %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14,50-14,90; ASV + servicios +8,1-9,7 %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14,55; ASV ≈ +8 %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12,00-12,30 (inicial)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13,43 (con CUSIP)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nuevo: consejero delegado desde septiembre de 2025 (de JPMorgan), director financiero desde abril de 2026, presidente del consejo desde septiembre de 2025 y directora de IA desde marzo de 2026. Su primer año es bueno en crecimiento (ASV orgánico de +5,7 % a +7,0 %, guía de FY2026 revisada al alza y superada) y peor en margen (−180 pb ajustado). La salida de la directora financiera Helen Shan a los siete meses del nuevo consejero delegado indica que eligió su equipo; no hay historial propio de guía del nuevo director financiero. La guía se ha cumplido o superado en BPA cuatro de cinco años [1, 22].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Malcolm Frank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Sanoke Viswanathan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A. Abrams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Siew Kai Choy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Barak Eilam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Laurie G. Hylton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Shavel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Laurie Siegel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Teresa Tejada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Elisha Wiesel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Marcel Prins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 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en las cuentas; desfavorable (adversa) sobre el control interno en FY2024 y FY2025 por una debilidad material en los controles generales de TI de ingresos, cuentas a cobrar e ingresos diferidos [2]</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0,13 / ventas 1,52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feb-2024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ene-2024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BAMCO (Baron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nov-2024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ago-2025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13G de oct-2024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undefined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Laurie Siegel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undefined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Malcolm Frank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undefined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Goran Skoko (director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depende en un 80 % de la empresa (dos tercios crecimiento del ASV, un tercio margen operativo ajustado, con un 10 % ligado al ASV de IA generativa) y en un 20 % de objetivos individuales. El largo plazo es mitad opciones a cinco años y mitad PSU a tres años medidas por el beneficio operativo ajustado y los ingresos acumulados: premia crecer, no el ROIC ni el flujo de caja. Hay política de recuperación (clawback). El nuevo consejero delegado recibió premios de compensación por lo que dejó en JPMorgan (19,5 M de coste en FY2026, excluidos del BPA ajustado). Voto consultivo de 2025: 95,5 % a favor [1, 20, 21].</w:t>
      </w:r>
    </w:p>
    <w:p>
      <w:pPr>
        <w:pStyle w:val="Heading2"/>
      </w:pPr>
      <w:r>
        <w:t xml:space="preserve">Operaciones vinculadas, estructura de control y defensas</w:t>
      </w:r>
    </w:p>
    <w:p>
      <w:pPr>
        <w:spacing w:after="100"/>
      </w:pPr>
      <w:r>
        <w:t xml:space="preserve">Capital disperso: los cinco primeros son gestoras con un 39 % entre todas y ningún accionista de control. Una acción, un voto; consejo elegido cada año por mayoría; en la junta de 2025 se rebajó de mayoría reforzada a simple la mayoría para cambiar la norma de actuación por escrito. Los estatutos se enmendaron el 24-sep-2026 para afinar el aviso previo de propuestas de accionistas. Cambio de control: los bonos se recompran al 101 % [1, 20, 21].</w:t>
      </w:r>
    </w:p>
    <w:p>
      <w:pPr>
        <w:pStyle w:val="Heading2"/>
      </w:pPr>
      <w:r>
        <w:t xml:space="preserve">Señales de alerta</w:t>
      </w:r>
    </w:p>
    <w:p>
      <w:pPr>
        <w:pStyle w:val="ListParagraph"/>
        <w:numPr>
          <w:ilvl w:val="0"/>
          <w:numId w:val="2"/>
        </w:numPr>
        <w:spacing w:after="60"/>
      </w:pPr>
      <w:r>
        <w:t xml:space="preserve">Debilidad material en los controles generales de TI de ingresos (FY2024 y FY2025), con remediación prevista en FY2026 [2].</w:t>
      </w:r>
    </w:p>
    <w:p>
      <w:pPr>
        <w:pStyle w:val="ListParagraph"/>
        <w:numPr>
          <w:ilvl w:val="0"/>
          <w:numId w:val="2"/>
        </w:numPr>
        <w:spacing w:after="60"/>
      </w:pPr>
      <w:r>
        <w:t xml:space="preserve">Rotación de la cúpula: consejero delegado nuevo (sep-2025), director financiero nuevo (abr-2026) y presidente nuevo (sep-2025) [20,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(30-sep-2026): ASV orgánico +5,0-6,5 %, ingresos 2.600-2.625 M (+5-6 % publicado, ≈ 1 punto más en comparable por la salida de ESG Signals, divisa y extraordinarios), margen operativo 31-32 % (ajustado 34,75-35,25 %) y BPA de 17,00-17,50 USD (ajustado 19,25-19,65). La dirección dice que el margen de FY2026 es un suelo y que el tipo impositivo (≈ 19 %) y la refinanciación de los bonos de 2027 restan 0,30-0,40 USD por acción. Día del inversor: 10-nov-2026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16 analistas; BPA ajustado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BPA ajustado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212,00 – 340,00</w:t>
            </w:r>
          </w:p>
        </w:tc>
      </w:tr>
    </w:tbl>
    <w:p>
      <w:pPr>
        <w:spacing w:after="160" w:before="0"/>
      </w:pPr>
    </w:p>
    <w:p>
      <w:pPr>
        <w:pStyle w:val="Heading2"/>
      </w:pPr>
      <w:r>
        <w:t xml:space="preserve">Revisiones de estimaciones</w:t>
      </w:r>
    </w:p>
    <w:p>
      <w:pPr>
        <w:spacing w:after="100"/>
      </w:pPr>
      <w:r>
        <w:t xml:space="preserve">El consenso de BPA ajustado de FY2027 (19,62) queda en la parte alta de la guía (19,25-19,65). Los objetivos bajaron en el primer semestre de 2026 con el miedo a la IA (Redburn de 291 a 215 USD en junio, a Vender) y han subido algo tras la aceleración del ASV del 3T y el 4T; la mediana de objetivos (288,5) está en el precio de hoy. Solo hay una fuente con estimaciones completas gratis: no se han podido cruzar [27, 32].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tocó 484 USD en noviembre de 2024 y cayó hasta 185 el 17-feb-2026 (−61 %, la peor caída de su historia) por el frenazo del ASV en 2024-2025 y, desde finales de 2025, por el miedo a que la IA sustituya al terminal: −10,5 % el 3-feb-2026 en la venta general de software por IA. Redburn la bajó a Vender en junio (objetivo 215) y el día del lanzamiento de ChatGPT para servicios financieros (10-sep-2026) cayó un 5,8 %. Desde febrero ha rebotado un 57 %, hasta 289,74, con la aceleración del ASV en el 2T, 3T y 4T. En cinco años ha perdido un 5,9 % anual frente al +13,2 % del S&amp;P 500 [16, 26, 32].</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289,74 USD, FactSet cotiza a 16,4 veces nuestro BPA de FY2027e, frente a una mediana de 27,2 veces en los cinco últimos cierres (adelantado) y a un mínimo de 17,7; nunca había estado tan barata en diez años. Lo estructural que ha cambiado: tipos más altos (bono a 10 años al 5,2 %), un crecimiento que bajó del 8-9 % al 5-7 % y, sobre todo, la percepción de que la IA puede romper el modelo de puestos. Parte del desrateo es de régimen y no tiene por qué revertir: por eso la regla común limita la vuelta del múltiplo al 10 % [26].</w:t>
      </w:r>
    </w:p>
    <w:p>
      <w:pPr>
        <w:pStyle w:val="Heading1"/>
      </w:pPr>
      <w:r>
        <w:t xml:space="preserve">18. Comparables cotizados</w:t>
      </w:r>
    </w:p>
    <w:p>
      <w:pPr>
        <w:pStyle w:val="Confianza"/>
        <w:spacing w:after="100"/>
      </w:pPr>
      <w:r>
        <w:t xml:space="preserve">Confianza: Media</w:t>
      </w:r>
    </w:p>
    <w:p>
      <w:pPr>
        <w:spacing w:after="100"/>
      </w:pPr>
      <w:r>
        <w:t xml:space="preserve">Once cotizadas de datos e infraestructura de mercados de la ficha sectorial del 14-oct (12 menos FactSet): las de datos y analítica (S&amp;P Global, Thomson Reuters, Verisk, MSCI, Moody's) son las más parecidas; las bolsas (CME, ICE, Nasdaq, Deutsche Börse, LSEG, Tradeweb) se mantienen porque LSEG es el competidor directo y el sector se valora en bloque. Sin Bloomberg (privada) ni Morningstar (sin estimaciones del mismo proveedor). Cifras de MarketScreener y Stock Analysis llevadas al cierre del 13/14-oct; el BPA de casi todas es ajustado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18,5x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 / 24,0x / 25,4x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 / 10,2x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FactSet es la más barata del grupo por casi todo: EV/EBITDA de los últimos 12 meses de 11,8 veces frente a 15-20 del resto y rentabilidad por flujo libre del 6,9 % frente al 4,4 % de mediana; crece algo menos (5-6 % frente a 7,4 %), con menos margen (36-39 % frente a 55 %) y un ROIC en la parte media. La prima de los demás se explica por tener activos de referencia (índices, contratos, calificaciones) que la IA no sustituye; el descuento de FactSet, por ser el eslabón de terminales y datos, el más expuesto [13, 28]. El múltiplo implícito de los comparables sobrevalora a FactSet; por eso pesa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ventas de 870 M y EBITDA de 430 M de 12 meses a jun-26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mercados privados; múltiplo sobre ≈ 130 M de ingresos previstos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múltiplos sobre la previsión de 2023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CUSIP Global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obligada a S&amp;P Global por la fusión con IHS Markit; FactSet no publicó ingresos ni EBITDA de CGS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EBITDA ajustado de 1.837 M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acciones; ingresos de 6.204 M y EBITDA ajustado de 2.054 M de 2018: es el competidor directo de FactSet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323,10 – 664,50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pagaron a 13-31 veces el EBITDA: Refinitiv (13,1x), el competidor directo, es la referencia más cercana para un negocio de terminales y datos; IHS Markit y Adenza (24-31x), activos con más crecimiento. Con un 99,5 % de capital flotante, sin accionista de control y 11 M USD de valor empresa, FactSet es comprable por un fondo o por un grupo de datos (S&amp;P, LSEG, ICE ya consolidan), pero la dirección no da señales de venta y los bonos se recompran al 101 % con cambio de control. No ponderamos las transacciones [29].</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+5,5 % en FY2027e (punto medio de la guía de ingresos, 2.600-2.625 M, con el ASV orgánico guiado en +5,0-6,5 %) y en FY2028e, bajando a +3,5 % en FY2033e. Es menos que el +7,0 % de ASV orgánico de FY2026 y que el TCAC de ingresos de 2018-2026 (8,0 % con CUSIP; ≈ 6 % orgánico), y menos que el 7 % previsto para el mercado de datos financieros [1, 13]. La rebaja frente a la historia es el precio del riesgo de IA en el caso base.</w:t>
      </w:r>
    </w:p>
    <w:p>
      <w:pPr>
        <w:keepNext/>
        <w:spacing w:after="100"/>
      </w:pPr>
      <w:r>
        <w:rPr>
          <w:b/>
          <w:bCs/>
        </w:rPr>
        <w:t xml:space="preserve">Márgenes.</w:t>
      </w:r>
    </w:p>
    <w:p>
      <w:pPr>
        <w:spacing w:after="100"/>
      </w:pPr>
      <w:r>
        <w:t xml:space="preserve">Margen EBITDA normalizado de 38,8 % en FY2026 (EBITDA publicado 880,8 M + 79,2 M de reestructuración, premios de entrada del consejero delegado y deterioros), con los 84 M de pagos en acciones como gasto. Sube a 39,3 % en FY2027e (guía de margen operativo ajustado de 34,75-35,25 %, +50 pb) y a 40,5 % en FY2030e, todavía por debajo del 40-41 % de FY2023-FY2025 [1]. La palanca es la productividad interna con IA (agentes que resuelven el 30 % de las consultas de clientes, menos plantilla) [11].</w:t>
      </w:r>
    </w:p>
    <w:p>
      <w:pPr>
        <w:keepNext/>
        <w:spacing w:after="100"/>
      </w:pPr>
      <w:r>
        <w:rPr>
          <w:b/>
          <w:bCs/>
        </w:rPr>
        <w:t xml:space="preserve">Inversión y circulante.</w:t>
      </w:r>
    </w:p>
    <w:p>
      <w:pPr>
        <w:spacing w:after="100"/>
      </w:pPr>
      <w:r>
        <w:t xml:space="preserve">Capex (inmovilizado y software capitalizado) del 4,8 % de las ventas en FY2027e frente al 4,6 % de FY2026 y el 3,9 % de FY2025, subiendo al 5,5 % por la inversión en IA. La amortización incluye ≈ 76 M anuales de intangibles comprados (CUSIP) y converge al capex en FY2033e (5,5 %). Circulante −1 % de las ventas: clientes (301 M) menos proveedores (136 M) e ingresos diferidos (184 M) [1].</w:t>
      </w:r>
    </w:p>
    <w:p>
      <w:pPr>
        <w:keepNext/>
        <w:spacing w:after="100"/>
      </w:pPr>
      <w:r>
        <w:rPr>
          <w:b/>
          <w:bCs/>
        </w:rPr>
        <w:t xml:space="preserve">Coste del capital.</w:t>
      </w:r>
    </w:p>
    <w:p>
      <w:pPr>
        <w:spacing w:after="100"/>
      </w:pPr>
      <w:r>
        <w:t xml:space="preserve">Tasa libre 5,21 % (bono del Tesoro a 10 años, 13-oct-2026) [30]. Beta 0,90: la mensual de 5 años frente al S&amp;P 500 es 0,73 (ajustada 0,82) y la semanal de 2 años 0,56; la subimos por el riesgo de régimen de la IA, que la historia no recoge. Prima de mercado 5,5 %; coste de la deuda antes de impuestos 5,5 % (los bonos al 2,9 % de 2027 se refinanciarán más caros); peso de la deuda 12 % a valor de mercado. WACC 9,46 % [26].</w:t>
      </w:r>
    </w:p>
    <w:p>
      <w:pPr>
        <w:keepNext/>
        <w:spacing w:after="100"/>
      </w:pPr>
      <w:r>
        <w:rPr>
          <w:b/>
          <w:bCs/>
        </w:rPr>
        <w:t xml:space="preserve">Valor terminal.</w:t>
      </w:r>
    </w:p>
    <w:p>
      <w:pPr>
        <w:spacing w:after="100"/>
      </w:pPr>
      <w:r>
        <w:t xml:space="preserve">Gordon con crecimiento del 2,5 %, por debajo del nominal de EE. UU. (≈ 4 %) y de la tasa libre menos medio punto: un terminal prudente para un negocio cuyo foso se está estrechando. El valor terminal pesa un 64 % del valor. El múltiplo de salida de 13x EBITDA queda como contraste, por debajo de la mediana de 15x del sector [28].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290,88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(reinvierte el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(histórico: 15,9 %)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frente al 4,7 %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(hoy: 5,2 %)</w:t>
            </w:r>
          </w:p>
        </w:tc>
      </w:tr>
    </w:tbl>
    <w:p>
      <w:pPr>
        <w:spacing w:after="160" w:before="0"/>
      </w:pPr>
    </w:p>
    <w:p>
      <w:pPr>
        <w:spacing w:after="100"/>
      </w:pPr>
      <w:r>
        <w:t xml:space="preserve">La proyección apenas necesita inversión neta de la amortización (reinversión acumulada de -294 M, con un capex bruto medio del 5,1 % de las ventas). En un negocio de activos ligeros, el crecimiento medio del 4,7 % tiene que salir de subir precios y de ganar volumen sin capital nuevo, y la prueba es el poder de precios y la cuota (4,4 % del mercado en FY2033e, frente al 5,2 %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nuevos clientes y usuarios (+10 % de usuarios en FY2026), productos de IA y MCP y la compra de BCC; precio 3,0 %: subidas anuales y renovaciones a más plazo «manteniendo el precio» [1,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 el ASV de los clientes con IA crece el doble que el resto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volumen (2,0 %) por la presión de la IA sobre los puestos de analista; precio 3,0 %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2,0 % y precio 3,0 %: la mitad del crecimiento del mercado de datos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2,5 %: suponemos menos poder de precio a medida que los datos se venden por volumen [15].</w:t>
            </w:r>
          </w:p>
        </w:tc>
      </w:tr>
    </w:tbl>
    <w:p>
      <w:pPr>
        <w:spacing w:after="160" w:before="0"/>
      </w:pPr>
    </w:p>
    <w:p>
      <w:pPr>
        <w:spacing w:after="100"/>
      </w:pPr>
      <w:r>
        <w:t xml:space="preserve">La proyección no necesita capital nuevo (reinversión negativa, capex del 5,1 % de las ventas de media) y la cuota baja del 5,2 % al 4,4 % del mercado de datos en FY2033e: las pruebas de reinversión y de cuota pasan. El crecimiento del 4,7 % de media sale del precio (3 % al año) y de algo de volumen, y el poder de precio está demostrado (retención &gt; 95 %, renovaciones más largas sin descuento en FY2026). Damos «En parte» y no «Sí» porque esa palanca de precio es justo lo que la IA puede quitar: Morningstar retiró el foso y Redburn habla de riesgo terminal, y FactSet tiene la menor escala de los cuatro grandes [15, 19].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(WACC: 9,5 %)</w:t>
            </w:r>
          </w:p>
        </w:tc>
      </w:tr>
    </w:tbl>
    <w:p>
      <w:pPr>
        <w:spacing w:after="160" w:before="0"/>
      </w:pPr>
    </w:p>
    <w:p>
      <w:pPr>
        <w:spacing w:after="100"/>
      </w:pPr>
      <w:r>
        <w:t xml:space="preserve">El DCF da 305,45 USD por acción, un 5,4 % sobre el precio, con un WACC del 9,46 % y un valor terminal que pesa el 64 %. El DCF inverso dice que el precio de 289,74 descuenta un crecimiento del 3,9 % anual en FY2027e-FY2033e (nuestro base, 4,7 %) o un margen EBITDA del 38,9 % (base 40,5 %), y una rentabilidad implícita del 9,8 %, por encima del WACC (9,46 %) y del 8,4 % que pide hoy el mercado. Es una lectura conservadora frente a la historia: FactSet ha crecido 47 años seguidos, a un 8 % anual en los últimos ocho, y su ASV orgánico se aceleró al 7,0 %. El precio supone que el crecimiento cae a la mitad de lo que hace hoy y que el margen no recupera lo perdido en FY2026. Con la prima implícita del mercado (4,2 %), el valor sube a 363,26. La valoración, por tanto, no es exigente; la pregunta es si la IA convierte el 3,9 % en un techo y no en un suelo.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de propósito general (ChatGPT para servicios financieros, Claude, Copilot) se convierte en la mesa de trabajo del analista y compra datos por volumen a varios proveedores: el ASV orgánico cae al 2-3 % (como en FY2025, 4,5 %, pero peor), los clientes recortan puestos y el margen pierde 2,5 puntos. Ya le pasó a FactSet un frenazo en 2024-2025 y a Thomson Reuters en terminales en la década de 2010.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cumple la guía de FY2027 (ingresos +5,5 %, margen +50 pb) y crece al 5 % con precio y productos de IA; la IA es canal y coste a la vez y el margen recupera hacia el 40,5 %.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datos limpios y la lógica de cálculo de FactSet se vuelven la fuente de los asistentes (MCP en 650 clientes y subiendo): el ASV crece al 7 % como en FY2026 y la productividad con IA sube el margen un punto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89,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288,39 USD (-0,5 %).</w:t>
      </w:r>
    </w:p>
    <w:p>
      <w:pPr>
        <w:spacing w:after="100"/>
      </w:pPr>
      <w:r>
        <w:t xml:space="preserve">La asimetría del DCF es desfavorable: el alcista gana un 19,2 % (345,37) y el bajista pierde un 31,9 % (197,27), 0,60 veces. El bajista pesa más porque una pérdida de poder de precio golpea a la vez al crecimiento, al margen y al terminal (1,5 %). A 12 meses la asimetría se da la vuelta (bajista −18,7 %, alcista +71,4 %) porque la regla común de múltiplos parte de un PER ya deprimido: el mercado ya descuenta buena parte del bajista en el múltiplo, no en el beneficio.</w:t>
      </w:r>
    </w:p>
    <w:p>
      <w:pPr>
        <w:pStyle w:val="Heading1"/>
      </w:pPr>
      <w:r>
        <w:t xml:space="preserve">22. Suma de partes</w:t>
      </w:r>
    </w:p>
    <w:p>
      <w:pPr>
        <w:pStyle w:val="Confianza"/>
        <w:spacing w:after="100"/>
      </w:pPr>
      <w:r>
        <w:t xml:space="preserve">Confianza: Media</w:t>
      </w:r>
    </w:p>
    <w:p>
      <w:pPr>
        <w:spacing w:after="100"/>
      </w:pPr>
      <w:r>
        <w:t xml:space="preserve">No aplica: los tres segmentos son regiones que venden la misma plataforma; CUSIP Global Services no publica ingresos propios con los que valorarla aparte.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89,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314,93 USD (+8,7 % sobre 289,74).</w:t>
      </w:r>
    </w:p>
    <w:p>
      <w:pPr>
        <w:spacing w:after="100"/>
      </w:pPr>
      <w:r>
        <w:t xml:space="preserve">Pesamos el DCF y los escenarios un 45 % cada uno y los comparables un 10 %. Los comparables dan cifras muy altas (PER de 24x de mediana aplicado a nuestro BPA) porque comparan a FactSet con bolsas e índices con activos de referencia, menos expuestos a la IA, y en BPA ajustado; con ese múltiplo el mercado le pagaría una calidad que hoy le niega. El DCF (305,45, +5,4 %) es el método más fiable para un negocio de suscripciones con caja estable; los escenarios añaden la asimetría del bajista (197,27, −31,9 %). El valor intrínseco resultante, 314,93, queda un 8,7 % por encima del precio. Las transacciones no se usan: las de datos (Refinitiv, IHS Markit) se pagaron en otro régimen y llevan prima de control.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(16.4x) × 1.1 (tope: la mediana de 5 años, 27.2x,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spacing w:after="100"/>
      </w:pPr>
      <w:r>
        <w:rPr>
          <w:b/>
          <w:bCs/>
        </w:rPr>
        <w:t xml:space="preserve">Objetivo a 12 meses (ponderado):</w:t>
      </w:r>
      <w:r>
        <w:t xml:space="preserve"> 351,37 USD · rentabilidad +22,8 % (base +19,3 %) · señal Comprar.</w:t>
      </w:r>
    </w:p>
    <w:p>
      <w:pPr>
        <w:spacing w:after="100"/>
      </w:pPr>
      <w:r>
        <w:t xml:space="preserve">Para comparar, con la regla v2 (historia al cierre, mismo precio): 13,9x / 16,4x / 21,3x, 11,5 % Mantener; con el tope anterior del base (×1,3, 14-oct mediodía): 41,6 %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(18,95) está un 12,7 % por debajo del consenso (21,70), pero casi toda la diferencia es de base: el consenso usa el BPA ajustado, que excluye la amortización de intangibles comprados (≈ 1,6 USD por acción) y los gastos «no recurrentes»; además no suponemos recompras no anunciadas. En la misma base, el consenso estaría en ≈ 20,1, un 6 % por encima de nosotros. Nuestro objetivo base (341,10) queda un 21,8 % por encima del objetivo medio de los analistas (280): ellos aplican al BPA un PER cercano al actual y nosotros la regla común, que lo sube un 10 % hacia su historia.</w:t>
      </w:r>
    </w:p>
    <w:p>
      <w:pPr>
        <w:keepNext/>
        <w:spacing w:after="100"/>
      </w:pPr>
      <w:r>
        <w:rPr>
          <w:b/>
          <w:bCs/>
        </w:rPr>
        <w:t xml:space="preserve">Del valor intrínseco al objetivo a 12 meses.</w:t>
      </w:r>
    </w:p>
    <w:p>
      <w:pPr>
        <w:spacing w:after="100"/>
      </w:pPr>
      <w:r>
        <w:t xml:space="preserve">El objetivo a 12 meses (351,37) queda por encima del valor intrínseco (314,93): la regla común supone que el PER vuelve un 10 % hacia su mediana de cinco años (27,2x), mientras el DCF descuenta un crecimiento del 3,9 % anual, por debajo de nuestro base. La distancia es del 12 % y depende de una sola cosa: que el mercado deje de descontar la sustitución por IA. El catalizador con fecha es el día del inversor del 10-nov-2026 y los resultados del 1T FY2027 (17-dic-2026, fecha estimada): si el ASV orgánico sigue por encima del 6 %, el múltiplo puede volver; si baja del 5 %, el bajista (231,12) es el escenario.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medio plazo de crecimiento, margen y monetización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17-dic-2026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y 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de la guía: ASV orgánico (≥ 6 % tranquiliza; &lt; 5 % confirma el miedo)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10-K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debilidad material de control interno quedó remediada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de 500 M al 2,9 %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 M más de intereses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IA financiera de OpenAI, Anthropic, Bloomberg y LSEG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lanzamiento ha movido la acción un 5-10 %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356 M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3 % del capital a precios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el terminal: los asistentes de IA (ChatGPT para servicios financieros, Claude, Copilot) pasan a ser la mesa de trabajo y FactSet vende datos por volumen con menos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(bajista del DCF: 197,27)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y lógica de cálculo integrados en los flujos de los clientes; MCP en 650 clientes; retención &gt; 95 %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ASV orgánico &lt; 5 % o retención &lt; 95 %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poder de precio en las renovaciones (paso de puestos a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(1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empresa a 3+ años firmados en 2026 sin descuento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 precio en las renovaciones del 4T27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Bloomberg y LSEG con sus propios MCP y alianzas con laboratorios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 en MCP; nicho fuerte en gestoras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Desplazamientos de clientes grandes en gestoras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puestos de analista en gestoras activas (pasivo e IA interna)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patrimonio, banca y mercados privados (+9 %)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ASV de gestoras institucionales &lt;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Dirección nueva que no cumple la guía de margen o compra caro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como suelo y balance a 1,2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1S27 &lt; 34,5 % o compra &gt; 1.000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interno: la debilidad material sigue sin remediar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errores detectados en dos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10-K de FY2026 con opinión adversa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Tarifas de CUSIP (acción colectiva y presión regulatoria)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 renovable de la ABA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Sentencia o acuerdo en el caso Dinosaur Financial Group</w:t>
            </w:r>
          </w:p>
        </w:tc>
      </w:tr>
    </w:tbl>
    <w:p>
      <w:pPr>
        <w:spacing w:after="160" w:before="0"/>
      </w:pPr>
    </w:p>
    <w:p>
      <w:pPr>
        <w:pStyle w:val="Heading2"/>
      </w:pPr>
      <w:r>
        <w:t xml:space="preserve">Pre-mortem</w:t>
      </w:r>
    </w:p>
    <w:p>
      <w:pPr>
        <w:spacing w:after="100"/>
      </w:pPr>
      <w:r>
        <w:t xml:space="preserve">Octubre de 2029: FactSet cotiza a 175 USD, un 40 % menos. En 2027 los grandes laboratorios lanzaron agentes de análisis financiero que leen documentos, calculan y redactan, y compraron datos de precios y de estimaciones a Bloomberg, LSEG y a proveedores baratos por volumen. Las gestoras, que ya recortaban analistas, renovaron FactSet con menos puestos: el ASV orgánico bajó del 7 % al 3 % en FY2028 y al 1 % en FY2029, la retención cayó al 92 % y el paso a precios por consumo recortó el ingreso por cliente. La dirección mantuvo el gasto en IA para no quedarse atrás y el margen ajustado volvió al 32 %. El BPA se estancó en 16-17 USD y el mercado, que ya no esperaba crecimiento, le aplicó 11 veces, como a una editorial. Lo habría anticipado el ASV orgánico por debajo del 5 % dos trimestres seguidos y una retención por debajo del 95 %, y antes aún, que los clientes con MCP dejaran de crecer más deprisa que el resto.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−32 % en el bajista (197,27 USD); +13 % en el alcista (345,37); esperado ≈ −5 % frente al base a 3-5 años</w:t>
      </w:r>
    </w:p>
    <w:p>
      <w:pPr>
        <w:spacing w:after="100"/>
      </w:pPr>
      <w:r>
        <w:t xml:space="preserve">La IA toca casi todas las ventas: el 82 % del ASV son gestoras que pagan puestos de terminal para buscar, calcular y redactar, que es lo que automatizan los asistentes (ChatGPT para servicios financieros desde sep-2026, Claude, Copilot), y Bloomberg y LSEG lanzan sus propios MCP [11, 16]. A favor, FactSet tiene datos propios limpios (estimaciones, transcripciones, CUSIP) y lógica de cálculo que los asistentes necesitan: más del 10 % del ASV nuevo del 4T26 fue de productos de IA, 650 clientes usan su MCP y los clientes con IA crecen el doble; además, la IA interna resuelve el 30 % de las consultas y permitió recortar plantilla [11]. Es amenaza para el precio por puesto y oportunidad en volumen y coste. Señal de alarma: ASV orgánico &lt; 5 % o retención &lt; 95 %; señal buena: MCP de pago y peso de la IA en el ASV nuevo hacia el 20 %.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las cifras son la seguridad de los datos (ciberataques y continuidad) y el capital humano: el 68 % de los 12.800 empleados está en India y Filipinas, con costes salariales que suben con la inflación local y una reforma laboral en India que costó 2,9 M en FY2026 [2].</w:t>
      </w:r>
    </w:p>
    <w:p>
      <w:pPr>
        <w:pStyle w:val="Heading2"/>
      </w:pPr>
      <w:r>
        <w:t xml:space="preserve">Controversias</w:t>
      </w:r>
    </w:p>
    <w:p>
      <w:pPr>
        <w:spacing w:after="100"/>
      </w:pPr>
      <w:r>
        <w:t xml:space="preserve">Debilidad material en los controles de TI sobre los ingresos (FY2024-FY2025, sin errores detectados) y acción colectiva sobre las tarifas de los CUSIP; sin sanciones relevantes en tres años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650 clientes con MCP paga ya y a qué precio frente a un puesto de terminal?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suma ingreso o lo canibaliza.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subió el precio medio en las renovaciones de FY2026 y cuántos puestos se perdieron en ellas?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retención del ASV puede ocultar menos usuarios a más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han sustituido FactSet por un asistente de IA con datos de otro proveedor?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señal temprana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incentivos ligados al ASV de FY2026 se repite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100-150 pb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ha remediado la debilidad material de los controles de TI de ingresos?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años de opinión adversa sobre el control interno.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precio se pagó por BCC y qué tamaño de compras en IA se contempla?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compra cara reduciría el ROIC como CUSIP en 2022.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4T, dos subidas de recomendación («la historia mejora») y un artículo que lo resume en «todo depende de adaptarse a la IA»; en julio, títulos de «aún infravalorada» y «precio de disrupción, no de solución»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la ven «compra clara» si no decrece cada año; los bajistas temen que ChatGPT para finanzas y Claude conviertan el terminal en una mercancía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Barchart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 si comprar «la caída por IA»: competencia de suscripciones con IA y presupuestos ajustados en gestoras frente a retención alta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que los clientes con IA crecen más deprisa y discute el valor tras la guía de márgenes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StockWireX (análisis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que el riesgo de la IA está mal valorado en todo el sector de datos financieros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el terminal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aún no lo muestran: ASV orgánico de +4,5 % a +7,0 % en un año y retención &gt; 95 %; el riesgo es de plazo largo y lo recoge el bajista [33,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diez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unas 16 veces nuestro BPA de FY2027 frente a una mediana de 27 en cinco años; pero la historia es de otro régimen de tipos y de percepción [35].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a la baja por incentivos e inversión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ajustado cayó 180 pb en FY2026; la guía FY2027 lo sube 25-75 pb [36].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agresivas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644 M en FY2026 (−7 % de acciones) a un precio medio de ≈ 250 USD en el 4T [33].</w:t>
            </w:r>
          </w:p>
        </w:tc>
      </w:tr>
    </w:tbl>
    <w:p>
      <w:pPr>
        <w:spacing w:after="160" w:before="0"/>
      </w:pPr>
    </w:p>
    <w:p>
      <w:pPr>
        <w:spacing w:after="100"/>
      </w:pPr>
      <w:r>
        <w:t xml:space="preserve">El sentimiento ha pasado de la capitulación de febrero (mínimo de 185 USD) a un debate dividido: los particulares y los autores de Seeking Alpha ven una ganga a 16 veces beneficios si el negocio no decrece, y los bajistas repiten el argumento de Redburn y Morningstar. No es extremo y coincide con el consenso de analistas (Mantener). Aporta una cosa: cada lanzamiento de IA de un laboratorio mueve la acción un 5-10 %, así que el precio va a depender de noticias que no son de FactSet. Ninguna cifra del informe sale de los foros [33, 34, 35].</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37 (18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4,4 % en FY2033e frente al 5,2 %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-1,0 % frente a -0,8 %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11,5 %: para comprar o ampliar hace falta motivo de negocio propio; para mantener basta la vigente. Explicación: Es la conclusión del informe: la v3 da Comprar (22,8 %) y la v2 Mantener (11,5 %); por eso recomendamos Mantener y solo compraríamos por debajo de 280,80 USD, donde pasan las dos.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6, 7, 9, 14, 24. Explicación: Las notas de resultados trimestrales y anuales antiguas son la base de la serie histórica de BPA y de los trimestres; se citan en bloque.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 por segmento de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4T26 (solo ingresos del trimestre por región); 2) 10-K FY2026 (aún no presentado a 15-oct); 3) EDGAR XBRL (último año, FY2025)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publican); 2) búsqueda web MSCI/Sustainalytics; 3) web de sostenibilidad de FactSet (no consultada a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Bloomberg y LSEG D&amp;A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Bloomberg es privada; 2) LSEG publica la división sin EBIT comparable en el informe del repo; 3) Burton-Taylor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tras registro); 2) Stock Analysis (FY2028+ de pago, sin EBITDA); 3) Investing (no consultado: búsquedas agotadas)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FINRA/Nasdaq short interest; 2) Stock Analysis;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(respuesta sin mensajes); 2) búsqueda de hilos de Reddit (sin resultados); 3) foros alternativos vía búsqueda (solo artículos con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Reports Results for Fourth Quarter and Fiscal 2026 (8-K, ex. 99.1): cuenta, balance, flujos, conciliación ajustada, ASV y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https://www.sec.gov/Archives/edgar/data/1013237/000162828026063888/fdsq42026earningsrelease.htm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on Form 10-K, fiscal 2025 (segmentos, deuda, adquisiciones, control interno,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https://www.sec.gov/Archives/edgar/data/1013237/000162828025045769/fds-20250831.htm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10-K, fiscal 2023 (segmentos 2021-2023, compra de CUSIP Global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https://www.sec.gov/Archives/edgar/data/1013237/000101323723000128/fds-20230831.htm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los 10-K (companyfacts, CIK 1013237): cuenta, balance y flujos FY2018-FY2025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https://data.sec.gov/api/xbrl/companyfacts/CIK0001013237.json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https://www.sec.gov/Archives/edgar/data/1013237/000162828026046338/fdsq32026earningsrelease.htm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https://www.sec.gov/Archives/edgar/data/1013237/000162828026022203/fdsq22026earningsrelease.htm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https://www.sec.gov/Archives/edgar/data/1013237/000162828025057794/fdsq12026earningsrelease.htm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FY2025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https://www.sec.gov/Archives/edgar/data/1013237/000101323725000084/fdsq42025earningsrelease.htm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2T y 3T FY2025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https://www.sec.gov/Archives/edgar/data/1013237/000101323725000064/fdsq32025earningsrelease.htm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FY2017-FY2024 (8-K, conciliaciones del BPA ajustado y amortización de intangibles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https://www.sec.gov/Archives/edgar/data/1013237/000101323724000119/fdsq42024earningsrelease.htm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Q4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https://www.mitrade.com/insights/news/live-news/article-8-2131351-20261001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enmienda del crédito sindicado (préstamo de 375 M a 2029, revolving de 1.500 M a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https://www.sec.gov/Archives/edgar/data/1013237/000095015726000966/form8-k.htm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(Burton-Taylor, SEC,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(sectores/bolsas-datos-financieros-2026-10-14.md)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https://tpicap.com/burtontaylor/reports/03/2026/financial-market-dataanalysis-global-share-segment-sizing-2026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reaches record 37.3bn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https://www.marketsmedia.com/market-data-spend-reaches-record-37-3bn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As Uncertainty Increases, We Are Decreasing Our FVE and Downgrading Our Moat Rating to None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https://www.morningstar.com/stocks/factset-uncertainty-increases-we-are-decreasing-our-fve-downgrading-our-moat-rating-none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providers trade lower as OpenAI launches ChatGPT for financial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https://seekingalpha.com/symbol/FDS/news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LSEG (competidor: LSEG Data &amp; Analytics/Workspace)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(informes/lseg-2026-10-14)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MSCI (competidor en analítica de carteras)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(informes/msci-2026-10-14)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https://ir.msci.com/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Stock Downgraded to Sell, Price Target Reduced on Terminal Risks (Redburn, 18-jun-2026)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https://app.sentisense.ai/stories/factset-stock-downgraded-to-sell-price-target-reduced-on-terminal-risks-06182026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consejo,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https://www.sec.gov/Archives/edgar/data/1013237/000162828025046442/fds-20251027.htm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del 18-dic-2025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https://www.sec.gov/Archives/edgar/data/1013237/000162828025058577/fds-20251218.htm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salida de Helen Shan y nombramiento de Joshua Warren como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https://www.sec.gov/Archives/edgar/data/1013237/000095010326005447/dp244995_8k.htm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Kate Stepp, directora de IA; Bob Stolte, director de tecnología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https://www.sec.gov/Archives/edgar/data/1013237/000162828026014385/fds-20260302.htm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 de Marcel Prins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https://www.sec.gov/Archives/edgar/data/1013237/000162828026063495/fds-20260923.htm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14-oct-2025 y el 14-oct-2026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https://www.sec.gov/cgi-bin/browse-edgar?action=getcompany&amp;CIK=0001013237&amp;type=4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(FDS, SPY, XLF)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FDS forecast: consenso de 18 analistas (S&amp;P Global), objetivos y estimaciones FY2027-FY2028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la ficha sectorial (MarketScreener y Stock Analysis, cierres del 13/14-oct)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(sectores/bolsas-datos-financieros-2026-10-14-comparables.json)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sector (informes de LSEG y MSCI del 14-oct, con sus fuentes primarias)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bono del Tesoro de EE. UU. a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downgraded to Sell from Neutral at Redburn Atlantic (objetivo 215 USD desde 291)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https://www.tipranks.com/news/the-fly/factset-downgraded-to-sell-from-neutral-at-redburn-atlantic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y noticias de FDS (RSS),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https://seekingalpha.com/api/sa/combined/FDS.xml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comentarios de lectores de FDS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https://seekingalpha.com/symbol/FDS/comments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30% in 2026: should you buy the AI dip in FactSet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https://www.barchart.com/story/news/425737/down-30-in-2026-should-you-buy-the-ai-dip-in-factset-stock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valoración tras la guía y los márgenes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https://simplywall.st/stocks/us/diversified-financials/nyse-fds/factset-research-systems/news/factset-fds-exploring-valuation-after-2026-guidance-and-marg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AI Disruption Risk Is Mispriced Across Financial Data Stocks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StockWireX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https://stockwirex.com/analysis/ai-disruption-financial-data-stocks-mispriced/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90,7 %</w:t>
      </w:r>
      <w:r>
        <w:t xml:space="preserve"> · Secciones con menos del 60 % de campos cubiertos: </w:t>
      </w:r>
      <w:r>
        <w:rPr>
          <w:b/>
          <w:bCs/>
        </w:rPr>
        <w:t xml:space="preserve">ninguna</w:t>
      </w:r>
      <w:r>
        <w:t xml:space="preserve"> · Generado el 15 oct 2026.</w:t>
      </w:r>
    </w:p>
    <w:p>
      <w:pPr>
        <w:pStyle w:val="Nota"/>
        <w:spacing w:after="100"/>
      </w:pPr>
      <w:r>
        <w:t xml:space="preserve">Ejercicio a 31 de agosto, con la etiqueta del año en que termina (FY2026 = sep-2025 a ago-2026). El 10-K de FY2026 aún no estaba presentado a la fecha de corte: el ejercicio FY2026 sale de la nota de resultados del 30-sep-2026 (cuenta, balance y flujos sin auditar); las reservas de FY2026 son estimación propia (reservas de FY2025 + beneficio − dividendos) y los segmentos llegan solo hasta FY2025. FY2018-FY2025 salen del XBRL de los 10-K comprobado con las notas de resultados. US GAAP: los arrendamientos operativos (172 M) no van al balance de deuda ni al puente porque su gasto ya está dentro del EBITDA. Acciones diluidas de 35,43 M = 35,26 M en circulación a 31-ago-26 (dividendo a pagar de 40,9 M ÷ 1,16 USD) + 0,17 M de dilución; no se descuentan las recompras posteriores al balance (no publicadas). El BPA del objetivo a 12 meses y de la historia del PER es el BPA ajustado de la empresa menos la amortización de intangibles comprados por acción (= BPA GAAP sin partidas no recurrentes): una base entre el GAAP y el ajustado que publica la empresa y que usa el consenso. Precio: cierre del 14-oct-2026 (la sesión del 15-oct no había abierto). Consenso de una sola fuente gratuita (Stock Analysis con datos de S&amp;P Global).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FactSet Research Systems Inc. (FDS)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289,74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(185,00 – 320,48)</c:v>
                </c:pt>
                <c:pt idx="1">
                  <c:v>Precio objetivo de los analistas (212,00 – 340,00)</c:v>
                </c:pt>
                <c:pt idx="2">
                  <c:v>Comparables: PER NTM (447,25 – 503,90)</c:v>
                </c:pt>
                <c:pt idx="3">
                  <c:v>Transacciones precedentes (EV/EBITDA) (323,10 – 664,50)</c:v>
                </c:pt>
                <c:pt idx="4">
                  <c:v>DCF (WACC y g ± 0,5) (270,14 – 352,40)</c:v>
                </c:pt>
                <c:pt idx="5">
                  <c:v>Escenarios (bajista – alcista) (197,27 – 345,37)</c:v>
                </c:pt>
                <c:pt idx="6">
                  <c:v>DCF con la prima implícita del mercado (4,2 %)</c:v>
                </c:pt>
                <c:pt idx="7">
                  <c:v>Precio actual (289,74)</c:v>
                </c:pt>
              </c:strCache>
            </c:strRef>
          </c:cat>
          <c:val>
            <c:numRef>
              <c:f>Hoja1!$B$2:$B$9</c:f>
              <c:numCache>
                <c:formatCode>#,##0</c:formatCode>
                <c:ptCount val="8"/>
                <c:pt idx="0">
                  <c:v>185</c:v>
                </c:pt>
                <c:pt idx="1">
                  <c:v>212</c:v>
                </c:pt>
                <c:pt idx="2">
                  <c:v>447.25</c:v>
                </c:pt>
                <c:pt idx="3">
                  <c:v>323.1</c:v>
                </c:pt>
                <c:pt idx="4">
                  <c:v>270.14</c:v>
                </c:pt>
                <c:pt idx="5">
                  <c:v>197.27</c:v>
                </c:pt>
                <c:pt idx="6">
                  <c:v>332.86</c:v>
                </c:pt>
                <c:pt idx="7">
                  <c:v>288.29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(185,00 – 320,48)</c:v>
                </c:pt>
                <c:pt idx="1">
                  <c:v>Precio objetivo de los analistas (212,00 – 340,00)</c:v>
                </c:pt>
                <c:pt idx="2">
                  <c:v>Comparables: PER NTM (447,25 – 503,90)</c:v>
                </c:pt>
                <c:pt idx="3">
                  <c:v>Transacciones precedentes (EV/EBITDA) (323,10 – 664,50)</c:v>
                </c:pt>
                <c:pt idx="4">
                  <c:v>DCF (WACC y g ± 0,5) (270,14 – 352,40)</c:v>
                </c:pt>
                <c:pt idx="5">
                  <c:v>Escenarios (bajista – alcista) (197,27 – 345,37)</c:v>
                </c:pt>
                <c:pt idx="6">
                  <c:v>DCF con la prima implícita del mercado (4,2 %)</c:v>
                </c:pt>
                <c:pt idx="7">
                  <c:v>Precio actual (289,74)</c:v>
                </c:pt>
              </c:strCache>
            </c:strRef>
          </c:cat>
          <c:val>
            <c:numRef>
              <c:f>Hoja1!$C$2:$C$9</c:f>
              <c:numCache>
                <c:formatCode>#,##0</c:formatCode>
                <c:ptCount val="8"/>
                <c:pt idx="0">
                  <c:v>135.48000000000002</c:v>
                </c:pt>
                <c:pt idx="1">
                  <c:v>128</c:v>
                </c:pt>
                <c:pt idx="2">
                  <c:v>56.64999999999998</c:v>
                </c:pt>
                <c:pt idx="3">
                  <c:v>341.4</c:v>
                </c:pt>
                <c:pt idx="4">
                  <c:v>82.25999999999999</c:v>
                </c:pt>
                <c:pt idx="5">
                  <c:v>148.1</c:v>
                </c:pt>
                <c:pt idx="6">
                  <c:v>66.43</c:v>
                </c:pt>
                <c:pt idx="7">
                  <c:v>2.8999999999999773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1008</c:v>
                </c:pt>
                <c:pt idx="1">
                  <c:v>1173.9</c:v>
                </c:pt>
                <c:pt idx="2">
                  <c:v>1335.5</c:v>
                </c:pt>
                <c:pt idx="3">
                  <c:v>1419.9</c:v>
                </c:pt>
                <c:pt idx="4">
                  <c:v>1506.1</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427.7</c:v>
                </c:pt>
                <c:pt idx="1">
                  <c:v>484.3</c:v>
                </c:pt>
                <c:pt idx="2">
                  <c:v>539.8</c:v>
                </c:pt>
                <c:pt idx="3">
                  <c:v>563.1</c:v>
                </c:pt>
                <c:pt idx="4">
                  <c:v>580.3</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155.7</c:v>
                </c:pt>
                <c:pt idx="1">
                  <c:v>185.7</c:v>
                </c:pt>
                <c:pt idx="2">
                  <c:v>210.2</c:v>
                </c:pt>
                <c:pt idx="3">
                  <c:v>220</c:v>
                </c:pt>
                <c:pt idx="4">
                  <c:v>235.4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EMEA</c:v>
                </c:pt>
                <c:pt idx="2">
                  <c:v>Asia-Pacífico</c:v>
                </c:pt>
              </c:strCache>
            </c:strRef>
          </c:cat>
          <c:val>
            <c:numRef>
              <c:f>Hoja1!$B$2:$B$4</c:f>
              <c:numCache>
                <c:formatCode>General</c:formatCode>
                <c:ptCount val="3"/>
                <c:pt idx="0">
                  <c:v>64.9</c:v>
                </c:pt>
                <c:pt idx="1">
                  <c:v>25</c:v>
                </c:pt>
                <c:pt idx="2">
                  <c:v>10.1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EMEA</c:v>
                </c:pt>
                <c:pt idx="2">
                  <c:v>Asia-Pacífico</c:v>
                </c:pt>
              </c:strCache>
            </c:strRef>
          </c:cat>
          <c:val>
            <c:numRef>
              <c:f>Hoja1!$B$2:$B$4</c:f>
              <c:numCache>
                <c:formatCode>0"%"</c:formatCode>
                <c:ptCount val="3"/>
                <c:pt idx="0">
                  <c:v>65.3</c:v>
                </c:pt>
                <c:pt idx="1">
                  <c:v>24.4</c:v>
                </c:pt>
                <c:pt idx="2">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2019</c:v>
                </c:pt>
                <c:pt idx="1">
                  <c:v>2022</c:v>
                </c:pt>
                <c:pt idx="2">
                  <c:v>2023</c:v>
                </c:pt>
                <c:pt idx="3">
                  <c:v>2025</c:v>
                </c:pt>
                <c:pt idx="4">
                  <c:v>2030e</c:v>
                </c:pt>
              </c:strCache>
            </c:strRef>
          </c:cat>
          <c:val>
            <c:numRef>
              <c:f>Hoja1!$B$2:$B$6</c:f>
              <c:numCache>
                <c:formatCode>#,##0</c:formatCode>
                <c:ptCount val="5"/>
                <c:pt idx="0">
                  <c:v>32000</c:v>
                </c:pt>
                <c:pt idx="1">
                  <c:v>37300</c:v>
                </c:pt>
                <c:pt idx="2">
                  <c:v>42000</c:v>
                </c:pt>
                <c:pt idx="3">
                  <c:v>49200</c:v>
                </c:pt>
                <c:pt idx="4">
                  <c:v>70000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FactSet</c:v>
                </c:pt>
                <c:pt idx="1">
                  <c:v>Bloomberg L.P.</c:v>
                </c:pt>
                <c:pt idx="2">
                  <c:v>LSEG Data &amp; Analytics (Workspace)</c:v>
                </c:pt>
                <c:pt idx="3">
                  <c:v>S&amp;P Global (Market Intelligence)</c:v>
                </c:pt>
                <c:pt idx="4">
                  <c:v>MSCI</c:v>
                </c:pt>
                <c:pt idx="5">
                  <c:v>Morningstar</c:v>
                </c:pt>
                <c:pt idx="6">
                  <c:v>BlackRock Aladdin</c:v>
                </c:pt>
              </c:strCache>
            </c:strRef>
          </c:cat>
          <c:val>
            <c:numRef>
              <c:f>Hoja1!$B$2:$B$8</c:f>
              <c:numCache>
                <c:formatCode>0.0"%"</c:formatCode>
                <c:ptCount val="7"/>
                <c:pt idx="0">
                  <c:v>31.5</c:v>
                </c:pt>
                <c:pt idx="3">
                  <c:v>42.2</c:v>
                </c:pt>
                <c:pt idx="4">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FY2018</c:v>
                </c:pt>
                <c:pt idx="1">
                  <c:v>FY2019</c:v>
                </c:pt>
                <c:pt idx="2">
                  <c:v>FY2020</c:v>
                </c:pt>
                <c:pt idx="3">
                  <c:v>FY2021</c:v>
                </c:pt>
                <c:pt idx="4">
                  <c:v>FY2022</c:v>
                </c:pt>
                <c:pt idx="5">
                  <c:v>FY2023</c:v>
                </c:pt>
                <c:pt idx="6">
                  <c:v>FY2024</c:v>
                </c:pt>
                <c:pt idx="7">
                  <c:v>FY2025</c:v>
                </c:pt>
                <c:pt idx="8">
                  <c:v>FY2026</c:v>
                </c:pt>
                <c:pt idx="9">
                  <c:v>FY2027e</c:v>
                </c:pt>
                <c:pt idx="10">
                  <c:v>FY2028e</c:v>
                </c:pt>
                <c:pt idx="11">
                  <c:v>FY2029e</c:v>
                </c:pt>
                <c:pt idx="12">
                  <c:v>FY2030e</c:v>
                </c:pt>
                <c:pt idx="13">
                  <c:v>FY2031e</c:v>
                </c:pt>
                <c:pt idx="14">
                  <c:v>FY2032e</c:v>
                </c:pt>
                <c:pt idx="15">
                  <c:v>FY2033e</c:v>
                </c:pt>
              </c:strCache>
            </c:strRef>
          </c:cat>
          <c:val>
            <c:numRef>
              <c:f>Hoja1!$B$2:$B$17</c:f>
              <c:numCache>
                <c:formatCode>#,##0</c:formatCode>
                <c:ptCount val="16"/>
                <c:pt idx="0">
                  <c:v>1350.1</c:v>
                </c:pt>
                <c:pt idx="1">
                  <c:v>1435.4</c:v>
                </c:pt>
                <c:pt idx="2">
                  <c:v>1494.1</c:v>
                </c:pt>
                <c:pt idx="3">
                  <c:v>1591.4</c:v>
                </c:pt>
                <c:pt idx="4">
                  <c:v>1843.9</c:v>
                </c:pt>
                <c:pt idx="5">
                  <c:v>2085.5</c:v>
                </c:pt>
                <c:pt idx="6">
                  <c:v>2203.1</c:v>
                </c:pt>
                <c:pt idx="7">
                  <c:v>2321.7</c:v>
                </c:pt>
                <c:pt idx="8">
                  <c:v>2476.3</c:v>
                </c:pt>
                <c:pt idx="9">
                  <c:v>2612</c:v>
                </c:pt>
                <c:pt idx="10">
                  <c:v>2756</c:v>
                </c:pt>
                <c:pt idx="11">
                  <c:v>2894</c:v>
                </c:pt>
                <c:pt idx="12">
                  <c:v>3039</c:v>
                </c:pt>
                <c:pt idx="13">
                  <c:v>3175</c:v>
                </c:pt>
                <c:pt idx="14">
                  <c:v>3302</c:v>
                </c:pt>
                <c:pt idx="15">
                  <c:v>3418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FY2018</c:v>
                </c:pt>
                <c:pt idx="1">
                  <c:v>FY2019</c:v>
                </c:pt>
                <c:pt idx="2">
                  <c:v>FY2020</c:v>
                </c:pt>
                <c:pt idx="3">
                  <c:v>FY2021</c:v>
                </c:pt>
                <c:pt idx="4">
                  <c:v>FY2022</c:v>
                </c:pt>
                <c:pt idx="5">
                  <c:v>FY2023</c:v>
                </c:pt>
                <c:pt idx="6">
                  <c:v>FY2024</c:v>
                </c:pt>
                <c:pt idx="7">
                  <c:v>FY2025</c:v>
                </c:pt>
                <c:pt idx="8">
                  <c:v>FY2026</c:v>
                </c:pt>
                <c:pt idx="9">
                  <c:v>FY2027e</c:v>
                </c:pt>
                <c:pt idx="10">
                  <c:v>FY2028e</c:v>
                </c:pt>
                <c:pt idx="11">
                  <c:v>FY2029e</c:v>
                </c:pt>
                <c:pt idx="12">
                  <c:v>FY2030e</c:v>
                </c:pt>
                <c:pt idx="13">
                  <c:v>FY2031e</c:v>
                </c:pt>
                <c:pt idx="14">
                  <c:v>FY2032e</c:v>
                </c:pt>
                <c:pt idx="15">
                  <c:v>FY2033e</c:v>
                </c:pt>
              </c:strCache>
            </c:strRef>
          </c:cat>
          <c:val>
            <c:numRef>
              <c:f>Hoja1!$C$2:$C$17</c:f>
              <c:numCache>
                <c:formatCode>#,##0</c:formatCode>
                <c:ptCount val="16"/>
                <c:pt idx="0">
                  <c:v>423.5</c:v>
                </c:pt>
                <c:pt idx="1">
                  <c:v>498.5</c:v>
                </c:pt>
                <c:pt idx="2">
                  <c:v>497.3</c:v>
                </c:pt>
                <c:pt idx="3">
                  <c:v>538.5</c:v>
                </c:pt>
                <c:pt idx="4">
                  <c:v>562.2</c:v>
                </c:pt>
                <c:pt idx="5">
                  <c:v>734.6</c:v>
                </c:pt>
                <c:pt idx="6">
                  <c:v>826.5</c:v>
                </c:pt>
                <c:pt idx="7">
                  <c:v>928.1</c:v>
                </c:pt>
                <c:pt idx="8">
                  <c:v>960</c:v>
                </c:pt>
                <c:pt idx="9">
                  <c:v>1027</c:v>
                </c:pt>
                <c:pt idx="10">
                  <c:v>1097</c:v>
                </c:pt>
                <c:pt idx="11">
                  <c:v>1163</c:v>
                </c:pt>
                <c:pt idx="12">
                  <c:v>1231</c:v>
                </c:pt>
                <c:pt idx="13">
                  <c:v>1286</c:v>
                </c:pt>
                <c:pt idx="14">
                  <c:v>1337</c:v>
                </c:pt>
                <c:pt idx="15">
                  <c:v>1384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51.2</c:v>
                </c:pt>
                <c:pt idx="1">
                  <c:v>53.8</c:v>
                </c:pt>
                <c:pt idx="2">
                  <c:v>53.5</c:v>
                </c:pt>
                <c:pt idx="3">
                  <c:v>50.6</c:v>
                </c:pt>
                <c:pt idx="4">
                  <c:v>52.8</c:v>
                </c:pt>
                <c:pt idx="5">
                  <c:v>53.3</c:v>
                </c:pt>
                <c:pt idx="6">
                  <c:v>54.1</c:v>
                </c:pt>
                <c:pt idx="7">
                  <c:v>52.7</c:v>
                </c:pt>
                <c:pt idx="8">
                  <c:v>50.6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31.4</c:v>
                </c:pt>
                <c:pt idx="1">
                  <c:v>34.7</c:v>
                </c:pt>
                <c:pt idx="2">
                  <c:v>33.3</c:v>
                </c:pt>
                <c:pt idx="3">
                  <c:v>33.8</c:v>
                </c:pt>
                <c:pt idx="4">
                  <c:v>30.5</c:v>
                </c:pt>
                <c:pt idx="5">
                  <c:v>35.2</c:v>
                </c:pt>
                <c:pt idx="6">
                  <c:v>37.5</c:v>
                </c:pt>
                <c:pt idx="7">
                  <c:v>40</c:v>
                </c:pt>
                <c:pt idx="8">
                  <c:v>38.8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27.1</c:v>
                </c:pt>
                <c:pt idx="1">
                  <c:v>30.5</c:v>
                </c:pt>
                <c:pt idx="2">
                  <c:v>29.4</c:v>
                </c:pt>
                <c:pt idx="3">
                  <c:v>29.8</c:v>
                </c:pt>
                <c:pt idx="4">
                  <c:v>25.8</c:v>
                </c:pt>
                <c:pt idx="5">
                  <c:v>30.2</c:v>
                </c:pt>
                <c:pt idx="6">
                  <c:v>31.8</c:v>
                </c:pt>
                <c:pt idx="7">
                  <c:v>33.2</c:v>
                </c:pt>
                <c:pt idx="8">
                  <c:v>31.5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Hoja1!$E$2:$E$10</c:f>
              <c:numCache>
                <c:formatCode>0"%"</c:formatCode>
                <c:ptCount val="9"/>
                <c:pt idx="0">
                  <c:v>19.8</c:v>
                </c:pt>
                <c:pt idx="1">
                  <c:v>24.6</c:v>
                </c:pt>
                <c:pt idx="2">
                  <c:v>25</c:v>
                </c:pt>
                <c:pt idx="3">
                  <c:v>25.1</c:v>
                </c:pt>
                <c:pt idx="4">
                  <c:v>21.5</c:v>
                </c:pt>
                <c:pt idx="5">
                  <c:v>22.5</c:v>
                </c:pt>
                <c:pt idx="6">
                  <c:v>24.4</c:v>
                </c:pt>
                <c:pt idx="7">
                  <c:v>25.7</c:v>
                </c:pt>
                <c:pt idx="8">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4.9</c:v>
                </c:pt>
                <c:pt idx="1">
                  <c:v>4.5</c:v>
                </c:pt>
                <c:pt idx="2">
                  <c:v>5.9</c:v>
                </c:pt>
                <c:pt idx="3">
                  <c:v>6.2</c:v>
                </c:pt>
                <c:pt idx="4">
                  <c:v>6.9</c:v>
                </c:pt>
                <c:pt idx="5">
                  <c:v>7.1</c:v>
                </c:pt>
                <c:pt idx="6">
                  <c:v>6.4</c:v>
                </c:pt>
                <c:pt idx="7">
                  <c:v>6.3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Hoja1!$C$2:$C$9</c:f>
              <c:numCache>
                <c:formatCode>0.0"%"</c:formatCode>
                <c:ptCount val="8"/>
                <c:pt idx="0">
                  <c:v>4.7</c:v>
                </c:pt>
                <c:pt idx="1">
                  <c:v>4</c:v>
                </c:pt>
                <c:pt idx="2">
                  <c:v>4.4</c:v>
                </c:pt>
                <c:pt idx="3">
                  <c:v>4.5</c:v>
                </c:pt>
                <c:pt idx="4">
                  <c:v>6</c:v>
                </c:pt>
                <c:pt idx="5">
                  <c:v>6.8</c:v>
                </c:pt>
                <c:pt idx="6">
                  <c:v>7</c:v>
                </c:pt>
                <c:pt idx="7">
                  <c:v>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42</c:v>
                </c:pt>
                <c:pt idx="1">
                  <c:v>37</c:v>
                </c:pt>
                <c:pt idx="2">
                  <c:v>38</c:v>
                </c:pt>
                <c:pt idx="3">
                  <c:v>35</c:v>
                </c:pt>
                <c:pt idx="4">
                  <c:v>40</c:v>
                </c:pt>
                <c:pt idx="5">
                  <c:v>42</c:v>
                </c:pt>
                <c:pt idx="6">
                  <c:v>38</c:v>
                </c:pt>
                <c:pt idx="7">
                  <c:v>43</c:v>
                </c:pt>
                <c:pt idx="8">
                  <c:v>44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40</c:v>
                </c:pt>
                <c:pt idx="1">
                  <c:v>44</c:v>
                </c:pt>
                <c:pt idx="2">
                  <c:v>43</c:v>
                </c:pt>
                <c:pt idx="3">
                  <c:v>40</c:v>
                </c:pt>
                <c:pt idx="4">
                  <c:v>45</c:v>
                </c:pt>
                <c:pt idx="5">
                  <c:v>46</c:v>
                </c:pt>
                <c:pt idx="6">
                  <c:v>64</c:v>
                </c:pt>
                <c:pt idx="7">
                  <c:v>45</c:v>
                </c:pt>
                <c:pt idx="8">
                  <c:v>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352.2</c:v>
                </c:pt>
                <c:pt idx="1">
                  <c:v>367.70000000000005</c:v>
                </c:pt>
                <c:pt idx="2">
                  <c:v>428.20000000000005</c:v>
                </c:pt>
                <c:pt idx="3">
                  <c:v>493.90000000000003</c:v>
                </c:pt>
                <c:pt idx="4">
                  <c:v>487.09999999999997</c:v>
                </c:pt>
                <c:pt idx="5">
                  <c:v>584.8000000000001</c:v>
                </c:pt>
                <c:pt idx="6">
                  <c:v>614.5999999999999</c:v>
                </c:pt>
                <c:pt idx="7">
                  <c:v>617.5</c:v>
                </c:pt>
                <c:pt idx="8">
                  <c:v>707.5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267.1</c:v>
                </c:pt>
                <c:pt idx="1">
                  <c:v>352.8</c:v>
                </c:pt>
                <c:pt idx="2">
                  <c:v>372.9</c:v>
                </c:pt>
                <c:pt idx="3">
                  <c:v>399.6</c:v>
                </c:pt>
                <c:pt idx="4">
                  <c:v>396.9</c:v>
                </c:pt>
                <c:pt idx="5">
                  <c:v>468.2</c:v>
                </c:pt>
                <c:pt idx="6">
                  <c:v>537.1</c:v>
                </c:pt>
                <c:pt idx="7">
                  <c:v>597</c:v>
                </c:pt>
                <c:pt idx="8">
                  <c:v>533.5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31.2</c:v>
                </c:pt>
                <c:pt idx="1">
                  <c:v>41.2</c:v>
                </c:pt>
                <c:pt idx="2">
                  <c:v>43.3</c:v>
                </c:pt>
                <c:pt idx="3">
                  <c:v>45.2</c:v>
                </c:pt>
                <c:pt idx="4">
                  <c:v>22.9</c:v>
                </c:pt>
                <c:pt idx="5">
                  <c:v>18</c:v>
                </c:pt>
                <c:pt idx="6">
                  <c:v>20.4</c:v>
                </c:pt>
                <c:pt idx="7">
                  <c:v>21</c:v>
                </c:pt>
                <c:pt idx="8">
                  <c:v>20.2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9.5</c:v>
                </c:pt>
                <c:pt idx="1">
                  <c:v>9.5</c:v>
                </c:pt>
                <c:pt idx="2">
                  <c:v>9.5</c:v>
                </c:pt>
                <c:pt idx="3">
                  <c:v>9.5</c:v>
                </c:pt>
                <c:pt idx="4">
                  <c:v>9.5</c:v>
                </c:pt>
                <c:pt idx="5">
                  <c:v>9.5</c:v>
                </c:pt>
                <c:pt idx="6">
                  <c:v>9.5</c:v>
                </c:pt>
                <c:pt idx="7">
                  <c:v>9.5</c:v>
                </c:pt>
                <c:pt idx="8">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50.8</c:v>
                </c:pt>
                <c:pt idx="1">
                  <c:v>58.9</c:v>
                </c:pt>
                <c:pt idx="2">
                  <c:v>47.5</c:v>
                </c:pt>
                <c:pt idx="3">
                  <c:v>41.8</c:v>
                </c:pt>
                <c:pt idx="4">
                  <c:v>33.8</c:v>
                </c:pt>
                <c:pt idx="5">
                  <c:v>31.7</c:v>
                </c:pt>
                <c:pt idx="6">
                  <c:v>30.4</c:v>
                </c:pt>
                <c:pt idx="7">
                  <c:v>29.1</c:v>
                </c:pt>
                <c:pt idx="8">
                  <c:v>25.5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0">
                  <c:v>0.86</c:v>
                </c:pt>
                <c:pt idx="1">
                  <c:v>0.43</c:v>
                </c:pt>
                <c:pt idx="2">
                  <c:v>-0.02</c:v>
                </c:pt>
                <c:pt idx="3">
                  <c:v>-0.2</c:v>
                </c:pt>
                <c:pt idx="4">
                  <c:v>2.63</c:v>
                </c:pt>
                <c:pt idx="5">
                  <c:v>1.62</c:v>
                </c:pt>
                <c:pt idx="6">
                  <c:v>1.14</c:v>
                </c:pt>
                <c:pt idx="7">
                  <c:v>1.11</c:v>
                </c:pt>
                <c:pt idx="8">
                  <c:v>1.15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FY2027</c:v>
                </c:pt>
                <c:pt idx="1">
                  <c:v>FY2029</c:v>
                </c:pt>
                <c:pt idx="2">
                  <c:v>FY2032</c:v>
                </c:pt>
              </c:strCache>
            </c:strRef>
          </c:cat>
          <c:val>
            <c:numRef>
              <c:f>Hoja1!$B$2:$B$4</c:f>
              <c:numCache>
                <c:formatCode>#,##0</c:formatCode>
                <c:ptCount val="3"/>
                <c:pt idx="0">
                  <c:v>500</c:v>
                </c:pt>
                <c:pt idx="1">
                  <c:v>375</c:v>
                </c:pt>
                <c:pt idx="2">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15</c:v>
                </c:pt>
                <c:pt idx="1">
                  <c:v>0</c:v>
                </c:pt>
                <c:pt idx="2">
                  <c:v>0</c:v>
                </c:pt>
                <c:pt idx="3">
                  <c:v>58.1</c:v>
                </c:pt>
                <c:pt idx="4">
                  <c:v>1981.6</c:v>
                </c:pt>
                <c:pt idx="5">
                  <c:v>23.6</c:v>
                </c:pt>
                <c:pt idx="6">
                  <c:v>0</c:v>
                </c:pt>
                <c:pt idx="7">
                  <c:v>348.3</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89.4</c:v>
                </c:pt>
                <c:pt idx="1">
                  <c:v>100.1</c:v>
                </c:pt>
                <c:pt idx="2">
                  <c:v>110.4</c:v>
                </c:pt>
                <c:pt idx="3">
                  <c:v>117.9</c:v>
                </c:pt>
                <c:pt idx="4">
                  <c:v>125.9</c:v>
                </c:pt>
                <c:pt idx="5">
                  <c:v>138.6</c:v>
                </c:pt>
                <c:pt idx="6">
                  <c:v>150.7</c:v>
                </c:pt>
                <c:pt idx="7">
                  <c:v>160</c:v>
                </c:pt>
                <c:pt idx="8">
                  <c:v>164.2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304</c:v>
                </c:pt>
                <c:pt idx="1">
                  <c:v>220.4</c:v>
                </c:pt>
                <c:pt idx="2">
                  <c:v>199.6</c:v>
                </c:pt>
                <c:pt idx="3">
                  <c:v>264.7</c:v>
                </c:pt>
                <c:pt idx="4">
                  <c:v>18.6</c:v>
                </c:pt>
                <c:pt idx="5">
                  <c:v>176.7</c:v>
                </c:pt>
                <c:pt idx="6">
                  <c:v>235.2</c:v>
                </c:pt>
                <c:pt idx="7">
                  <c:v>300.5</c:v>
                </c:pt>
                <c:pt idx="8">
                  <c:v>644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BAMCO (Baron Capital)</c:v>
                </c:pt>
                <c:pt idx="3">
                  <c:v>Morgan Stanley</c:v>
                </c:pt>
                <c:pt idx="4">
                  <c:v>State Street</c:v>
                </c:pt>
              </c:strCache>
            </c:strRef>
          </c:cat>
          <c:val>
            <c:numRef>
              <c:f>Hoja1!$B$2:$B$6</c:f>
              <c:numCache>
                <c:formatCode>0.0"%"</c:formatCode>
                <c:ptCount val="5"/>
                <c:pt idx="0">
                  <c:v>12.2</c:v>
                </c:pt>
                <c:pt idx="1">
                  <c:v>9.3</c:v>
                </c:pt>
                <c:pt idx="2">
                  <c:v>6.6</c:v>
                </c:pt>
                <c:pt idx="3">
                  <c:v>5.8</c:v>
                </c:pt>
                <c:pt idx="4">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c:v>
                </c:pt>
                <c:pt idx="1">
                  <c:v>19.4</c:v>
                </c:pt>
                <c:pt idx="2">
                  <c:v>5</c:v>
                </c:pt>
                <c:pt idx="3">
                  <c:v>35.5</c:v>
                </c:pt>
                <c:pt idx="4">
                  <c:v>25.1</c:v>
                </c:pt>
                <c:pt idx="5">
                  <c:v>47.5</c:v>
                </c:pt>
                <c:pt idx="6">
                  <c:v>-16.7</c:v>
                </c:pt>
                <c:pt idx="7">
                  <c:v>20</c:v>
                </c:pt>
                <c:pt idx="8">
                  <c:v>1.6</c:v>
                </c:pt>
                <c:pt idx="9">
                  <c:v>-38.9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0">
                  <c:v>22.2</c:v>
                </c:pt>
                <c:pt idx="1">
                  <c:v>21.7</c:v>
                </c:pt>
                <c:pt idx="2">
                  <c:v>27.2</c:v>
                </c:pt>
                <c:pt idx="3">
                  <c:v>27.1</c:v>
                </c:pt>
                <c:pt idx="4">
                  <c:v>32.5</c:v>
                </c:pt>
                <c:pt idx="5">
                  <c:v>24.7</c:v>
                </c:pt>
                <c:pt idx="6">
                  <c:v>20.9</c:v>
                </c:pt>
                <c:pt idx="7">
                  <c:v>16.6</c:v>
                </c:pt>
                <c:pt idx="8">
                  <c:v>13.1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0.0"x"</c:formatCode>
                <c:ptCount val="9"/>
                <c:pt idx="0">
                  <c:v>22.2</c:v>
                </c:pt>
                <c:pt idx="1">
                  <c:v>22.2</c:v>
                </c:pt>
                <c:pt idx="2">
                  <c:v>22.2</c:v>
                </c:pt>
                <c:pt idx="3">
                  <c:v>22.2</c:v>
                </c:pt>
                <c:pt idx="4">
                  <c:v>22.2</c:v>
                </c:pt>
                <c:pt idx="5">
                  <c:v>22.2</c:v>
                </c:pt>
                <c:pt idx="6">
                  <c:v>22.2</c:v>
                </c:pt>
                <c:pt idx="7">
                  <c:v>22.2</c:v>
                </c:pt>
                <c:pt idx="8">
                  <c:v>22.2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FactSet</c:v>
                </c:pt>
                <c:pt idx="1">
                  <c:v>S&amp;P Global</c:v>
                </c:pt>
                <c:pt idx="2">
                  <c:v>MSCI</c:v>
                </c:pt>
                <c:pt idx="3">
                  <c:v>Intercontinental Exchange</c:v>
                </c:pt>
                <c:pt idx="4">
                  <c:v>CME Group</c:v>
                </c:pt>
                <c:pt idx="5">
                  <c:v>Nasdaq</c:v>
                </c:pt>
                <c:pt idx="6">
                  <c:v>Verisk Analytics</c:v>
                </c:pt>
                <c:pt idx="7">
                  <c:v>Thomson Reuters</c:v>
                </c:pt>
                <c:pt idx="8">
                  <c:v>London Stock Exchange Group</c:v>
                </c:pt>
                <c:pt idx="9">
                  <c:v>Moody's</c:v>
                </c:pt>
                <c:pt idx="10">
                  <c:v>Deutsche Börse</c:v>
                </c:pt>
                <c:pt idx="11">
                  <c:v>Tradeweb Markets</c:v>
                </c:pt>
              </c:strCache>
            </c:strRef>
          </c:cat>
          <c:val>
            <c:numRef>
              <c:f>Hoja1!$B$2:$B$13</c:f>
              <c:numCache>
                <c:formatCode>0.0"x"</c:formatCode>
                <c:ptCount val="12"/>
                <c:pt idx="1">
                  <c:v>17.2</c:v>
                </c:pt>
                <c:pt idx="2">
                  <c:v>20.2</c:v>
                </c:pt>
                <c:pt idx="3">
                  <c:v>13.8</c:v>
                </c:pt>
                <c:pt idx="4">
                  <c:v>19</c:v>
                </c:pt>
                <c:pt idx="5">
                  <c:v>16.1</c:v>
                </c:pt>
                <c:pt idx="6">
                  <c:v>14.1</c:v>
                </c:pt>
                <c:pt idx="7">
                  <c:v>13.7</c:v>
                </c:pt>
                <c:pt idx="8">
                  <c:v>9.4</c:v>
                </c:pt>
                <c:pt idx="9">
                  <c:v>18.4</c:v>
                </c:pt>
                <c:pt idx="10">
                  <c:v>14.1</c:v>
                </c:pt>
                <c:pt idx="11">
                  <c:v>16.8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S&amp;P Global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7.6</c:v>
                </c:pt>
              </c:numCache>
            </c:numRef>
          </c:xVal>
          <c:yVal>
            <c:numRef>
              <c:f>Hoja1!$C$2</c:f>
              <c:numCache>
                <c:formatCode>0.0"x"</c:formatCode>
                <c:ptCount val="1"/>
                <c:pt idx="0">
                  <c:v>17.2</c:v>
                </c:pt>
              </c:numCache>
            </c:numRef>
          </c:yVal>
          <c:smooth val="0"/>
        </c:ser>
        <c:ser>
          <c:idx val="1"/>
          <c:order val="1"/>
          <c:tx>
            <c:strRef>
              <c:f>Hoja1!$A$3</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10.2</c:v>
                </c:pt>
              </c:numCache>
            </c:numRef>
          </c:xVal>
          <c:yVal>
            <c:numRef>
              <c:f>Hoja1!$C$3</c:f>
              <c:numCache>
                <c:formatCode>0.0"x"</c:formatCode>
                <c:ptCount val="1"/>
                <c:pt idx="0">
                  <c:v>20.2</c:v>
                </c:pt>
              </c:numCache>
            </c:numRef>
          </c:yVal>
          <c:smooth val="0"/>
        </c:ser>
        <c:ser>
          <c:idx val="2"/>
          <c:order val="2"/>
          <c:tx>
            <c:strRef>
              <c:f>Hoja1!$A$4</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13.8</c:v>
                </c:pt>
              </c:numCache>
            </c:numRef>
          </c:yVal>
          <c:smooth val="0"/>
        </c:ser>
        <c:ser>
          <c:idx val="3"/>
          <c:order val="3"/>
          <c:tx>
            <c:strRef>
              <c:f>Hoja1!$A$5</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19</c:v>
                </c:pt>
              </c:numCache>
            </c:numRef>
          </c:yVal>
          <c:smooth val="0"/>
        </c:ser>
        <c:ser>
          <c:idx val="4"/>
          <c:order val="4"/>
          <c:tx>
            <c:strRef>
              <c:f>Hoja1!$A$6</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10.1</c:v>
                </c:pt>
              </c:numCache>
            </c:numRef>
          </c:xVal>
          <c:yVal>
            <c:numRef>
              <c:f>Hoja1!$C$6</c:f>
              <c:numCache>
                <c:formatCode>0.0"x"</c:formatCode>
                <c:ptCount val="1"/>
                <c:pt idx="0">
                  <c:v>16.1</c:v>
                </c:pt>
              </c:numCache>
            </c:numRef>
          </c:yVal>
          <c:smooth val="0"/>
        </c:ser>
        <c:ser>
          <c:idx val="5"/>
          <c:order val="5"/>
          <c:tx>
            <c:strRef>
              <c:f>Hoja1!$A$7</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6.1</c:v>
                </c:pt>
              </c:numCache>
            </c:numRef>
          </c:xVal>
          <c:yVal>
            <c:numRef>
              <c:f>Hoja1!$C$7</c:f>
              <c:numCache>
                <c:formatCode>0.0"x"</c:formatCode>
                <c:ptCount val="1"/>
                <c:pt idx="0">
                  <c:v>14.1</c:v>
                </c:pt>
              </c:numCache>
            </c:numRef>
          </c:yVal>
          <c:smooth val="0"/>
        </c:ser>
        <c:ser>
          <c:idx val="6"/>
          <c:order val="6"/>
          <c:tx>
            <c:strRef>
              <c:f>Hoja1!$A$8</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8.2</c:v>
                </c:pt>
              </c:numCache>
            </c:numRef>
          </c:xVal>
          <c:yVal>
            <c:numRef>
              <c:f>Hoja1!$C$8</c:f>
              <c:numCache>
                <c:formatCode>0.0"x"</c:formatCode>
                <c:ptCount val="1"/>
                <c:pt idx="0">
                  <c:v>13.7</c:v>
                </c:pt>
              </c:numCache>
            </c:numRef>
          </c:yVal>
          <c:smooth val="0"/>
        </c:ser>
        <c:ser>
          <c:idx val="7"/>
          <c:order val="7"/>
          <c:tx>
            <c:strRef>
              <c:f>Hoja1!$A$9</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6.5</c:v>
                </c:pt>
              </c:numCache>
            </c:numRef>
          </c:xVal>
          <c:yVal>
            <c:numRef>
              <c:f>Hoja1!$C$9</c:f>
              <c:numCache>
                <c:formatCode>0.0"x"</c:formatCode>
                <c:ptCount val="1"/>
                <c:pt idx="0">
                  <c:v>9.4</c:v>
                </c:pt>
              </c:numCache>
            </c:numRef>
          </c:yVal>
          <c:smooth val="0"/>
        </c:ser>
        <c:ser>
          <c:idx val="8"/>
          <c:order val="8"/>
          <c:tx>
            <c:strRef>
              <c:f>Hoja1!$A$10</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7.3</c:v>
                </c:pt>
              </c:numCache>
            </c:numRef>
          </c:xVal>
          <c:yVal>
            <c:numRef>
              <c:f>Hoja1!$C$10</c:f>
              <c:numCache>
                <c:formatCode>0.0"x"</c:formatCode>
                <c:ptCount val="1"/>
                <c:pt idx="0">
                  <c:v>18.4</c:v>
                </c:pt>
              </c:numCache>
            </c:numRef>
          </c:yVal>
          <c:smooth val="0"/>
        </c:ser>
        <c:ser>
          <c:idx val="9"/>
          <c:order val="9"/>
          <c:tx>
            <c:strRef>
              <c:f>Hoja1!$A$11</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7</c:v>
                </c:pt>
              </c:numCache>
            </c:numRef>
          </c:xVal>
          <c:yVal>
            <c:numRef>
              <c:f>Hoja1!$C$11</c:f>
              <c:numCache>
                <c:formatCode>0.0"x"</c:formatCode>
                <c:ptCount val="1"/>
                <c:pt idx="0">
                  <c:v>14.1</c:v>
                </c:pt>
              </c:numCache>
            </c:numRef>
          </c:yVal>
          <c:smooth val="0"/>
        </c:ser>
        <c:ser>
          <c:idx val="10"/>
          <c:order val="10"/>
          <c:tx>
            <c:strRef>
              <c:f>Hoja1!$A$12</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13.3</c:v>
                </c:pt>
              </c:numCache>
            </c:numRef>
          </c:xVal>
          <c:yVal>
            <c:numRef>
              <c:f>Hoja1!$C$12</c:f>
              <c:numCache>
                <c:formatCode>0.0"x"</c:formatCode>
                <c:ptCount val="1"/>
                <c:pt idx="0">
                  <c:v>16.8</c:v>
                </c:pt>
              </c:numCache>
            </c:numRef>
          </c:yVal>
          <c:smooth val="0"/>
        </c:ser>
        <c:axId val="10"/>
        <c:axId val="20"/>
      </c:scatterChart>
      <c:valAx>
        <c:axId val="10"/>
        <c:scaling>
          <c:orientation val="minMax"/>
          <c:max val="16"/>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MarketAxess Holdings</c:v>
                </c:pt>
                <c:pt idx="1">
                  <c:v>With Intelligence</c:v>
                </c:pt>
                <c:pt idx="2">
                  <c:v>Adenza</c:v>
                </c:pt>
                <c:pt idx="3">
                  <c:v>CUSIP Global Services</c:v>
                </c:pt>
                <c:pt idx="4">
                  <c:v>IHS Markit</c:v>
                </c:pt>
                <c:pt idx="5">
                  <c:v>Refinitiv</c:v>
                </c:pt>
              </c:strCache>
            </c:strRef>
          </c:cat>
          <c:val>
            <c:numRef>
              <c:f>Hoja1!$B$2:$B$7</c:f>
              <c:numCache>
                <c:formatCode>0.0"x"</c:formatCode>
                <c:ptCount val="6"/>
                <c:pt idx="0">
                  <c:v>13</c:v>
                </c:pt>
                <c:pt idx="2">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750</c:v>
                </c:pt>
                <c:pt idx="1">
                  <c:v>784</c:v>
                </c:pt>
                <c:pt idx="2">
                  <c:v>828</c:v>
                </c:pt>
                <c:pt idx="3">
                  <c:v>871</c:v>
                </c:pt>
                <c:pt idx="4">
                  <c:v>904</c:v>
                </c:pt>
                <c:pt idx="5">
                  <c:v>931</c:v>
                </c:pt>
                <c:pt idx="6">
                  <c:v>958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4351</c:v>
                </c:pt>
                <c:pt idx="1">
                  <c:v>7575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289,74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197.27</c:v>
                </c:pt>
                <c:pt idx="1">
                  <c:v>305.45</c:v>
                </c:pt>
                <c:pt idx="2">
                  <c:v>345.37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289,74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(185,00 – 320,48)</c:v>
                </c:pt>
                <c:pt idx="1">
                  <c:v>Precio objetivo de los analistas (212,00 – 340,00)</c:v>
                </c:pt>
                <c:pt idx="2">
                  <c:v>Comparables: PER NTM (447,25 – 503,90)</c:v>
                </c:pt>
                <c:pt idx="3">
                  <c:v>Transacciones precedentes (EV/EBITDA) (323,10 – 664,50)</c:v>
                </c:pt>
                <c:pt idx="4">
                  <c:v>DCF (WACC y g ± 0,5) (270,14 – 352,40)</c:v>
                </c:pt>
                <c:pt idx="5">
                  <c:v>Escenarios (bajista – alcista) (197,27 – 345,37)</c:v>
                </c:pt>
                <c:pt idx="6">
                  <c:v>DCF con la prima implícita del mercado (4,2 %)</c:v>
                </c:pt>
                <c:pt idx="7">
                  <c:v>Precio actual (289,74)</c:v>
                </c:pt>
              </c:strCache>
            </c:strRef>
          </c:cat>
          <c:val>
            <c:numRef>
              <c:f>Hoja1!$B$2:$B$9</c:f>
              <c:numCache>
                <c:formatCode>#,##0</c:formatCode>
                <c:ptCount val="8"/>
                <c:pt idx="0">
                  <c:v>185</c:v>
                </c:pt>
                <c:pt idx="1">
                  <c:v>212</c:v>
                </c:pt>
                <c:pt idx="2">
                  <c:v>447.25</c:v>
                </c:pt>
                <c:pt idx="3">
                  <c:v>323.1</c:v>
                </c:pt>
                <c:pt idx="4">
                  <c:v>270.14</c:v>
                </c:pt>
                <c:pt idx="5">
                  <c:v>197.27</c:v>
                </c:pt>
                <c:pt idx="6">
                  <c:v>332.86</c:v>
                </c:pt>
                <c:pt idx="7">
                  <c:v>288.29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(185,00 – 320,48)</c:v>
                </c:pt>
                <c:pt idx="1">
                  <c:v>Precio objetivo de los analistas (212,00 – 340,00)</c:v>
                </c:pt>
                <c:pt idx="2">
                  <c:v>Comparables: PER NTM (447,25 – 503,90)</c:v>
                </c:pt>
                <c:pt idx="3">
                  <c:v>Transacciones precedentes (EV/EBITDA) (323,10 – 664,50)</c:v>
                </c:pt>
                <c:pt idx="4">
                  <c:v>DCF (WACC y g ± 0,5) (270,14 – 352,40)</c:v>
                </c:pt>
                <c:pt idx="5">
                  <c:v>Escenarios (bajista – alcista) (197,27 – 345,37)</c:v>
                </c:pt>
                <c:pt idx="6">
                  <c:v>DCF con la prima implícita del mercado (4,2 %)</c:v>
                </c:pt>
                <c:pt idx="7">
                  <c:v>Precio actual (289,74)</c:v>
                </c:pt>
              </c:strCache>
            </c:strRef>
          </c:cat>
          <c:val>
            <c:numRef>
              <c:f>Hoja1!$C$2:$C$9</c:f>
              <c:numCache>
                <c:formatCode>#,##0</c:formatCode>
                <c:ptCount val="8"/>
                <c:pt idx="0">
                  <c:v>135.48000000000002</c:v>
                </c:pt>
                <c:pt idx="1">
                  <c:v>128</c:v>
                </c:pt>
                <c:pt idx="2">
                  <c:v>56.64999999999998</c:v>
                </c:pt>
                <c:pt idx="3">
                  <c:v>341.4</c:v>
                </c:pt>
                <c:pt idx="4">
                  <c:v>82.25999999999999</c:v>
                </c:pt>
                <c:pt idx="5">
                  <c:v>148.1</c:v>
                </c:pt>
                <c:pt idx="6">
                  <c:v>66.43</c:v>
                </c:pt>
                <c:pt idx="7">
                  <c:v>2.8999999999999773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