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Danaher Corporation</w:t>
      </w:r>
    </w:p>
    <w:p>
      <w:pPr>
        <w:spacing w:after="60"/>
        <w:rPr>
          <w:color w:val="52514E"/>
          <w:sz w:val="22"/>
          <w:szCs w:val="22"/>
        </w:rPr>
      </w:pPr>
      <w:r>
        <w:rPr>
          <w:color w:val="52514E"/>
          <w:sz w:val="22"/>
          <w:szCs w:val="22"/>
        </w:rPr>
        <w:t xml:space="preserve">DHR · NYSE · ISIN US2358511028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26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230,50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266,39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+16,2 % (base +19,9 %)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178,34 USD · mercado 197,29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163.079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20,6x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Danaher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DHR / US2358511028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Herramientas de ciencias de la vida y diagnóstico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Washington D. C. · 1969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www.danaher.com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230,50 (23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160,93 – 242,80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163.079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185.365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914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ene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266,39 USD</w:t>
      </w:r>
      <w:r>
        <w:t xml:space="preserve"> frente a 230,50 · Rentabilidad a 12 meses </w:t>
      </w:r>
      <w:r>
        <w:rPr>
          <w:b/>
          <w:bCs/>
        </w:rPr>
        <w:t xml:space="preserve">+16,2 % (base +19,9 %)</w:t>
      </w:r>
      <w:r>
        <w:t xml:space="preserve"> · Valor intrínseco 178,34 USD · con la prima implícita del mercado: 197,29 (-14,4 %) · Alcista / bajista -33,3 % / -54,1 %</w:t>
      </w:r>
    </w:p>
    <w:p>
      <w:pPr>
        <w:spacing w:after="100"/>
      </w:pPr>
      <w:r>
        <w:rPr>
          <w:b/>
        </w:rPr>
        <w:t xml:space="preserve">La recomendación y por qué.</w:t>
      </w:r>
      <w:r>
        <w:t xml:space="preserve"> Mantener, con convicción media. El objetivo a 12 meses es de 266,39 USD (+16,2 % ponderado con dividendo; +19,9 % el base), sobre un cierre de 230,50 USD del 23-oct-2026, pero el valor intrínseco (178,34) queda un 22,6 % por debajo del precio, y la regla pide las dos cosas para comprar. El objetivo medio de los analistas (242,91) queda dentro de nuestro rango a 12 meses (200,45-315,29) [42]. A 12 meses la asimetría es favorable (2,8 veces), pero el bajista pierde un 12,4 % y el DCF da 137,49. La convicción es media porque las dos reglas de valor coinciden y la de 12 meses está a más de 3 puntos de sus umbrales. La subiría una caída del precio hacia 178 USD; la bajaría una guía de 2027 por debajo de 9 USD de BPA ajustado.</w:t>
      </w:r>
    </w:p>
    <w:p>
      <w:pPr>
        <w:spacing w:after="100"/>
      </w:pPr>
      <w:r>
        <w:rPr>
          <w:b/>
        </w:rPr>
        <w:t xml:space="preserve">Qué cambió desde el informe del 14-oct.</w:t>
      </w:r>
      <w:r>
        <w:t xml:space="preserve"> Antes salía Mantener con un +18,7 % ponderado y un +13,9 % base a 229,04 USD. El 3T26 (21-oct) superó al consenso (BPA ajustado 2,11 frente a 1,92) y subió la guía de 2026 a 8,57-8,62 [3, 43]. Rehicimos las cuentas desde el XBRL y los 10-K (antes eran estimaciones) y el precio es ahora un cierre real, no uno implícito. La historia del PER tiene cuatro años y bajamos la tasa libre al 5,00 % [59]. El circulante pasó del 15 % al 18,5 %, su nivel real. El valor intrínseco sube de 150,84 a 178,34 por los comparables y el WACC (8,94 % frente a 9,20 %). El ponderado a 12 meses baja porque el bajista pasa a 22,1 veces; el base sube porque el PER actual parte de un precio real.</w:t>
      </w:r>
    </w:p>
    <w:p>
      <w:pPr>
        <w:spacing w:after="100"/>
      </w:pPr>
      <w:r>
        <w:rPr>
          <w:b/>
        </w:rPr>
        <w:t xml:space="preserve">El negocio.</w:t>
      </w:r>
      <w:r>
        <w:t xml:space="preserve"> Es un negocio de consumibles recurrentes (≈82 % de las ventas) con un margen EBITDA del 31,7 % en los últimos 12 meses, por encima de Thermo Fisher (25,8 %) [46]. Su ROIC del 6,9 % no cubre el WACC (8,94 %) por el fondo de comercio de las compras; sin él, rinde un 19,3 %. La calidad de la empresa sostiene el crecimiento proyectado solo en parte: no pide ganar cuota (8,0 % en 2030e frente al 8,1 % de hoy), pero depende de que el bioprocesado se recupere tras tres años con las ventas planas.</w:t>
      </w:r>
    </w:p>
    <w:p>
      <w:pPr>
        <w:spacing w:after="100"/>
      </w:pPr>
      <w:r>
        <w:rPr>
          <w:b/>
        </w:rPr>
        <w:t xml:space="preserve">Finanzas.</w:t>
      </w:r>
      <w:r>
        <w:t xml:space="preserve"> La deuda neta ajustada es de 22.279 M USD (2,7 veces el EBITDA) tras Masimo y StatLab [2]. El FCF de los últimos 12 meses es de 5.727 M (3,5 % sobre la capitalización). La calidad contable es buena (Beneish −2,56), con 562 M de cargos no recurrentes en 2025.</w:t>
      </w:r>
    </w:p>
    <w:p>
      <w:pPr>
        <w:spacing w:after="100"/>
      </w:pPr>
      <w:r>
        <w:rPr>
          <w:b/>
        </w:rPr>
        <w:t xml:space="preserve">Valoración.</w:t>
      </w:r>
      <w:r>
        <w:t xml:space="preserve"> El DCF da 137,49 USD y los comparables 236-242 (PER adelantado de 25,2 veces frente a 26,4 de mediana). El DCF inverso pide un crecimiento del 14,2 % anual frente a nuestro 5,1 %: el precio supone una rentabilidad del 6,8 %, por debajo del WACC y del 8,0 % que pide el mercado a su beta. Nuestro BPA de 2028e (9,96) está un 2,7 % por debajo del consenso (10,24) [43]. La discrepancia con el mercado es el múltiplo, no las cifras.</w:t>
      </w:r>
    </w:p>
    <w:p>
      <w:pPr>
        <w:spacing w:after="100"/>
      </w:pPr>
      <w:r>
        <w:rPr>
          <w:b/>
        </w:rPr>
        <w:t xml:space="preserve">Riesgos y catalizadores.</w:t>
      </w:r>
      <w:r>
        <w:t xml:space="preserve"> Pesan un nuevo frenazo del bioprocesado (−20 % en valor) y una bajada del PER del sector con el bono al 5 % (de 27,6 a 22 veces, −20 %). Los resultados del 4T26 (finales de enero) traen la guía de 2027, y el Supremo decidirá sobre el pleito de Masimo con Apple (≈1,1 USD por acción). El particular está dividido y no eufórico pese al +30 % desde julio [57, 58].</w:t>
      </w:r>
    </w:p>
    <w:p>
      <w:pPr>
        <w:spacing w:after="100"/>
      </w:pPr>
      <w:r>
        <w:rPr>
          <w:b/>
        </w:rPr>
        <w:t xml:space="preserve">Qué cambiaría la decisión.</w:t>
      </w:r>
      <w:r>
        <w:t xml:space="preserve"> Compraríamos por debajo de 178,34 USD y venderíamos por encima de 297,67. También, una guía de 2027 con BPA de 9,50 o más y crecimiento básico de al menos el 5 % (subir) o pedidos de bioprocesado por debajo de las ventas dos trimestres seguidos (bajar).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266,39 USD</w:t>
      </w:r>
      <w:r>
        <w:t xml:space="preserve"> (rentabilidad +16,2 % (base +19,9 %)) · Valor intrínseco: 178,34 USD (-22,6 % sobre 230,50) · con la prima implícita del mercado: 197,29 (-14,4 %)</w:t>
      </w:r>
    </w:p>
    <w:p>
      <w:pPr>
        <w:spacing w:after="100"/>
      </w:pPr>
      <w:r>
        <w:t xml:space="preserve">Danaher es el mayor proveedor de consumibles para fabricar fármacos biológicos (Cytiva y Pall) y un líder en diagnóstico molecular rápido (Cepheid), con un 82 % de ventas recurrentes y un margen EBITDA del 31,7 % [1]. Tras tres años con las ventas planas por la resaca de la covid, el bioprocesado vuelve a crecer (pedidos al alza a mitad de decena) y la guía de 2026 sube a 8,57-8,62 USD de BPA ajustado [3, 16].</w:t>
      </w:r>
    </w:p>
    <w:p>
      <w:pPr>
        <w:spacing w:after="100"/>
      </w:pPr>
      <w:r>
        <w:t xml:space="preserve">A 230,50 USD, el precio descuenta un crecimiento anual del 14,2 % (DCF inverso) o, visto de otro modo, una rentabilidad del 6,8 % anual, por debajo del WACC (8,94 %). Por múltiplos, cotiza en la mediana de su sector (25,2 veces el BPA adelantado) y 5 puntos por debajo de su mediana adelantada de 2022-2025 (30,2 veces).</w:t>
      </w:r>
    </w:p>
    <w:p>
      <w:pPr>
        <w:spacing w:after="100"/>
      </w:pPr>
      <w:r>
        <w:t xml:space="preserve">El mercado acierta al pagar más por Danaher que su DCF si el sector conserva su múltiplo. En ese caso, el beneficio crece un 8,5 % anual hasta 2028 y la acción podría llegar a 266-275 USD en un año. Para invertir hay que creer que el múltiplo del sector aguanta con el bono al 5 % y que el bioprocesado no repite el ciclo de 2023. No vemos margen de seguridad sobre el valor del negocio.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266,39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 × 9,07 = 200,45 · 27,6x × 9,96 = 274,90 · 30,2x × 10,44 = 315,29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 / 19,9 %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242,91 (nuestro base +13,2 %)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178,34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-33,3 % / -54,1 %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 frente a 8,9 % y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197,29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 frente a 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(5,4 %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178,34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178,34 y 297,67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297,67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178,34 USD (valor intrínseco): pasaríamos a Comprar si se mantiene el base a 12 meses.</w:t>
      </w:r>
    </w:p>
    <w:p>
      <w:pPr>
        <w:pStyle w:val="ListParagraph"/>
        <w:numPr>
          <w:ilvl w:val="0"/>
          <w:numId w:val="2"/>
        </w:numPr>
        <w:spacing w:after="60"/>
      </w:pPr>
      <w:r>
        <w:t xml:space="preserve">Precio por encima de 297,67 USD: pasaríamos a Vender.</w:t>
      </w:r>
    </w:p>
    <w:p>
      <w:pPr>
        <w:pStyle w:val="ListParagraph"/>
        <w:numPr>
          <w:ilvl w:val="0"/>
          <w:numId w:val="2"/>
        </w:numPr>
        <w:spacing w:after="60"/>
      </w:pPr>
      <w:r>
        <w:t xml:space="preserve">Guía de BPA ajustado de 2027 por debajo de 9,00 USD en enero: revisaríamos a la baja el base a 12 meses.</w:t>
      </w:r>
    </w:p>
    <w:p>
      <w:pPr>
        <w:pStyle w:val="ListParagraph"/>
        <w:numPr>
          <w:ilvl w:val="0"/>
          <w:numId w:val="2"/>
        </w:numPr>
        <w:spacing w:after="60"/>
      </w:pPr>
      <w:r>
        <w:t xml:space="preserve">Pedidos de bioprocesado por debajo de las ventas dos trimestres seguidos: pasaríamos al escenario bajista.</w:t>
      </w:r>
    </w:p>
    <w:p>
      <w:pPr>
        <w:pStyle w:val="ListParagraph"/>
        <w:numPr>
          <w:ilvl w:val="0"/>
          <w:numId w:val="2"/>
        </w:numPr>
        <w:spacing w:after="60"/>
      </w:pPr>
      <w:r>
        <w:t xml:space="preserve">Una compra de más de 10.000 M USD a más de 25 veces el EBITDA: rebajaríamos el valor intrínseco.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recuperación del bioprocesado y Masimo devuelven a Danaher a un crecimiento de BPA cercano al 10 % anual (consenso 9,30 en 2027 y 10,24 en 2028) y que merece un PER de 25 veces, en línea con el sector. Los analistas suben objetivos hasta 243-244 USD [40, 42].</w:t>
      </w:r>
    </w:p>
    <w:p>
      <w:pPr>
        <w:keepNext/>
        <w:spacing w:after="100"/>
      </w:pPr>
      <w:r>
        <w:rPr>
          <w:b/>
          <w:bCs/>
        </w:rPr>
        <w:t xml:space="preserve">Lo que creemos nosotros.</w:t>
      </w:r>
    </w:p>
    <w:p>
      <w:pPr>
        <w:spacing w:after="100"/>
      </w:pPr>
      <w:r>
        <w:t xml:space="preserve">Coincidimos en las cifras: nuestro BPA está un 2-3 % por debajo del consenso. Discrepamos en lo que vale ese beneficio: con un ROIC del 6,9 % y un bono al 5 %, el negocio vale 137-178 USD por acción, no 230. A 12 meses, si el múltiplo aguanta, la acción puede subir un 16 %.</w:t>
      </w:r>
    </w:p>
    <w:p>
      <w:pPr>
        <w:keepNext/>
        <w:spacing w:after="100"/>
      </w:pPr>
      <w:r>
        <w:rPr>
          <w:b/>
          <w:bCs/>
        </w:rPr>
        <w:t xml:space="preserve">Por qué podemos tener razón.</w:t>
      </w:r>
    </w:p>
    <w:p>
      <w:pPr>
        <w:spacing w:after="100"/>
      </w:pPr>
      <w:r>
        <w:t xml:space="preserve">El precio implica una rentabilidad del 6,8 % anual, menos de lo que pide el mercado a su beta (8,0 %). Esa diferencia se mantiene mientras el sector cotice a 25-30 veces; no hay un catalizador con fecha que la cierre, ni a favor ni en contra.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30,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El bioprocesado vuelve</w:t>
      </w:r>
      <w:r>
        <w:t xml:space="preserve">: pedidos al alza a mitad de decena y +5,5 % de crecimiento básico sin respiratorio en el 3T26.</w:t>
      </w:r>
    </w:p>
    <w:p>
      <w:pPr>
        <w:pStyle w:val="ListParagraph"/>
        <w:numPr>
          <w:ilvl w:val="0"/>
          <w:numId w:val="2"/>
        </w:numPr>
        <w:spacing w:after="60"/>
      </w:pPr>
      <w:r>
        <w:rPr>
          <w:b/>
        </w:rPr>
        <w:t xml:space="preserve">La guía sube</w:t>
      </w:r>
      <w:r>
        <w:t xml:space="preserve">: BPA ajustado de 2026 de 8,57-8,62, tres subidas en el año.</w:t>
      </w:r>
    </w:p>
    <w:p>
      <w:pPr>
        <w:pStyle w:val="ListParagraph"/>
        <w:numPr>
          <w:ilvl w:val="0"/>
          <w:numId w:val="2"/>
        </w:numPr>
        <w:spacing w:after="60"/>
      </w:pPr>
      <w:r>
        <w:rPr>
          <w:b/>
        </w:rPr>
        <w:t xml:space="preserve">Margen líder</w:t>
      </w:r>
      <w:r>
        <w:t xml:space="preserve">: EBITDA del 31,7 %, 6 puntos más que Thermo Fisher.</w:t>
      </w:r>
    </w:p>
    <w:p>
      <w:pPr>
        <w:pStyle w:val="ListParagraph"/>
        <w:numPr>
          <w:ilvl w:val="0"/>
          <w:numId w:val="2"/>
        </w:numPr>
        <w:spacing w:after="60"/>
      </w:pPr>
      <w:r>
        <w:rPr>
          <w:b/>
        </w:rPr>
        <w:t xml:space="preserve">Múltiplo por debajo de su historia</w:t>
      </w:r>
      <w:r>
        <w:t xml:space="preserve">: 25,3 veces el BPA de 2027e frente a 30,2 de mediana.</w:t>
      </w:r>
    </w:p>
    <w:p>
      <w:pPr>
        <w:pStyle w:val="ListParagraph"/>
        <w:numPr>
          <w:ilvl w:val="0"/>
          <w:numId w:val="2"/>
        </w:numPr>
        <w:spacing w:after="60"/>
      </w:pPr>
      <w:r>
        <w:rPr>
          <w:b/>
        </w:rPr>
        <w:t xml:space="preserve">Opción gratuita</w:t>
      </w:r>
      <w:r>
        <w:t xml:space="preserve">: el pleito de Masimo con Apple (≈800 M, ≈1,1 USD por acción) no está en el valor.</w:t>
      </w:r>
    </w:p>
    <w:p>
      <w:pPr>
        <w:pStyle w:val="Heading2"/>
      </w:pPr>
      <w:r>
        <w:t xml:space="preserve">En contra</w:t>
      </w:r>
    </w:p>
    <w:p>
      <w:pPr>
        <w:pStyle w:val="ListParagraph"/>
        <w:numPr>
          <w:ilvl w:val="0"/>
          <w:numId w:val="2"/>
        </w:numPr>
        <w:spacing w:after="60"/>
      </w:pPr>
      <w:r>
        <w:rPr>
          <w:b/>
        </w:rPr>
        <w:t xml:space="preserve">El ROIC no cubre el WACC</w:t>
      </w:r>
      <w:r>
        <w:t xml:space="preserve">: 6,9 % frente a 8,94 %.</w:t>
      </w:r>
    </w:p>
    <w:p>
      <w:pPr>
        <w:pStyle w:val="ListParagraph"/>
        <w:numPr>
          <w:ilvl w:val="0"/>
          <w:numId w:val="2"/>
        </w:numPr>
        <w:spacing w:after="60"/>
      </w:pPr>
      <w:r>
        <w:rPr>
          <w:b/>
        </w:rPr>
        <w:t xml:space="preserve">El DCF queda muy lejos</w:t>
      </w:r>
      <w:r>
        <w:t xml:space="preserve">: 137,49 USD, un 40,4 % por debajo del precio.</w:t>
      </w:r>
    </w:p>
    <w:p>
      <w:pPr>
        <w:pStyle w:val="ListParagraph"/>
        <w:numPr>
          <w:ilvl w:val="0"/>
          <w:numId w:val="2"/>
        </w:numPr>
        <w:spacing w:after="60"/>
      </w:pPr>
      <w:r>
        <w:rPr>
          <w:b/>
        </w:rPr>
        <w:t xml:space="preserve">Crecimiento básico bajo</w:t>
      </w:r>
      <w:r>
        <w:t xml:space="preserve">: ≈2,5 % en 2026 por el respiratorio y China.</w:t>
      </w:r>
    </w:p>
    <w:p>
      <w:pPr>
        <w:pStyle w:val="ListParagraph"/>
        <w:numPr>
          <w:ilvl w:val="0"/>
          <w:numId w:val="2"/>
        </w:numPr>
        <w:spacing w:after="60"/>
      </w:pPr>
      <w:r>
        <w:rPr>
          <w:b/>
        </w:rPr>
        <w:t xml:space="preserve">Más deuda</w:t>
      </w:r>
      <w:r>
        <w:t xml:space="preserve">: 2,7 veces el EBITDA tras Masimo (1,8 veces en 2025).</w:t>
      </w:r>
    </w:p>
    <w:p>
      <w:pPr>
        <w:pStyle w:val="ListParagraph"/>
        <w:numPr>
          <w:ilvl w:val="0"/>
          <w:numId w:val="2"/>
        </w:numPr>
        <w:spacing w:after="60"/>
      </w:pPr>
      <w:r>
        <w:rPr>
          <w:b/>
        </w:rPr>
        <w:t xml:space="preserve">Ventas de los fundadores</w:t>
      </w:r>
      <w:r>
        <w:t xml:space="preserve">: 234,6 M USD en 2025 y ninguna compra de directivos en un año.</w:t>
      </w:r>
    </w:p>
    <w:p>
      <w:pPr>
        <w:pStyle w:val="Heading2"/>
      </w:pPr>
      <w:r>
        <w:t xml:space="preserve">Qué tiene que pasar para que la tesis funcione</w:t>
      </w:r>
    </w:p>
    <w:p>
      <w:pPr>
        <w:spacing w:after="100"/>
      </w:pPr>
      <w:r>
        <w:t xml:space="preserve">La tesis a 12 meses depende de que los pedidos de bioprocesado sigan por encima de las ventas y de que la guía de 2027 confirme un crecimiento básico del 4-5 % sin respiratorio con un BPA ajustado de unos 9,10-9,30 USD. Si los pedidos caen por debajo de las ventas, o si la guía de enero se queda por debajo de 9 USD, el escenario bajista (200,45) pasa a ser el central.</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básico sin respiratorio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crecimiento de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Pedidos/ventas de bioprocesado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 1</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1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el ciclo de Cytiva y Pall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guiado para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guía (consenso 9,30)</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9,00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objetivo a 12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 3,0x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para recompras y 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adelantado del sector (mediana)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 22x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objetivo depende del múltiplo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22,8x / 20,6x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38,2x / 25,2x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 · 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Danaher nace en 1984, cuando los hermanos Steven y Mitchell Rales, que siguen presidiendo el consejo y su comisión ejecutiva, convierten un vehículo inversor en un comprador industrial guiado por el Danaher Business System (DBS), su método de mejora continua [1]. Durante dos décadas fue un conglomerado de herramientas, instrumentos y control; desde 2004 giró hacia la salud con Radiometer, Leica, Beckman Coulter (2011), Pall (2015), Cepheid (2016), Cytiva (2020), Aldevron (2021) y Abcam (2023) [1]. Para centrarse en ciencias de la vida y diagnóstico escindió Fortive (2016), Envista (2019) y Veralto (2023) [11]. La pandemia disparó las ventas de pruebas y de bioprocesado en 2020-2022; 2023-2024 fueron de ajuste. En 2026 compró Masimo (9.844 M) y StatLab, y el 1-oct-2026 Julie Sawyer Montgomery sustituyó a Rainer Blair como consejera delegada [2,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hermanos Rales fundan Danaher como comprador industrial; nace el Danaher Business System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Radiometer: entrada en diagnóstico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Beckman Coulter (diagnóstico y ciencias de la vida)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Pall: origen del segmento de Biotecnología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Cepheid y escisión de Fortive (negocios industriales)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Cytiva (biofarma de GE, ≈21.000 M): líder del bioprocesado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Veralto (agua y calidad) y compra de Abcam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Masimo (9.844 M) y StatLab (≈1.400 M); Julie Sawyer Montgomery, consejera delegada desde el 1-oct [2, 32].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Danaher fabrica y vende instrumentos, consumibles, software y servicios para la investigación biológica, la fabricación de medicamentos biológicos y el diagnóstico clínico, en tres segmentos [1]. Biotecnología (30 % de las ventas de 2025) es sobre todo bioprocesado: Cytiva y Pall venden medios de cultivo, resinas de cromatografía, biorreactores y bolsas de un solo uso y filtros a farmacéuticas, biotecnológicas y fabricantes por encargo. Ciencias de la vida (30 %) agrupa espectrometría de masas (SCIEX), citometría, microscopía (Leica), automatización de laboratorio, reactivos de genómica (IDT, Aldevron), anticuerpos (Abcam) y filtración industrial (Pall). Diagnóstico (40 %) incluye analizadores clínicos y reactivos de Beckman Coulter, diagnóstico molecular de Cepheid (GeneXpert), gasometría de Radiometer, patología de Leica Biosystems y, desde 2026, la monitorización de pacientes de Masimo [1, 2]. Vende sobre todo de forma directa, con 60.000 empleados; EE. UU. pesa el 41 % y China el 11 % [1].</w:t>
      </w:r>
    </w:p>
    <w:p>
      <w:pPr>
        <w:pStyle w:val="Heading2"/>
      </w:pPr>
      <w:r>
        <w:t xml:space="preserve">Cómo gana dinero</w:t>
      </w:r>
    </w:p>
    <w:p>
      <w:pPr>
        <w:spacing w:after="100"/>
      </w:pPr>
      <w:r>
        <w:t xml:space="preserve">El 82 % de los ingresos de 2025 es recurrente: consumibles que el cliente compra de nuevo con cada lote o cada prueba, servicio y alquiler de equipos (20.127 M de 24.568 M) [1]. El modelo es de «cuchilla y hoja»: el instrumento o el proceso validado ante la FDA ata los reactivos y consumibles durante años. El margen depende sobre todo del volumen de consumibles de bioprocesado y de diagnóstico (alto margen) frente a equipos (cíclicos) y del precio, que en 2026 resta un 0,5 % [2]. El apalancamiento operativo es alto: en el 3T26, +3 % orgánico dio +110 pb de margen ajustado (29 %) [16]. Hay estacionalidad en Cepheid (pruebas respiratorias en invierno: ≈1.900 M en 2025, ≈1.500 M en 2026) y en el cierre de año de equipos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Biotecnología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Ciencias de la vida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Biotecnología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Ciencias de la vida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base está muy repartida: ningún cliente es material y los ingresos de administraciones son una parte menor [1]. En bioprocesado los clientes son las farmacéuticas y biotecnológicas que fabrican anticuerpos, vacunas y terapias génicas; una vez validado el proceso de un medicamento, cambiar de resina o de filtro exige revalidar ante el regulador, lo que da contratos de facto de la vida del producto [22]. En 2023-2024 esos clientes redujeron existencias y el orgánico de Biotecnología cayó; en 2026 los pedidos de bioprocesado suben en torno al 15 % [16]. En diagnóstico, los hospitales y laboratorios compran reactivos ligados a la base instalada de analizadores (Beckman DxI, GeneXpert). El poder de precios es limitado en el ciclo actual: el precio restó un 0,5 % a las ventas de 2026 y en Biotecnología no aportó en el 3T26, frente a +1 % en 9M26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 (core)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(2025); +3,0 %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pt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respiratorias, +5,5 % en el 3T26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81,9 % (2025); 82,4 %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Consumibles, servicio y alquileres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pruebas respiratorias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 M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M (2026e, guía)</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que la dirección da también para 2027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bioprocesado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interanual en el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Liderados por consumibles de cultivo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mercados emergentes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 (2025); 31 %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pt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10,7 % de las ventas de 2025 (11,7 % en 2024)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Obligaciones de desempeño pendientes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≈7.400 M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41 % se reconocerá en 12 meses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herramientas de ciencias de la vida (instrumentos, reactivos y consumibles de investigación y de bioproducción) más diagnóstico in vitro, a escala mundial, que es donde Danaher vende el 100 % de sus ventas [1]. Se suman dos estudios: IMARC estima las herramientas de ciencias de la vida en 176.300 M USD en 2025 y Grand View en 184.300 M; para diagnóstico in vitro, Coherent Market Insights da 126.730 M en 2025 [19, 20, 21]. Usamos IMARC (la cifra más prudente) más Coherent: ≈303.000 M USD en 2025; los años 2026e-2030e de la serie son estimación propia con las TCAC de los dos estudios (6,7 % y 6,5 %). El bioprocesado, el submercado que más pesa en el beneficio de Danaher, ronda los 26.500 M EUR (estimación de la ficha sectorial)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303.000 M USD en 2025 (176.300 M de herramientas de ciencias de la vida, IMARC, más 126.730 M de diagnóstico in vitro, Coherent) [19,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medicamentos biológicos (anticuerpos, GLP-1, ADC, terapias génicas)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bioprocesado de Danaher +≈15 % en el 3T26; la dirección ve el bioprocesado como un negocio de crecimiento de un dígito alto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existencias y de capacidad de los clientes de bioprocesado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Biotecnología cayó de 8.758 M (2022) a 6.759 M (2024) y volvió a 7.293 M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pública y académica de la investigación (NIH) y de biotecnológicas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académica y pública «moderada» en el 3T26 aunque mejora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Pruebas respiratorias (gripe, covid, VRS)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≈1.900 M en 2025 y ≈1.500 M en 2026: restan 2,5 puntos al orgánico del 3T26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Relocalización de la producción farmacéutica en EE. UU. y aranceles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Oportunidad de hasta 1.000 M para Danaher, sobre todo desde 2028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compras públicas por volumen y competencia local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bajó del 13,2 % de las ventas en 2023 (3.143 M) al 10,7 % en 2025 (2.631 M)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grandes (Thermo Fisher, Danaher, Merck, Roche, Siemens Healthineers) con catálogos que se solapan solo en parte; la competencia es por innovación y servicio más que por precio, aunque el precio restó un 0,5 % en 2026 [1,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farmacéuticas y grupos de compras hospitalarios negocian volumen; China aplica compras por volumen en diagnóstico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y componentes muy repartidos; ningún proveedor crítico declarado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Validación regulatoria (FDA, EMA, IVDR) y base instalada; los fabricantes chinos entran por precio en su mercado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Proceso continuo e intensificado en bioproducción y pruebas en el punto de atención cambian la mezcla, no eliminan los consumibles [22].</w:t>
            </w:r>
          </w:p>
        </w:tc>
      </w:tr>
    </w:tbl>
    <w:p>
      <w:pPr>
        <w:spacing w:after="160" w:before="0"/>
      </w:pPr>
    </w:p>
    <w:p>
      <w:pPr>
        <w:pStyle w:val="Heading2"/>
      </w:pPr>
      <w:r>
        <w:t xml:space="preserve">Ciclo</w:t>
      </w:r>
    </w:p>
    <w:p>
      <w:pPr>
        <w:spacing w:after="100"/>
      </w:pPr>
      <w:r>
        <w:t xml:space="preserve">Los indicadores son el orgánico de consumibles y los pedidos de equipos: en 2026 los consumibles de bioprocesado crecen a un dígito medio-alto y los pedidos suben, pero los equipos y la demanda académica siguen débiles [2, 16]. En 2008-09 el sector apenas cayó (consumibles ligados a medicamentos aprobados) [22]. En 2020-2022 vivió un auge con las pruebas y vacunas de covid (Danaher pasó de 17.911 M a 26.643 M de ventas) y en 2023 un desestocaje profundo (orgánico de Biotecnología fuertemente negativo); 2024 fue plano y la recuperación empezó en 2025 [1, 11].</w:t>
      </w:r>
    </w:p>
    <w:p>
      <w:pPr>
        <w:pStyle w:val="Heading2"/>
      </w:pPr>
      <w:r>
        <w:t xml:space="preserve">Regulación</w:t>
      </w:r>
    </w:p>
    <w:p>
      <w:pPr>
        <w:spacing w:after="100"/>
      </w:pPr>
      <w:r>
        <w:t xml:space="preserve">Los dispositivos de diagnóstico necesitan autorización (FDA 510(k) o PMA en EE. UU.; IVDR en la UE, con plazos de transición hasta 2027-2029) y los procesos de bioproducción se validan dentro del expediente del medicamento, lo que crea costes de cambio [1]. En EE. UU., el Tribunal Supremo anuló en febrero de 2026 los aranceles IEEPA; Danaher devuelve parte de lo recuperado a clientes (−1 punto de ventas en el 3T26) y la administración aplicó aranceles nuevos con otra base legal [2]. La BIOSECURE Act limita a proveedores biotecnológicos chinos y favorece a los occidentales [22]. China aplica compras públicas por volumen en diagnóstico.</w:t>
      </w:r>
    </w:p>
    <w:p>
      <w:pPr>
        <w:pStyle w:val="Heading2"/>
      </w:pPr>
      <w:r>
        <w:t xml:space="preserve">Tendencias y disrupción</w:t>
      </w:r>
    </w:p>
    <w:p>
      <w:pPr>
        <w:spacing w:after="100"/>
      </w:pPr>
      <w:r>
        <w:t xml:space="preserve">La automatización y la IA en el laboratorio (Danaher citó un laboratorio autónomo en Abcam y acuerdos con NVIDIA) aumentan el valor de los datos y del software asociados a los instrumentos [16]. En bioproducción, los biológicos nuevos (GLP-1, ADC, terapias celulares y génicas) y la relocalización en EE. UU. sostienen el volumen, mientras que el proceso continuo puede cambiar la mezcla de consumibles [22]. En diagnóstico, el molecular descentralizado (GeneXpert) y la monitorización de pacientes (Masimo) crecen más que la química clínica. Danaher gana con la mayoría; pierde cuota en China frente a fabricantes locales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2 mundial en herramientas de ciencias de la vida y diagnóstico por ventas (24.568 M en 2025, ≈8 % de un mercado de ≈303.000 M), detrás de Thermo Fisher (44.556 M) [1, 23]. En bioprocesado es el n.º 1, con una cuota de ≈20-23 % [22].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 Scientific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TMO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44.556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Catálogo más amplio, con distribución (Fisher) y CRO (PPD); competidor directo en bioproducción, reactivos y espectrometría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Roche (división de Diagnóstico)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en diagnóstico in vitro; 13.847 M CHF de ventas en 2025; compite con Beckman y Cepheid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Healthineers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26.164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Imagen, terapia y diagnóstico de laboratorio; cifras del grupo (ejercicio a septiembre de 2025)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KGaA (Life Science)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MRK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en bioprocesado (Millipore); EBITDA del segmento 2.600 M EUR en 2025 (28,9 %)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Sartorius Stedim Biotech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Especialista de un solo uso en bioprocesado; el más expuesto al ciclo de equipos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Mettler-Toledo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MTD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Instrumentos de laboratorio y proceso; referencia de rentabilidad del sector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bioMérieux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Microbiología y diagnóstico molecular sindrómico (BioFire): rival directo de Cepheid [29].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relevantes; la base instalada de analizadores crea fidelidad, no red.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Procesos de bioproducción validados ante la FDA y analizadores con menú de reactivos: el 82 % de las ventas es recurrente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líderes (Cytiva, Pall, SCIEX, Beckman, Cepheid, Leica) y 21.052 M de intangibles; autorizaciones regulatorias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DBS: margen operativo ajustado del 29 % en el 3T26, frente al 17,4 % de margen EBIT publicado de Thermo Fisher en 2025 (bases distintas) [16,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N.º 1 en bioprocesado con ≈20-23 % de cuota y n.º 2 del sector; red de servicio mundial [6].</w:t>
            </w:r>
          </w:p>
        </w:tc>
      </w:tr>
    </w:tbl>
    <w:p>
      <w:pPr>
        <w:spacing w:after="160" w:before="0"/>
      </w:pPr>
    </w:p>
    <w:p>
      <w:pPr>
        <w:pStyle w:val="Heading2"/>
      </w:pPr>
      <w:r>
        <w:t xml:space="preserve">Amenazas</w:t>
      </w:r>
    </w:p>
    <w:p>
      <w:pPr>
        <w:spacing w:after="100"/>
      </w:pPr>
      <w:r>
        <w:t xml:space="preserve">La principal es el ciclo, no la erosión del foso: un nuevo desestocaje de los clientes de bioprocesado o recortes en la financiación académica (probabilidad media) recortarían el crecimiento como en 2023-2024 [1]. En China, las compras públicas por volumen y los fabricantes locales ya han bajado el peso del país del 13,2 % al 10,7 % de las ventas (probabilidad alta de que siga) [1]. A largo plazo, el proceso continuo en bioproducción reduce consumibles por gramo de anticuerpo, y en diagnóstico la normalización de las respiratorias resta ≈400 M en 2026 [2]. La integración de Masimo, un negocio de tecnología médica con litigios heredados, es un riesgo de ejecución [2].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spacing w:after="100"/>
      </w:pPr>
      <w:r>
        <w:t xml:space="preserve">Crecimiento anual compuesto 2021-2025: ingresos </w:t>
      </w:r>
      <w:r>
        <w:rPr>
          <w:b/>
          <w:bCs/>
        </w:rPr>
        <w:t xml:space="preserve">-0,2 %</w:t>
      </w:r>
      <w:r>
        <w:t xml:space="preserve">, EBITDA </w:t>
      </w:r>
      <w:r>
        <w:rPr>
          <w:b/>
          <w:bCs/>
        </w:rPr>
        <w:t xml:space="preserve">-3,8 %</w:t>
      </w:r>
      <w:r>
        <w:t xml:space="preserve">, BPA </w:t>
      </w:r>
      <w:r>
        <w:rPr>
          <w:b/>
          <w:bCs/>
        </w:rPr>
        <w:t xml:space="preserve">-8,8 %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de operaciones continuadas pasaron de 24.802 M en 2021 a 26.643 M en 2022 (pico de pruebas covid de Cepheid y de bioprocesado para vacunas) y cayeron a 23.890 M en 2023 por la normalización de pedidos y de inventarios de los clientes de bioprocesado; 2024 quedó plana (23.875 M, orgánico −1,5 %) y 2025 creció un 2,9 % (orgánico +2,0 %) [6, 10, 11]. El margen EBIT publicado bajó del 28,3 % de 2022 al 19,1 % de 2025 por la caída de volumen, la amortización de intangibles comprados (Abcam, Aldevron: 1.697 M en 2025, el 6,9 % de las ventas) y deterioros (562 M en 2025, 432 M de una marca de Ciencias de la vida) [1]. En 2026 la recuperación es lenta: orgánico +0,5 %, +3,0 % y +3,0 % en los tres primeros trimestres, frenado por las pruebas respiratorias (≈1.500 M en 2026 frente a ≈1.900 M en 2025); sin ellas, +5,5 % en el 3T26 [3]. Masimo (desde el 10-jun-2026, ≈1.500 M de ventas en 2025) y StatLab (28-sep-2026, ≈250 M) añaden ventas compradas [2].</w:t>
      </w:r>
    </w:p>
    <w:p>
      <w:pPr>
        <w:pStyle w:val="Heading2"/>
      </w:pPr>
      <w:r>
        <w:t xml:space="preserve">Ajustes y partidas no recurrentes</w:t>
      </w:r>
    </w:p>
    <w:p>
      <w:pPr>
        <w:spacing w:after="100"/>
      </w:pPr>
      <w:r>
        <w:t xml:space="preserve">La cuenta es la publicada (US GAAP, operaciones continuadas). Danaher publica además un BPA ajustado que excluye la amortización de intangibles de las compras (1.410 M antes de impuestos en 9M26), resultados de inversiones, deterioros, partidas de adquisiciones (ajuste del inventario de Masimo, 130 M en 9M26), la remuneración de las opciones especiales de 2026 y ajustes fiscales discretos (263 M de liberación de provisiones en el 3T26): 7,58 USD en 2023, 7,48 en 2024 y 7,80 en 2025, frente a 5,65, 5,29 y 5,03 publicados [3, 6, 10, 13]. Los deterioros (77 M en 2023, 265 M en 2024, 562 M en 2025) y el pago por la resolución de un contrato en 2021 (547 M) se tratan como no recurrentes dentro del EBITDA; el LTM lleva 275 M (52 M de deterioro de una planta y 209 M de partidas de Masimo) [2]. El resultado financiero de 2022 y 2025 incluye pérdidas por valor razonable de inversiones.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3T26 (21-oct), primera conferencia de Julie Sawyer Montgomery como consejera delegada, el mensaje fue de aceleración: orgánico sin respiratorias +5,5 % (100 pb más que en el 2T), pedidos de bioprocesado al alza en torno al 15 % liderados por consumibles de cultivo, Beckman Coulter con su mejor trimestre en más de dos años y Masimo creciendo a un dígito alto; margen operativo ajustado del 29 % (+110 pb) y guía de BPA ajustado subida a 8,57-8,62 USD [3, 16]. Para 2027 la dirección dio como «punto de partida» un orgánico sin respiratorias del 4-5 % y 1.500 M de respiratorias, con la guía formal en enero; la relocalización del bioprocesado en EE. UU. podría valer hasta 1.000 M, sobre todo desde 2028 [16, 18]. Las prioridades de la nueva consejera delegada pasan de reordenar la cartera a crecer en lo que ya tiene (ejecución comercial, innovación), aunque las compras siguen siendo la vía preferida de asignación de capital [16]. Frente al 2T26 (21-jul), el discurso mejoró: entonces se desplazaron algo más de 100 M de envíos de resinas de cromatografía a 2027, la guía de orgánico se anclaba al extremo bajo del 3-4 % y la acción cayó un 11 % en el día [17]. En el 2T los analistas (BofA, RBC, TD Cowen, Citi) insistieron en si los retrasos de resinas eran de pocos clientes y en las protecciones contractuales; la dirección no identificó a los clientes ni contestó sobre las penalizaciones, y tampoco dio fecha para la recuperación del gasto académico [17]. En el 3T no se dio la contribución de Masimo al BPA [18].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83.464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Escisión de Veralto (30-sep-2023): la cuenta 2021-2023 está reexpresada sin Veralto (operaciones continuadas), pero los balances de 2021-2022 lo incluyen; Abcam (5.610 M en caja) consolidada desde el 6-dic-2023: entra en balance y casi nada en la cuenta [11, 12].; 2021: Aldevron, consolidada desde agosto de 2021 (compras de 10.901 M en el año): solo unos meses en la cuenta [11].).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subió de 18.418 M a 26.482 M en nueve meses de 2026 por Masimo (9.844 M netos en caja), financiada con 3.000 M EUR y 2.383 M CHF de bonos y pagarés; la caja pasó a 5.682 M, así que la deuda neta es de 20.800 M, unas 2,6 veces el EBITDA LTM (7.848 M) [2]. El coste medio es bajo (≈1,5 % en 2025: 265 M de intereses sobre ≈17.200 M de deuda media) porque gran parte está en euros, francos y yenes a tipos del 0,2-2,5 %, aunque los intereses netos de 2026 suben a ≈305 M [1, 3]. El circulante comercial (existencias + clientes − proveedores) es el 18,4 % de las ventas en 2025 y sube con Masimo (existencias 3.134 M frente a 2.489 M) [2]. El balance de 2021-2022 incluye Veralto y no es comparable con la cuenta reexpresada.</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28.341</w:t>
      </w:r>
      <w:r>
        <w:t xml:space="preserve">, conversión </w:t>
      </w:r>
      <w:r>
        <w:rPr>
          <w:b/>
          <w:bCs/>
        </w:rPr>
        <w:t xml:space="preserve">121 %</w:t>
      </w:r>
      <w:r>
        <w:t xml:space="preserve"> del beneficio neto; adquisiciones 17.651, dividendos 4.027, recompras 9.067.</w:t>
      </w:r>
    </w:p>
    <w:p>
      <w:pPr>
        <w:spacing w:after="100"/>
      </w:pPr>
      <w:r>
        <w:t xml:space="preserve">El flujo operativo de operaciones continuadas bajó de 7.613 M en 2022 a 6.416 M en 2025, en línea con el EBITDA; la conversión del beneficio neto en caja es alta (FCF de 5.293 M en 2025, 1,47 veces el beneficio neto publicado) porque la amortización de intangibles comprados (1.697 M) no es caja [1, 6]. En 9M26 el FCF fue de 3.982 M (+13 %) [3]. El capex es el 4,7 % de las ventas en 2025, por debajo del 5,2-5,8 % de 2023-2024, cuando se amplió capacidad de bioprocesado; la depreciación es 750 M (3,1 % de las ventas), así que el capex de mantenimiento puede estimarse cerca de la depreciación y el resto, unos 400 M, es crecimiento (estimación propia) [1]. La caja se ha ido sobre todo a compras (17.651 M en 2021-2025 y 9.881 M en 9M26) y a recompras (9.067 M en 2024-2025 más 894 M en 2026) [1, 2]. En 2023, 2.600 M recibidos de Veralto antes de la escisión, netos de 427 M de caja entregada, figuran como desinversión [11].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2025; auditor desde 2002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US GAAP con auditoría de EY desde 2002 y opinión favorable; la cuestión clave de auditoría de 2025 fueron las posiciones fiscales inciertas (≈1.300 M de beneficios fiscales no reconocidos), y en el 3T26 la liberación de 263 M de esas provisiones por inspecciones cerradas dio un tipo efectivo negativo (−6,6 %) que la empresa excluye del BPA ajustado [1, 2]. El riesgo contable principal es el fondo de comercio: 47.315 M (51 % del activo) y 21.052 M de intangibles tras Masimo; en la prueba de 2025 una unidad con 10.100 M de valor contable solo tenía un 20 % de margen (10 % con un 10 % menos de valor) [1, 2]. Los deterioros se repiten: la marca de Aldevron (consumibles de genómica) perdió 222 M en 2024 y 432 M en 2025, más 130 M de otros activos en 2025 [1]. La remuneración en acciones es moderada (298 M en 2025, el 8 % del beneficio neto), pero 2026 añade ≈200 M de las opciones especiales del programa de crecimiento, que la empresa también excluye del BPA ajustado [1, 3]. La distancia entre el BPA publicado (5,03 USD en 2025) y el ajustado (7,80) es estructural: casi toda es amortización de intangibles comprados. Lectura de los indicadores del motor en la sección de texto.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repetidos de la marca de Aldevron (2024 y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654 M en dos años: la compra de 2021 (la mayor parte de los 10.901 M invertidos en compras ese año) rinde por debajo del plan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 con margen estrecho en la prueba de fondo de comercio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10.100 M de valor contable con un 20 % de holgura (10 % con valor −10 %)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excluye partidas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Amortización de compras, deterioros casi anuales, ajustes fiscales y ahora la remuneración especial de 2026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Beneficio fiscal discreto en el 3T26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263 M de provisiones fiscales liberadas: infla el BPA publicado del 3T26 (1,71 USD) [3].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64.767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64.270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64.900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64.753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64.911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43.151 M en 2025 (el 64 % del capital invertido medio); ha subido más de un 5 % en 2 de 4 años: compras pequeñas. ROIC publicado 6,9 %; sin fondo de comercio, 19,3 %.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8,9 %.</w:t>
      </w:r>
    </w:p>
    <w:p>
      <w:pPr>
        <w:spacing w:after="100"/>
      </w:pPr>
      <w:r>
        <w:t xml:space="preserve">El ROIC del 6,9 % en 2025 (6,6-6,8 % en 2023-2024) no cubre el WACC del 8,94 %: el fondo de comercio de las compras es el 64 % del capital invertido. Sin él, el negocio rinde un 19,3 %, en línea con los mejores del sector, pero el accionista pagó ese fondo de comercio. En 2021-2022 el ROIC llegó al 8,9-10,4 % con el beneficio de covid. Masimo (≈9.800 M por ≈1.500 M de ventas) baja el ROIC a corto plazo. Crear valor exige que el bioprocesado recupere márgenes de 2021 o que las compras rindan por encima del 9 %. El ROE (7,1 %) es bajo por el mismo motivo y por un apalancamiento moderado (deuda neta ajustada de 2,7 veces el EBITDA).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25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22.279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5.682 M (25-sep-2026) + línea comprometida plurianual de 5.000 M (vence ago-2028) + línea a 364 días de 5.000 M (abr-2027), ambas sin disponer; el pagaré en euros (≈4.700 M, 2,8 %) se clasifica a largo plazo porque lo respalda la línea [2]. Tras el cierre, 28-sep: StatLab, ≈1.400 M en caja; 30-sep: devolución de 800 M EUR de bonos con caja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publicado en el 10-K ni en el 10-Q (ver huecos)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planes de prestación definida congelados en EE. UU. desde 2012; déficit neto pequeño frente a la deuda (aportaciones de 50 M en 2025) [1]. Arrendamientos operativos ≈1.300 M (US GAAP: fuera de la deuda; su coste ya está en el EBITDA) [2]. Pago aplazado de una compra de Ciencias de la vida en 2026: 79 M [2]. Contingencias heredadas de Masimo: demanda colectiva de valores (Hawkins) por el bioprocesado en Danaher; en Masimo, investigación del DOJ sobre Rad-G y Rad-97 con pérdida posible de 5-40 M, litigios con su exfundador Joe Kiani (reclama 2,7 M de acciones de Masimo y 35 M en caja) y arbitraje con Willow; a favor, la sentencia contra Apple de 634 M más 184 M de intereses previos (pendiente de recurso, no contabilizada) [2]. Covenant de la línea a 364 días: apalancamiento consolidado ≤ 0,65 [2].</w:t>
      </w:r>
    </w:p>
    <w:p>
      <w:pPr>
        <w:pStyle w:val="Heading1"/>
      </w:pPr>
      <w:r>
        <w:t xml:space="preserve">12. Asignación de capital</w:t>
      </w:r>
    </w:p>
    <w:p>
      <w:pPr>
        <w:pStyle w:val="Confianza"/>
        <w:spacing w:after="100"/>
      </w:pPr>
      <w:r>
        <w:t xml:space="preserve">Confianza: Alta</w:t>
      </w:r>
    </w:p>
    <w:p>
      <w:pPr>
        <w:spacing w:after="100"/>
      </w:pPr>
      <w:r>
        <w:t xml:space="preserve">Dividendo trimestral de 0,40 USD desde 2026 (0,32 en 2025, 0,27 en 2024), con un pago del ≈19 % del BPA ajustado [1, 2]. Recompra autorizada de 35 M de acciones (sep-2025), de la que quedan 32 M; en 2026 se recompraron 5,0 M por 903 M antes de Masimo, y desde entonces nada [2]. La prioridad declarada sigue siendo comprar empresas que «compongan» estratégicamente; la nueva consejera delegada pone el acento en crecer con lo que ya tiene [16]. Tras Masimo la deuda neta está en ≈2,6 veces el EBITDA, por lo que la capacidad de compras grandes en 2027 depende de desapalancarse.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Cepheid (diagnóstico molecular); importe = compras totales de 2016 [15]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Éxito: base de las pruebas covid y respiratorias; hoy crece a dos dígitos fuera de respiratorias [16].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Cytiva (biofarma de GE)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ampliación y convertibles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Rentable en el auge covid; volvió a crecer a un dígito medio en 2025-2026 tras dos años de ajuste de inventarios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Aldevron (ADN plasmídico y ARNm); importe = compras totales de 2021 [11]</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pagarés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del plan: deterioros de su marca de 222 M en 2024 y 432 M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Abcam (anticuerpos)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Mejora en 2026 según la dirección; sin deterioros [16].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Masimo (pulsioximetría y monitorización)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en EUR y CHF, pagarés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completo con crecimiento a un dígito alto; 4.876 M de fondo de comercio [2, 16].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StatLab (consumibles preanalíticos)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28-sep-2026; ≈250 M de ventas en 2025 [2].</w:t>
            </w:r>
          </w:p>
        </w:tc>
      </w:tr>
    </w:tbl>
    <w:p>
      <w:pPr>
        <w:spacing w:after="160" w:before="0"/>
      </w:pPr>
    </w:p>
    <w:p>
      <w:pPr>
        <w:spacing w:after="100"/>
      </w:pPr>
      <w:r>
        <w:t xml:space="preserve">Danaher es un comprador en serie: 17.700 M USD en compras en 2021-2025 (Aldevron y Abcam) y, en 2026, Masimo (≈9.800 M) y StatLab (≈1.400 M), pagadas con deuda [1, 2]. Las compras han dejado un fondo de comercio y unos intangibles de 61.000 M, el 92 % del capital invertido, y un ROIC del 6,9 % que no cubre el WACC del 8,94 %; sin el fondo de comercio, el negocio rinde un 19,3 %. Entre 2024 y 2025 recompró 9.067 M USD de acciones (de 737 a 716 M de diluidas) y sube el dividendo cada año (1,28 USD en 2025; 1,52 en los últimos 12 meses) [3, 6]. La prioridad para 2027 es reducir deuda: la deuda neta ajustada es de 22.279 M, 2,7 veces el EBITDA, frente a 1,8 veces a cierre de 2025. El historial de compras es bueno en Cepheid y Cytiva, que crearon valor, pero el precio pagado por Masimo (≈6,6 veces ventas) exige sinergias que aún no se han cuantificado.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Julie Sawyer Montgomery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consejera delegada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Danaher desde 2017: presidenta de Beckman Coulter Diagnostics (2020-2022), responsable del grupo de Diagnóstico (2023-2024) y vicepresidenta ejecutiva desde julio de 2024; consejera delegada desde el 1-oct-2026 [32]. Beckman tuvo en el 3T26 su mejor trimestre de crecimiento orgánico en más de dos años.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Matthew Gugino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 como director financiero los 10-Q de 2026, en sustitución de Matthew McGrew (director financiero desde 2019) [1,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M. Rales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(cofundador,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presidente desde 1984 y consejero delegado en 1984-1990. Cobra un sueldo fijo de 419.000 USD sin variable [33].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Mitchell P. Rales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la comisión ejecutiva (cofundador)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preside la comisión ejecutiva desde 1984. Vendió ≈1,08 M de acciones (234,6 M USD) en oct-nov de 2025 [33,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Rainer M. Blair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Asesor sénior (consejero delegado hasta el 30-sep-2026)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2020 a 2026: llevó el grupo a ciencias de la vida y diagnóstico (escisión de Veralto, compras de Abcam y Masimo), con ventas planas en 2023-2024 y ajuste del bioprocesado. Sigue como asesor hasta diciembre y consultor hasta marzo de 2027 [32].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«bajada de un dígito bajo» (ene-2024)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−1,5 %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≈+3 % (ene-2025); BPA ajustado 7,60-7,75 USD (abr-2025)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+2,0 %; BPA ajustado 7,80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+3-6 % y BPA ajustado 8,35-8,50 USD (ene-2026)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actual: orgánico ≈+2,5 % y BPA 8,57-8,62 USD (oct-2026)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cumple o supera la guía de BPA (en 2025 y 2026 la subió dos y tres veces) pero no la de ventas: el orgánico de 2025 quedó en +2,0 % frente al ≈3 % y el de 2026 en ≈2,5 % frente al 3-6 % inicial, por respiratorias y retrasos de resinas [3]. 2026 trae dos relevos: director financiero (Matthew Gugino por Matthew McGrew) y consejera delegada (Julie Sawyer Montgomery por Rainer Blair, anunciado el 3-ago con dos meses de margen), ambos de dentro, lo que confirma un banquillo de sucesión profundo [2, 32]. La continuidad la garantizan los fundadores Rales, presidentes desde 1984. La nueva consejera delegada viene de Diagnóstico y prioriza la ejecución comercial y la cuota frente a nuevas compras [32].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M. Rales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Finanzas; Ciencia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Mitchell P. Rales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la comisión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(presidente); Finanzas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Julie Sawyer Montgomery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Finanzas; Ciencia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Linda Filler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(presidenta); Ciencia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Feroz Dewan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Finanzas; Nombramientos y Gobierno; Ciencia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W. Lamanna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Ciencia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Teri L. List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 Shane Sanders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Alan G. Spoon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(deja el consejo en la junta de 2027)</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Raymond C. Stevens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Ciencia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Elias A. Zerhouni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Ciencia y Tecnología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2025; auditor desde 2002</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257,89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a 31-dic-2025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a 31-dic-2023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M. Rales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presidente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Mitchell P. Rales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≈1,08 M de acciones en oct-nov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(21 personas, incluidos los Rales)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185,4 M de acciones en autocartera (888,8 M emitidas, 703,4 M en circulación) a 25-sep-2026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Mitchell P. Rales (oct-nov 2025, varias)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1.077.625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Matthew McGrew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W. Ellis (secretario general)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Georgeann Couchara (RR. HH.)</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Teri List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Gregory Milosevich</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Alan G. Spoon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Rainer M. Blair (consejero delegado saliente)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58.255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12,74</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 2025 (Blair) devengó 23,8 M USD: 1,4 M de fijo, 4,2 M de variable anual y 17,7 M en acciones y opciones; 343 veces el empleado mediano [33]. Desde 2026 el variable anual pesa un 70 % en métricas del grupo (beneficio operativo ajustado 43 %, orgánico 36 %, conversión de caja 21 %) y el largo plazo es 60 % acciones por objetivos (50 % rentabilidad total relativa frente al S&amp;P 500 Salud y 50 % BPA ajustado a tres años), 20 % opciones y 20 % acciones restringidas [33]. En agosto de 2026 se aprobó un programa especial de crecimiento: 20 M USD en opciones para la nueva consejera delegada (consolidan al 50 % a los 4 y 5 años) y opciones más 500.000 acciones restringidas para cada fundador, a las que estos renunciaron el 9-oct [32, 35]. Hay recuperación de variable sin culpa (desde 2025, también por conducta) [33]. El voto en contra de la remuneración fue del 7,0 % en 2026 (93 % a favor en 2025) [33, 34].</w:t>
      </w:r>
    </w:p>
    <w:p>
      <w:pPr>
        <w:pStyle w:val="Heading2"/>
      </w:pPr>
      <w:r>
        <w:t xml:space="preserve">Operaciones vinculadas, estructura de control y defensas</w:t>
      </w:r>
    </w:p>
    <w:p>
      <w:pPr>
        <w:spacing w:after="100"/>
      </w:pPr>
      <w:r>
        <w:t xml:space="preserve">Una acción, un voto, sin clases ni límites de voto [33]. Los cofundadores Steven y Mitchell Rales tienen el 10,7 % y ocupan desde 1984 la presidencia del consejo y de la comisión ejecutiva, como directivos ejecutivos con un sueldo fijo de 419.000 USD; en la práctica deciden la sucesión (Blair en 2020 y Sawyer Montgomery en 2026), por lo que tratamos al grupo como de control de hecho aunque no tengan mayoría [32, 33]. Contrapeso: 8 de 11 consejeros independientes y una consejera coordinadora (Linda Filler) [33]. Sin operaciones vinculadas materiales más allá de sus sueldos y gastos (uso de avión) [33]. La junta de 2026 dio apoyos bajos a algunos independientes: Sanders 73,8 %, List 77,7 %, Stevens 79,7 % y Filler 81,4 % de los votos emitidos [34].</w:t>
      </w:r>
    </w:p>
    <w:p>
      <w:pPr>
        <w:pStyle w:val="Heading2"/>
      </w:pPr>
      <w:r>
        <w:t xml:space="preserve">Señales de alerta</w:t>
      </w:r>
    </w:p>
    <w:p>
      <w:pPr>
        <w:pStyle w:val="ListParagraph"/>
        <w:numPr>
          <w:ilvl w:val="0"/>
          <w:numId w:val="2"/>
        </w:numPr>
        <w:spacing w:after="60"/>
      </w:pPr>
      <w:r>
        <w:t xml:space="preserve">Venta de 1,08 M de acciones (234,6 M USD) del cofundador Mitchell Rales en oct-nov 2025, sin plan 10b5-1 declarado; ≈3 % de su participación [36].</w:t>
      </w:r>
    </w:p>
    <w:p>
      <w:pPr>
        <w:pStyle w:val="ListParagraph"/>
        <w:numPr>
          <w:ilvl w:val="0"/>
          <w:numId w:val="2"/>
        </w:numPr>
        <w:spacing w:after="60"/>
      </w:pPr>
      <w:r>
        <w:t xml:space="preserve">Programa especial de opciones de agosto de 2026 (20 M para la consejera delegada y premios a los fundadores, a los que estos renunciaron después) con ≈200 M de coste en 2026 que se excluye del BPA ajustado [2, 32, 35].</w:t>
      </w:r>
    </w:p>
    <w:p>
      <w:pPr>
        <w:pStyle w:val="ListParagraph"/>
        <w:numPr>
          <w:ilvl w:val="0"/>
          <w:numId w:val="2"/>
        </w:numPr>
        <w:spacing w:after="60"/>
      </w:pPr>
      <w:r>
        <w:t xml:space="preserve">Apoyo bajo a varios consejeros independientes en la junta de 2026 (Sanders 73,8 %) [34].</w:t>
      </w:r>
    </w:p>
    <w:p>
      <w:pPr>
        <w:pStyle w:val="ListParagraph"/>
        <w:numPr>
          <w:ilvl w:val="0"/>
          <w:numId w:val="2"/>
        </w:numPr>
        <w:spacing w:after="60"/>
      </w:pPr>
      <w:r>
        <w:t xml:space="preserve">Relevo simultáneo de consejero delegado y director financiero en 2026 [2, 32].</w:t>
      </w:r>
    </w:p>
    <w:p>
      <w:pPr>
        <w:pStyle w:val="ListParagraph"/>
        <w:numPr>
          <w:ilvl w:val="0"/>
          <w:numId w:val="2"/>
        </w:numPr>
        <w:spacing w:after="60"/>
      </w:pPr>
      <w:r>
        <w:t xml:space="preserve">Demanda colectiva de valores (Hawkins) por las previsiones del bioprocesado de 2022-2023, admitida en parte en 2025 [2].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21-oct-2026 Danaher subió la guía de BPA ajustado de 2026 a 8,57-8,62 USD (antes 8,45-8,60) con unas 707-708 M de acciones diluidas, y mantuvo un crecimiento básico (sin divisa ni compras) de en torno al 2,5 % en el año, ≈3 % en el cuarto trimestre, con margen operativo ajustado del 4T de ≈29,5 %, amortización de intangibles de ≈1.900 M, tipo fiscal ≈17 % y un efecto divisa de +1 % [47]. Para 2027 dio un punto de partida: crecimiento básico del 4-5 % sin pruebas respiratorias, con respiratorio en ≈1.500 M, y Masimo (≈1.500 M de ventas) creciendo a un dígito alto [16]. No publica plan a medio plazo con cifras; el objetivo de largo plazo sigue siendo crecer un dígito alto en ventas básicas y doble dígito en BPA ajustado.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EBITDA, EBIT y dividendo: MarketScreener (16-oct) [44]; BPA ajustado: S&amp;P Global vía TIKR y Stock Analysis (21 y 26-oct) [40, 43]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[44]; BPA ajustado de TIKR [43]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[44]; BPA ajustado de TIKR [43]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26.352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28.485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9.994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 4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195,00 – 275,00</w:t>
            </w:r>
          </w:p>
        </w:tc>
      </w:tr>
    </w:tbl>
    <w:p>
      <w:pPr>
        <w:spacing w:after="160" w:before="0"/>
      </w:pPr>
    </w:p>
    <w:p>
      <w:pPr>
        <w:pStyle w:val="Heading2"/>
      </w:pPr>
      <w:r>
        <w:t xml:space="preserve">Revisiones de estimaciones</w:t>
      </w:r>
    </w:p>
    <w:p>
      <w:pPr>
        <w:spacing w:after="100"/>
      </w:pPr>
      <w:r>
        <w:t xml:space="preserve">El BPA ajustado de 2026 del consenso (8,51) está por debajo de la nueva guía (8,57-8,62): los proveedores gratuitos aún no lo han actualizado tras el 21-oct. En julio el consenso era 8,44 para 2026 y 9,12 para 2027 [45]; hoy es 8,51 y 9,30 [43]: subidas del 1-2 % en tres meses, por el mejor bioprocesado (pedidos al alza a mitad de decena) y la consolidación de Masimo, compensados en parte por la caída de pruebas respiratorias. Tras los resultados del 3T26, ocho bancos subieron el objetivo (UBS 260, Goldman 275, Citi 270, Barclays 260, TD Cowen 270, JPMorgan 270, Stifel 260, Baird 254) [42]. MarketScreener lleva fecha del 16-oct y BPA contable; se contrastó con MarketBeat y Stock Analysis (objetivos 242,91 y 244,14) [40, 42].</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w:t>
            </w:r>
          </w:p>
        </w:tc>
      </w:tr>
    </w:tbl>
    <w:p>
      <w:pPr>
        <w:spacing w:after="160" w:before="0"/>
      </w:pPr>
    </w:p>
    <w:p>
      <w:pPr>
        <w:spacing w:after="100"/>
      </w:pPr>
      <w:r>
        <w:t xml:space="preserve">Danaher lleva cinco años por detrás del mercado: −2,8 % anual frente a +12,2 % del S&amp;P 500 y +8,0 % del sector salud, con un máximo de diciembre de 2021 (cierre ajustado 291,68) y una caída máxima del 43 % hasta mayo de 2026 [38]. La causa es la normalización tras la covid: las pruebas de Cepheid y el bioprocesado para vacunas inflaron 2021-2022 y su retirada, más la desinversión de clientes de biotecnología en 2023-2024 y el diagnóstico débil en China, dejaron las ventas planas tres años [1, 6]. En 2026 la compra de Masimo y dos trimestres flojos llevaron la acción a 160,93 en mayo; desde julio recupera un 30 % por el bioprocesado. La beta mensual de cinco años es 0,77 (0,94 semanal). Posición corta del 1,43 % del capital flotante (Stock Analysis, no un registro oficial) [41].</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 / +17,3 % / +30,0 % / +5,7 %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 / +42,4 %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2027-01-27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mixto (21-abr): ventas por debajo de lo esperado, crecimiento básico plano por la débil campaña respiratoria de Cepheid y el diagnóstico en China, aunque con el BPA por encima y la guía subida; varios bancos recortaron objetivos y pesaba la financiación de Masimo (9.900 M). El día 22-abr cayó un 5,4 % y tocó el mínimo de 52 semanas (160,93) el 15-may [38, 51, 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2T26: más de 100 M de envíos de resinas de bioprocesado pasan a 2027 y la guía básica se ancla en la parte baja del 3-4 %; cerró en 179,01 USD [43, 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Rebote desde el mínimo posterior al 2T26: la conferencia mostró el mejor trimestre de ciencias de la vida en años (pedidos de bioprocesado al alza) y el 3-ago se anunció el relevo de CEO; el 19-ago marcó el máximo de 24 semanas (210,06) sin una noticia propia concreta [53, 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3T26 por encima: BPA ajustado 2,11 USD frente a 1,92 de consenso, ventas 6.554 M (+8,5 %, básico +3 %, +5,5 % sin respiratorio) y guía de BPA 2026 subida a 8,57-8,62 [43, 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Ocho subidas de objetivo tras los resultados (UBS 260, Goldman 275, Citi 270, Barclays 260, TD Cowen 270, JPMorgan 270, Stifel 260, Baird 254); ninguna rebaja de recomendación [42].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fundadores Steven y Mitchell Rales renuncian el 9-oct a las opciones y 500.000 acciones restringidas cada uno del programa especial de agosto (8-K del 13-oct): señal favorable de gobierno, sin efecto en el precio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la compra de StatLab (anatomía patológica) por ≈1.400 M USD en caja, después del balance del 10-Q [48].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Apple recurre al Supremo (certiorari) la condena de 634 M USD más intereses a favor de Masimo, ahora filial de Danaher; pendiente (posible cobro, no está en el valor). La demanda colectiva Hawkins (2023, previsiones de bioprocesado) está pactada y cubierta por el seguro: aprobación final en la vista de septiembre de 2026, sin efecto material [48].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consejero delegado saliente, Rainer Blair, vende acciones por 12,7 M USD (Form 4); en oct-nov 2025 Mitchell Rales vendió 234,6 M USD (≈3 % de su participación). Ninguna compra de directivos en 12 meses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2026-08-03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Relevo de CEO: Julie Sawyer Montgomery (de la casa, venía de Diagnóstico) sustituye a Rainer Blair desde el 1-oct-2026, con dos meses de transición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sube un 30 % en seis meses y un 17 % en tres, con tendencia alcista (14,6 % sobre la media de 200 sesiones), tras dos caídas fuertes ligadas a resultados (abril y julio). El 3T26 confirmó la mejora del bioprocesado y subió la guía; los bancos suben objetivos. No hay colocaciones, ampliaciones ni ventas anunciadas de los Rales; los próximos resultados, a finales de enero, quedan a más de tres meses. Se buscó en EDGAR (8-K, Form 4, 10-Q), MarketBeat, TIKR, Barchart y prensa. Ninguna noticia retrasa ni descarta: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los múltiplos de los últimos 12 meses, Danaher cotiza a 22,8x EV/EBITDA y 38,2x PER, un 7 % y un 12 % por debajo de su media de 2023-2025. 2021 y 2022 se excluyen porque el beneficio de covid los hace incomparables. La comparación correcta es el PER adelantado sobre BPA ajustado: 25,3x nuestro 2027e frente a una mediana de 30,2x en 2022-2025. El descuento tiene causa: el crecimiento básico pasó de dígito alto a 1-3 % en 2023-2026, el bono a 10 años está en el 5,00 % (por debajo del 2 % en 2021) y la compra de Masimo añadió deuda y un negocio de tecnología médica de menor margen [3, 59]. No creemos que la empresa vuelva al múltiplo de 2021 sin una vuelta al crecimiento de dígito alto.</w:t>
      </w:r>
    </w:p>
    <w:p>
      <w:pPr>
        <w:pStyle w:val="Heading1"/>
      </w:pPr>
      <w:r>
        <w:t xml:space="preserve">18. Comparables cotizados</w:t>
      </w:r>
    </w:p>
    <w:p>
      <w:pPr>
        <w:pStyle w:val="Confianza"/>
        <w:spacing w:after="100"/>
      </w:pPr>
      <w:r>
        <w:t xml:space="preserve">Confianza: Media</w:t>
      </w:r>
    </w:p>
    <w:p>
      <w:pPr>
        <w:spacing w:after="100"/>
      </w:pPr>
      <w:r>
        <w:t xml:space="preserve">Fabricantes de instrumentos, consumibles y diagnóstico de laboratorio con modelo de «cuchilla y recambio» y clientes de farma, biotecnología, clínicas y laboratorios: Thermo Fisher (el competidor más directo en bioproducción y ciencias de la vida), Agilent, Waters y Mettler-Toledo (instrumentos analíticos), Revvity y Qiagen (ciencias de la vida y diagnóstico molecular) y Abbott (diagnóstico, el rival de Cepheid y Beckman). Fuera Becton Dickinson, distorsionada por la segregación de su negocio de biociencias, y Sartorius o Roche, que cotizan en euros y francos con otra base de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Danaher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249.140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Agilent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Mettler-Toledo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Revvity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Qiagen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Abbott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179.440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2"/>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 / 23,3x / 26,2x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22,6x / 26,4x / 28,7x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262,81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Danaher cotiza en el centro del grupo: 25,2x PER de los próximos 12 meses frente a una mediana de 26,4x, y 22,8x EV/EBITDA de los últimos 12 frente a 23,3x. Tiene el mayor margen EBITDA tras Qiagen (31,7 % frente a una mediana del 30,1 %) y un crecimiento de ingresos a 12 meses del 8,9 %, inflado por Masimo; sin compras se queda en el 4-5 %, por debajo de la mediana del 5,7 %. Su ROIC (6,9 %) está por debajo de la mediana (9,1 %) por el fondo de comercio de las compras. Por PER, el grupo da 206,63-241,57-262,81 USD por acción, y 199,04-236,24-269,77 por EV/EBITDA: el precio está en la mediana. Thermo Fisher, el más parecido, cotiza a 25,0x con más crecimiento y ROIC (9,1 %), así que no vemos margen para que Danaher se revalorice frente al grupo. Usaríamos el PER adelantado, que corrige la amortización de intangibles, porque es lo que miran el mercado y el consenso.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Masimo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Danaher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180 USD por acción en efectivo; ≈1.500 M de ventas; cerrada en 2026 [48, 56].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StatLab</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Danaher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Consumibles de anatomía patológica; ≈250 M de ventas; privada [48].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Exact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Abbott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Diagnóstico molecular de cáncer; ventas de más de 3.000 M [49].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Biosciences &amp; Diagnostic Solutions de BD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Waters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canje (Reverse Morris Trust); ventas 3.400 M y EBITDA ajustado 925 M [50].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Abcam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Anticuerpos y reactivos; 24 USD por ADS [11].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167,12 – 217,34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recientes del sector se pagaron a 5,2-7,7 veces ventas: Masimo a ≈6,6x, StatLab a ≈5,6x, Exact Sciences a ≈7,7x y el negocio de BD con Waters a 5,2x ventas y 18,9x EBITDA [48, 49, 50]. Aplicadas a Danaher, dan 167,12-189,29-217,34 USD por acción, por debajo del precio: Danaher cotiza a 7,2 veces ventas, más que lo que pagan los compradores del sector. No ponderamos este método. Danaher no es candidata a ser comprada: con 163.000 M USD de capitalización y el 10,7 % en manos de los fundadores, es la que compra. Las transacciones solo sirven de referencia para juzgar Masimo: Danaher pagó un precio de mercado, sin descuento.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fijo en el +7,3 % por la guía del 21-oct: crecimiento básico de ≈2,5 % (≈3 % en el 4T), un punto de divisa y Masimo desde el segundo trimestre [3]. En 2027e (+7,5 %) se suma un crecimiento básico del 4-5 % sin respiratorio, que la dirección da como punto de partida, menos el respiratorio, que vuelve a restar, con Masimo y StatLab el año completo (≈+3,5 puntos) [16]. Desde 2028e el crecimiento es solo orgánico: 6 % y bajando hasta el 3,5 % en 2033e. Es la parte baja del mercado (6,6 % anual hasta 2030 según IMARC y Grand View) [19, 20], porque Danaher creció un −0,2 % anual en 2021-2025 sin covid y su cuota es estable. El consenso va un 0,5-1,2 % por encima en ventas [44].</w:t>
      </w:r>
    </w:p>
    <w:p>
      <w:pPr>
        <w:keepNext/>
        <w:spacing w:after="100"/>
      </w:pPr>
      <w:r>
        <w:rPr>
          <w:b/>
          <w:bCs/>
        </w:rPr>
        <w:t xml:space="preserve">Márgenes.</w:t>
      </w:r>
    </w:p>
    <w:p>
      <w:pPr>
        <w:spacing w:after="100"/>
      </w:pPr>
      <w:r>
        <w:t xml:space="preserve">El margen EBITDA contable pasa del 29,1 % de 2025 (31,4 % sin 562 M de deterioros y costes no recurrentes) al 31,0 % en 2026e, con ≈1 punto de cargos de Masimo (ajuste del inventario y programa especial de opciones), y al 32-33 % en 2027-2030e [1, 3]. La mejora sale del apalancamiento operativo del bioprocesado (margen operativo ajustado del 4T ≈29,5 %) y del ahorro de costes de 2024-2025. El techo del 33 % está por debajo de los máximos de 2021-2022 (34-36 %) y en línea con Mettler-Toledo y Waters (31 %) [46]. El consenso espera un 31,6-32,9 % en EBITDA ajustado [44].</w:t>
      </w:r>
    </w:p>
    <w:p>
      <w:pPr>
        <w:keepNext/>
        <w:spacing w:after="100"/>
      </w:pPr>
      <w:r>
        <w:rPr>
          <w:b/>
          <w:bCs/>
        </w:rPr>
        <w:t xml:space="preserve">Inversión y circulante.</w:t>
      </w:r>
    </w:p>
    <w:p>
      <w:pPr>
        <w:spacing w:after="100"/>
      </w:pPr>
      <w:r>
        <w:t xml:space="preserve">Capex del 4,6-4,8 % de las ventas, frente al 4,2-5,8 % de 2021-2025 [1]. La amortización (10,0 % en 2025) es sobre todo de intangibles de compras (1.697 M en 2025, ≈1.900 M en 2026e) y baja hasta igualar el capex en 2033e, a medida que se agotan los intangibles [3, 6]. El circulante comercial se mantiene en su nivel real del 18,5 % de las ventas (18,6 % en 2025, 17,2 % en 2024 y 19,9 % en 2023): crecer consume caja. No incluimos compras futuras, ni las que Danaher hará seguramente: el DCF valora el perímetro actual.</w:t>
      </w:r>
    </w:p>
    <w:p>
      <w:pPr>
        <w:keepNext/>
        <w:spacing w:after="100"/>
      </w:pPr>
      <w:r>
        <w:rPr>
          <w:b/>
          <w:bCs/>
        </w:rPr>
        <w:t xml:space="preserve">Coste del capital.</w:t>
      </w:r>
    </w:p>
    <w:p>
      <w:pPr>
        <w:spacing w:after="100"/>
      </w:pPr>
      <w:r>
        <w:t xml:space="preserve">Tasa libre: bono del Tesoro a 10 años al 5,00 % del 23-oct-2026 [59]. Beta 0,85: la ajustada (Blume) de la regresión mensual a cinco años frente al S&amp;P 500 (0,77 sin ajustar; 0,80-0,96 semanal) [38]. Se desapalanca con la deuda de Danaher (deuda/capitalización de mercado 16,3 %, impuesto 17 %: beta sin deuda 0,749) y se reapalanca con la misma estructura, que es la de la empresa, no la de un comparable. Prima de mercado 5,5 %, sin prima adicional: el 71 % de sus ventas está en mercados desarrollados [1]. Coste de la deuda antes de impuestos 5,3 %, el marginal de un emisor de calidad a 10 años; el coste medio contable es menor (≈1,5 %) por los bonos en euros y francos baratos. Peso de la deuda 14 %. WACC 8,94 %; con la prima implícita del mercado (4,2 %) queda en 7,99 % [60].</w:t>
      </w:r>
    </w:p>
    <w:p>
      <w:pPr>
        <w:keepNext/>
        <w:spacing w:after="100"/>
      </w:pPr>
      <w:r>
        <w:rPr>
          <w:b/>
          <w:bCs/>
        </w:rPr>
        <w:t xml:space="preserve">Valor terminal.</w:t>
      </w:r>
    </w:p>
    <w:p>
      <w:pPr>
        <w:spacing w:after="100"/>
      </w:pPr>
      <w:r>
        <w:t xml:space="preserve">Gordon al 3,0 %: crecimiento real del 0,5-1 % más una inflación esperada del dólar del 2-2,5 %, entre la inflación y la tasa libre menos medio punto (4,5 %). El mercado final crece más (6,6 % anual hasta 2030) [19], pero un crecimiento perpetuo mayor exigiría que Danaher ganara cuota sin fin. El múltiplo de salida implícito es razonable frente a los comparables (EV/EBITDA de los últimos 12 meses de 23,3x de mediana) [46].</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129,61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168,45</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-5.132 M (-10 %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(reinvierte el 27 %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 frente al 5,4 %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En parte: el crecimiento proyectado (5,4 %) supera con holgura el histórico de ingresos (-0,2 %)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 (hoy: 8,1 %)</w:t>
            </w:r>
          </w:p>
        </w:tc>
      </w:tr>
    </w:tbl>
    <w:p>
      <w:pPr>
        <w:spacing w:after="160" w:before="0"/>
      </w:pPr>
    </w:p>
    <w:p>
      <w:pPr>
        <w:spacing w:after="100"/>
      </w:pPr>
      <w:r>
        <w:t xml:space="preserve">La proyección apenas necesita inversión neta de la amortización (reinversión acumulada de -5.132 M, con un capex bruto medio del 4,7 % de las ventas). En un negocio de activos ligeros, el crecimiento medio del 5,4 % tiene que salir de subir precios y de ganar volumen sin capital nuevo, y la prueba es el poder de precios y la cuota (8,0 % del mercado en 2030e, frente al 8,1 %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y precio 1,0 puntos: crecimiento básico del ≈2,5 % de la guía, con el respiratorio de Cepheid restando ≈2,5 puntos y el bioprocesado sumando [3]. Otros 4,8 puntos: divisa +1 punto y Masimo (desde el 2T26) y StatLab (desde el 28-sep) ≈3,8 puntos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2,5 y precio 1,0 puntos: la dirección parte de un crecimiento básico del 4-5 % sin respiratorio, al que restamos ≈1 punto de respiratorio [16]; los envíos de resinas aplazados a 2027 (más de 100 M) lo apoyan [4]. Otros 4,0 puntos: Masimo y StatLab el año completo (≈1.500 M y ≈250 M de ventas anuales)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orgánico: volumen del 4,5 % (bioprocesado de anticuerpos y nuevas modalidades, recuperación de la inversión en equipos) y precio del 1,5 %, su media de 2016-2019 y de 2024-2025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4 % y precio del 1,5 %: el mercado crece un 6,6 % anual [19]; dejamos a Danaher por debajo por la competencia en diagnóstico y China.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3,5 % y precio del 1,5 %; cuota final del 8,0 % del mercado de herramientas y diagnóstico frente al 8,1 % de hoy.</w:t>
            </w:r>
          </w:p>
        </w:tc>
      </w:tr>
    </w:tbl>
    <w:p>
      <w:pPr>
        <w:spacing w:after="160" w:before="0"/>
      </w:pPr>
    </w:p>
    <w:p>
      <w:pPr>
        <w:spacing w:after="100"/>
      </w:pPr>
      <w:r>
        <w:t xml:space="preserve">En parte. La proyección no pide ganar cuota: la cuota implícita en 2030e es del 8,0 %, frente al 8,1 % de hoy, en un mercado que crece un 6,6 % anual [19]. Danaher tiene poder de precios (subidas del 1-2 % anuales en consumibles con base instalada) y un 82 % de ventas recurrentes [1]. La prueba de reinversión no aplica bien: la amortización es de intangibles comprados y la reinversión neta sale negativa. Con la reinversión bruta, el crecimiento que se financia al ROIC actual es del 1,9 %, frente al 5,4 % proyectado. La diferencia la cubren las compras de 2026, ya pagadas y en el puente, y la recuperación del bioprocesado. El crecimiento histórico (−0,2 % anual en 2021-2025) está deformado por la covid; el de 2016-2019 fue del 5-6 % orgánico. Por eso «En parte»: el crecimiento es alcanzable, pero depende del ciclo del bioprocesado y no de la calidad del negocio por sí sola.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14,2 % (base: 5,1 %)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48,2 % (base: 33,0 %)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 (WACC: 8,9 %)</w:t>
            </w:r>
          </w:p>
        </w:tc>
      </w:tr>
    </w:tbl>
    <w:p>
      <w:pPr>
        <w:spacing w:after="160" w:before="0"/>
      </w:pPr>
    </w:p>
    <w:p>
      <w:pPr>
        <w:spacing w:after="100"/>
      </w:pPr>
      <w:r>
        <w:t xml:space="preserve">El DCF da 137,49 USD por acción, un 40,4 % por debajo del precio, con un WACC del 8,94 % y un valor terminal que pesa el 67 %. Con la prima implícita del mercado (WACC 7,99 %) sube a 169,51. Incluso así no llega al precio. El DCF inverso explica la distancia: para justificar 230,50 USD con nuestro margen, las ventas tendrían que crecer un 14,2 % anual en 2027-2033e, frente al 5,1 % de nuestro caso base y el 6,6 % del mercado. Visto de otra forma, el precio da una rentabilidad implícita del 6,8 % anual, por debajo del WACC (8,94 %) y de lo que pide hoy el mercado a su beta (8,0 %). Es exigente frente a la historia: Danaher creció un −0,2 % anual en 2021-2025 y un 5-6 % orgánico antes de la covid. El precio descuenta más de lo que la empresa ha hecho en la última década sin compras, o un coste de capital más bajo (con un bono al 5 %, hace falta un WACC del 6,8 %). La sensibilidad es alta: con un WACC del 7,9 % y un crecimiento perpetuo del 4,0 %, el valor sube a 210,21, aún por debajo del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bioprocesado vuelve a frenar en 2027, como en 2023-2024, al acabar la reposición de existencias de los clientes, y el diagnóstico en China sigue cayendo por las compras centralizadas. Masimo pierde cuota en monitorización. Crecimiento 2 puntos menor y margen 1,5 puntos menor cada año; perpetuidad del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gradual: crecimiento básico del 4-5 % sin respiratorio en 2027, Masimo integrado sin sorpresas y margen EBITDA del 32-33 %. Danaher vuelve a crecer un 5-6 % orgánico desde 2028 y reduce deuda.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ciclo del bioprocesado se acelera con los anticuerpos, los GLP-1 y las nuevas modalidades, el respiratorio se estabiliza y Masimo crece a un dígito alto con sinergias. Crecimiento 1,5 puntos mayor y medio punto más de margen cada año.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230,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133,59 USD (-42,0 %).</w:t>
      </w:r>
    </w:p>
    <w:p>
      <w:pPr>
        <w:spacing w:after="100"/>
      </w:pPr>
      <w:r>
        <w:t xml:space="preserve">Por valor intrínseco, la asimetría es mala en los tres casos: 105,75, 137,49 y 153,64 USD por acción, todos por debajo del precio (−54,1 %, −40,4 % y −33,3 %). El mercado paga una rentabilidad a largo plazo menor que nuestro WACC. A 12 meses, con nuestros BPA y el PER de la regla común, el cuadro cambia: bajista 200,45 (−12,4 %), base 274,90 (+19,9 %) y alcista 315,29 (+37,4 %), con una asimetría de 2,8 veces. La diferencia está en el múltiplo. El DCF pide un 8,94 %; el mercado lleva cinco años pagando 26-31 veces el BPA adelantado de Danaher. Si el mercado sigue pagando ese múltiplo, la acción sube con el beneficio; si lo exige al WACC, cae. Por eso Mantener y no Comprar.</w:t>
      </w:r>
    </w:p>
    <w:p>
      <w:pPr>
        <w:pStyle w:val="Heading1"/>
      </w:pPr>
      <w:r>
        <w:t xml:space="preserve">22. Suma de partes</w:t>
      </w:r>
    </w:p>
    <w:p>
      <w:pPr>
        <w:pStyle w:val="Confianza"/>
        <w:spacing w:after="100"/>
      </w:pPr>
      <w:r>
        <w:t xml:space="preserve">Confianza: Media</w:t>
      </w:r>
    </w:p>
    <w:p>
      <w:pPr>
        <w:spacing w:after="100"/>
      </w:pPr>
      <w:r>
        <w:t xml:space="preserve">No aplica. Los tres segmentos (Biotecnología, Ciencias de la vida y Diagnóstico, con Masimo desde 2026) comparten clientes, modelo de consumibles recurrentes y comparables, y Danaher no publica EBITDA por segmento con amortizaciones separadas. Con los comparables del sector, la suma daría lo mismo que el múltiplo del grupo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230,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262,81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178,34 USD (-22,6 % sobre 230,50).</w:t>
      </w:r>
    </w:p>
    <w:p>
      <w:pPr>
        <w:spacing w:after="100"/>
      </w:pPr>
      <w:r>
        <w:t xml:space="preserve">Pesos: DCF 40 %, comparables 40 % y escenarios 20 %. Las transacciones no pesan porque incluyen prima de control y Danaher no es objetivo. El DCF es el método más fiable sobre el valor del negocio: refleja que el capital invertido rinde un 6,9 % frente a un WACC del 8,94 %. Los comparables reflejan cómo paga el mercado a todo el sector de herramientas de vida (25-26 veces el BPA adelantado). La dispersión es grande: 137,49 por DCF, 236-242 por comparables y 189,29 por transacciones. El valor ponderado es 178,34 USD (−22,6 %), con un rango entre el bajista (105,75) y la mediana de comparables (241,57). La discrepancia con el mercado no es de cifras: nuestro BPA está a un 2-3 % del consenso. Es de tasa de descuento: el precio supone una rentabilidad del 6,8 % anual.</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(25.3x) a mitad de camino hacia la mediana de 5 años (30.2x)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315,29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+37,4 %</w:t>
            </w:r>
          </w:p>
        </w:tc>
      </w:tr>
    </w:tbl>
    <w:p>
      <w:pPr>
        <w:spacing w:after="160" w:before="0"/>
      </w:pPr>
    </w:p>
    <w:p>
      <w:pPr>
        <w:spacing w:after="100"/>
      </w:pPr>
      <w:r>
        <w:rPr>
          <w:b/>
          <w:bCs/>
        </w:rPr>
        <w:t xml:space="preserve">Objetivo a 12 meses (ponderado):</w:t>
      </w:r>
      <w:r>
        <w:t xml:space="preserve"> 266,39 USD · rentabilidad +16,2 % (base +19,9 %) · señal Mantener.</w:t>
      </w:r>
    </w:p>
    <w:p>
      <w:pPr>
        <w:spacing w:after="100"/>
      </w:pPr>
      <w:r>
        <w:t xml:space="preserve">Para comparar, con la regla v2 (historia al cierre, mismo precio): 21,5x / 25,3x / 30,2x, 10,7 %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ajustado de 2027e (9,10) y de 2028e (9,96) queda un 2,2 % y un 2,7 % por debajo del consenso (9,30 y 10,24) [43]: proyectamos un 0,5-1,2 % menos de ventas y 0,4-0,7 puntos menos de margen EBITDA [44]. No contamos recompras: el consenso supone que vuelven en 2027-2028. Nuestro precio base (274,90 USD) supera en un 13,2 % el objetivo medio de los analistas (242,91), porque aplicamos 27,6 veces y los analistas, de media, ≈24-25 veces. El objetivo medio queda dentro de nuestro rango (200,45-315,29).</w:t>
      </w:r>
    </w:p>
    <w:p>
      <w:pPr>
        <w:keepNext/>
        <w:spacing w:after="100"/>
      </w:pPr>
      <w:r>
        <w:rPr>
          <w:b/>
          <w:bCs/>
        </w:rPr>
        <w:t xml:space="preserve">Del valor intrínseco al objetivo a 12 meses.</w:t>
      </w:r>
    </w:p>
    <w:p>
      <w:pPr>
        <w:spacing w:after="100"/>
      </w:pPr>
      <w:r>
        <w:t xml:space="preserve">Objetivo a 12 meses de 266,39 USD (ponderado 25/50/25; simple 263,55), un +16,2 % con dividendo; el base da +19,9 %. Con la regla v2 (historia al cierre) saldría un +10,7 %. El BPA base de 2028e (9,96) crece un 8,5 % anual sobre el ajustado de 2025 (7,80); frente al contable (5,03) parece un 25,6 % anual solo porque la base es distinta (el contable resta 1.697 M de amortización de intangibles). El valor intrínseco (178,34) queda un 33 % por debajo del objetivo a 12 meses. Para cerrar la distancia, el mercado tendría que dejar de pagar 26-31 veces el BPA adelantado y pedir el WACC: ningún catalizador con fecha lo fuerza. La tesis de valor a varios años no da Comprar; la de 12 meses depende de que el múltiplo aguante.</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Confirmará el crecimiento básico del 4-5 % sin respiratorio y el BPA de 2027 (consenso 9,30). Una guía por debajo de 9,10 rebajaría el objetivo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Envíos de resinas de bioprocesado aplazados del 2T26 (más de 100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Suben las ventas de Biotecnología de 2027 en ≈1,5 puntos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 a 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del Supremo de EE. UU. sobre el recurso de Apple contra la condena a favor de Masimo (634 M más intereses)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cobro de ≈800 M, ≈1,1 USD por acción, no está en el valor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Campaña respiratoria de Cepheid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respiratorio (≈1.500 M en 2027) es la principal fuente de error de la guía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cifras de sinergias de Masimo y vuelta de las 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no están en nuestro BPA: cada 1.000 M recomprados añaden ≈0,5 %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centralizadas de diagnóstico en China y aranceles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es el 10,7 % de las ventas; una nueva ronda de recortes resta 0,5-1 punto de crecimiento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 frenazo del bioprocesado (fin de la reposición de existencias de los clientes, menos financiación de biotecnología)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(escenario bajista a 12 meses: −12,4 %)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Consumibles recurrentes (≈82 % de las ventas) y una cartera de anticuerpos en producción comercial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bioprocesado del trimestre por debajo de las ventas (ratio inferior a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respiratorio de Cepheid mayor de lo previsto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Menú no respiratorio de Cepheid creciendo a doble dígito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respiratorias del 4T26 por debajo de ≈500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Masimo: integración, competencia en monitorización y pérdida de valor de una compra pagada a ≈6,6 veces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Danaher Business System y experiencia con Cepheid y Abcam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Masimo por debajo del 5 % o deterioro del fondo de comercio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del sector (tipos altos: bono a 10 años del 5 %)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(PER de 22x frente a 27,6x)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cotiza 5 puntos por debajo de su mediana adelantada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del sector por debajo de 22x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compras centralizadas, anticorrupción y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 y peso bajo (10,7 %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doble dígito de las ventas en China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futuras a precios altos con un ROIC por debajo del WACC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Disciplina de los fundadores y voto del consejo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compra grande pagada a más de 25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Ejecución de la nueva consejera delegada (desde el 1-oct-2026)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Directiva de la casa; los fundadores siguen en el consejo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 de la guía en su primer año completo</w:t>
            </w:r>
          </w:p>
        </w:tc>
      </w:tr>
    </w:tbl>
    <w:p>
      <w:pPr>
        <w:spacing w:after="160" w:before="0"/>
      </w:pPr>
    </w:p>
    <w:p>
      <w:pPr>
        <w:pStyle w:val="Heading2"/>
      </w:pPr>
      <w:r>
        <w:t xml:space="preserve">Pre-mortem</w:t>
      </w:r>
    </w:p>
    <w:p>
      <w:pPr>
        <w:spacing w:after="100"/>
      </w:pPr>
      <w:r>
        <w:t xml:space="preserve">Es octubre de 2029 y la acción ha perdido un 40 %, hasta ≈140 USD. Lo más probable es que fallen el ciclo y el múltiplo a la vez. En 2027 los clientes de biotecnología terminan de reponer existencias y los pedidos de bioprocesado vuelven a caer, como en 2023, mientras el respiratorio de Cepheid sigue bajando y las compras centralizadas recortan el diagnóstico en China. El crecimiento básico se queda en el 1-2 % y el BPA de 2028 en ≈8,5 USD, no en 10. A la vez, con el bono a 10 años en el 5 %, el mercado deja de pagar 25-30 veces a un grupo que ya no crece a dígito alto y que rinde un 7 % sobre su capital, y el PER baja a 18-20 veces. Masimo se vuelve un problema: crece poco y se lleva un deterioro que confirma que se pagó caro. Los indicadores que lo habrían anticipado: pedidos de bioprocesado por debajo de las ventas dos trimestres seguidos, guía de 2027 por debajo de 9 USD de BPA y un recorte del PER del sector por debajo de 22 veces.</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+3 % a 3-5 años</w:t>
      </w:r>
    </w:p>
    <w:p>
      <w:pPr>
        <w:spacing w:after="100"/>
      </w:pPr>
      <w:r>
        <w:t xml:space="preserve">La IA toca dos partes del negocio. Por el lado de la demanda, el descubrimiento de fármacos con IA acelera la investigación y multiplica candidatos que hay que validar en laboratorio. Eso favorece a Ciencias de la vida (Beckman, Leica, Molecular Devices, Abcam) y, más adelante, al bioprocesado de Cytiva. Por el lado de la oferta, la IA amenaza parte de los instrumentos de análisis de imagen y de software de laboratorio, que pueden volverse genéricos, y reduce el número de experimentos necesarios. Danaher usa IA en Leica (patología digital) y en Beckman (automatización), y sus consumibles (resinas, reactivos, cartuchos) no los sustituye un algoritmo. La señal a vigilar es el crecimiento de pedidos de instrumentos de investigación frente a consumibles: si los instrumentos caen mientras los clientes invierten en IA, la amenaza pesa más.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Los asuntos que mueven las cifras son tres. Calidad y seguridad de producto: Danaher fabrica dispositivos médicos regulados y Masimo trae una investigación del DOJ por la retirada del Rad-G (pérdida posible de 5-40 M) [2]. Gobierno y remuneración: el programa especial de opciones de 2026 cuesta ≈200 M en el año y los fundadores renunciaron el 9-oct a las 500.000 acciones restringidas que se les concedieron [2, 32]. Medio ambiente: la restricción europea de PFAS afecta a membranas y filtros (Pall, Cytiva) [22].</w:t>
      </w:r>
    </w:p>
    <w:p>
      <w:pPr>
        <w:pStyle w:val="Heading2"/>
      </w:pPr>
      <w:r>
        <w:t xml:space="preserve">Controversias</w:t>
      </w:r>
    </w:p>
    <w:p>
      <w:pPr>
        <w:spacing w:after="100"/>
      </w:pPr>
      <w:r>
        <w:t xml:space="preserve">Demanda colectiva de valores (Hawkins, desde 2023) por las previsiones del bioprocesado de 2022-2023: el tribunal la admitió en parte en agosto de 2025, y desde marzo de 2026 hay nuevas demandas derivadas [2]. Litigios heredados de Masimo con su exfundador y con Apple (a favor de Masimo: 634 M más 184 M de intereses) [2]. Sin sanciones de reguladores a Danaher en los últimos tres años en los documentos revisados.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Bioprocesado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 pedidos (al alza a mitad de decena) es reposición de existencias y qué parte es demanda de nuevos fármacos en producción?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2028e del 6 % es sostenible o repite el ciclo de 2023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Masimo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¿Cuáles son las sinergias de costes e ingresos de Masimo y en qué plazo, y cuál es el margen de partida?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pagaron ≈9.800 M y el ROIC del grupo no cubre el WACC</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vuelven las recompras y cuál es el objetivo de deuda neta/EBITDA?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están en nuestro BPA; podrían añadir un 2-3 % en 2028e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Respiratorio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nivel normal de las ventas respiratorias de Cepheid tras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fuente de error de la guía en tres años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de diagnóstico en China está expuesta a la próxima ronda de compras centralizadas?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el 10,7 % de las ventas y lleva tres años restando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cambiará la nueva consejera delegada en la asignación de capital frente a Blair?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ROIC tras compras es la variable que más mueve el valor a largo plazo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(flujo de $DHR)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día de resultados hubo ventas en la apertura («¿vender la noticia?», «más deuda») y luego alivio al ver que cerró un 4 % arriba; una minoría ve la acción cara para su crecimiento y otra espera más subidas de objetivo. Mucho ruido sobre el reparto del acuerdo de la demanda Hawkins [57].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(índice de sentimiento)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índice de los particulares estaba en zona bajista (40) la víspera y la acción subió un 4,2 % al día siguiente: el particular llegaba pesimista a los resultados [57].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(análisis de colaboradores tras el 3T26)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«decentes», pero «sigue siendo mantener»: valoran la mejora del bioprocesado y esperan a ver qué cambia la nueva consejera delegada antes de pagar el múltiplo [58].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(análisis de jul-sep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Tres de cuatro piezas son escépticas (la acción «no es barata», Masimo no la hace «especial», nada que comprar en la caída de julio); una ve upside por la reaceleración de 2027 [58].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 para el crecimiento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Cotiza a ≈25x el BPA ajustado de 2026 y 24-25x el de 2027, por debajo de su historia adelantada (≈30x) y cerca de la mediana de comparables (≈26x) [43, 46]; el crecimiento básico de 2026 es solo del 2,5 % [3]. La crítica tiene base, pero el descuento frente a su historia ya recoge parte.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Recuperación del bioprocesado y reaceleración de 2027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bioprocesado al alza a mitad de decena y guía de 2027 de 4-5 % básico sin respiratorio [3, 16]: los datos apoyan la mejora, aunque el respiratorio sigue restando.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Masimo y la deuda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bruta 26.482 M y caja 5.682 M a sep-26 [2], ≈2,6x EBITDA LTM: manejable; Masimo aporta ≈1.500 M de ventas y un litigio con Apple a favor.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Relevo de CEO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Sawyer Montgomery viene de dentro (Diagnóstico) y el director financiero también; los fundadores renunciaron el 9-oct al programa especial de acciones [32, 35]. Continuidad del Danaher Business System; riesgo bajo.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Demanda colectiva Hawkins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10-Q dice que hay acuerdo, cubierto por seguro y sin efecto material; aprobación final en septiembre de 2026 [2]. Ruido sin efecto en el valor.</w:t>
            </w:r>
          </w:p>
        </w:tc>
      </w:tr>
    </w:tbl>
    <w:p>
      <w:pPr>
        <w:spacing w:after="160" w:before="0"/>
      </w:pPr>
    </w:p>
    <w:p>
      <w:pPr>
        <w:spacing w:after="100"/>
      </w:pPr>
      <w:r>
        <w:t xml:space="preserve">El particular llega dividido y algo pesimista: el índice de Stocktwits estaba en zona bajista antes de un 3T26 que superó y subió la guía, y los colaboradores de Seeking Alpha se quedan en «mantener» por la valoración. No hay euforia pese al +30 % desde julio, lo que contrasta con los analistas (19 de 23 compran y subieron objetivos). La preocupación por la valoración coincide con nuestro DCF; la de la deuda de Masimo se exagera. El sentimiento no anticipa un riesgo que el análisis no recoja; como mucho, indica que no hay exceso de optimismo que deshacer.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60 (31 primarias); citas distintas en el texto: 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«En parte» (el crecimiento proyectado (5,4 %) supera con holgura el histórico de ingresos (-0,2 %)):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8,0 % en 2030e frente al 8,1 %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18,5 % frente a 18,6 % real: genera una variación de circulante de 319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(9,96) supone un 25,6 % anual desde 5,03 (2025): explícalo en valoracion.objetivo_12m.comentario o la confianza es baja. Explicación: El control compara nuestro BPA ajustado de 2028e (9,96) con el BPA contable de 2025 (5,03). En la misma base (ajustada), el de 2025 fue 7,80 y el crecimiento a 2028e es del 8,5 % anual, en línea con la guía de 2026 (8,57-8,62) y el consenso (10,24 en 2028e).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fuentes (31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 7, 8, 9, 14, 30, 31, 37, 39.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10-Q 3T26: no la da; 2) 10-K 2025: no la da; 3) cálculo con la tabla de bonos: no se hace por el pagaré en euros clasificado a largo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Sustainalytics de Danaher: sin la nota; 2) KnowESG: cobertura de MSCI y Sustainalytics sin valor ni fecha; 3) Yahoo Finance (sostenibilidad): no se abre sin JavaScript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IMARC: solo 2025-2026 y previsión; 2) Grand View: solo 2025 y previsión; 3) Coherent: solo 2025 y previsión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Danaher: dice que no puede medir su posición agregada; 2) IMARC y Grand View: solo lista de empresas; 3) suma de ventas de los cinco grandes: perímetros no comparables (Roche y Siemens con imagen y farmacia)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 de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solo cita 2025 (93 %); 2) 8-K de la junta de 2026: 2026; 3) proxy 2025 no descargado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usan 2025 y 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de los próximos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(solo LTM); 2) MarketScreener (de pago por empresa); 3) TIKR (sin tabla)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BPA ajustado posterior a la nueva guía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(8,51, sin actualizar); 2) TIKR (8,51/9,30/10,24); 3) ChartMill (requiere JavaScript)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de búsqueda de Reddit (bloqueada); 2) búsqueda web de hilos de oct-2026; 3) Stockchase (opiniones de 2025 y abril de 2026, fuera de plazo)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Danaher Corporation, Form 10-K 2025 (informe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Danaher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https://www.sec.gov/Archives/edgar/data/313616/000031361626000062/dhr-20251231.htm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Danaher Corporation, Form 10-Q 3T26 (periodo cerrado el 25-sep-2026)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Danaher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https://www.sec.gov/Archives/edgar/data/313616/000031361626000199/dhr-20260925.htm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Reports Third Quarter 2026 Results (nota de prensa,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https://www.sec.gov/Archives/edgar/data/313616/000031361626000201/dhr-20261021xex991.htm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Reports Second Quarter 2026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https://www.sec.gov/Archives/edgar/data/313616/000031361626000163/dhr-20260721xex991.htm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Reports First Quarter 2026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https://www.sec.gov/Archives/edgar/data/313616/000031361626000109/dhr-20260421xex991.htm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Reports Fourth Quarter and Full Year 2025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https://www.sec.gov/Archives/edgar/data/313616/000031361626000004/dhr-20260128xex991.htm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Reports Third Quarter 2025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https://www.sec.gov/Archives/edgar/data/313616/000031361625000180/dhr-20251021xex991.htm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Reports Second Quarter 2025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https://www.sec.gov/Archives/edgar/data/313616/000031361625000152/dhr-20250722xex991.htm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Reports First Quarter 2025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https://www.sec.gov/Archives/edgar/data/313616/000031361625000090/dhr-20250422xex991.htm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Reports Fourth Quarter and Full Year 2024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https://www.sec.gov/Archives/edgar/data/313616/000031361625000004/dhr-20250129xex991.htm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Corporation, Form 10-K 2023 (cuentas 2021-2023 reexpresadas sin Veralto)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https://www.sec.gov/Archives/edgar/data/313616/000031361624000052/dhr-20231231.htm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Corporation, Form 10-K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https://www.sec.gov/Archives/edgar/data/313616/000031361625000043/dhr-20241231.htm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Reports Fourth Quarter and Full Year 2023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https://www.sec.gov/Archives/edgar/data/313616/000031361624000006/dhr-20240130xex991.htm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Corporation, Forms 10-Q 1T25, 2T25, 3T24, 1T26 y 2T26 (amortización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https://www.sec.gov/Archives/edgar/data/313616/000031361626000161/dhr-20260626.htm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hechos XBRL de Danaher (companyfacts, CIK 313616)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https://data.sec.gov/api/xbrl/companyfacts/CIK0000313616.json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Transcript: Danaher Q3 2026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https://www.marketbeat.com/instant-alerts/transcript-danaher-q3-earnings-call-highlights-2026-10-21/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Transcript: Danaher Q2 2026 Earnings Conference Call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https://www.webull.com/news/15265556131554304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DHR CY26Q3 earnings call (resumen de preguntas y respuestas)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StockHub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https://stockhub.kr/en/insights/20261021-dhr-cy26q3-earnings-call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Life Science Tools Market Size, Share &amp; Trends 2026-2034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https://www.imarcgroup.com/life-science-tools-market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Life Science Tools Market Size, Share &amp; Trends Analysis Report 2026-2033 (Grand View Research)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Information / 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https://www.gii.tw/report/grvi1842230-life-science-tools-market-size-share-trends.html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 Vitro Diagnostics Market to hit USD 197.06 billion by 2032 (Coherent Market Insights)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BioSpace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https://www.biospace.com/press-releases/in-vitro-diagnostics-market-to-hit-usd-197-06-billion-by-2032-driven-by-a-surge-in-chronic-and-infectious-disease-burden-coherent-market-insights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Herramientas y consumibles de bioproducción: ficha sectorial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propio (sectores/bioproduccion-2026-10-14.md)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https://github.com/HotisS/analisis-inversion/blob/main/sectores/bioproduccion-2026-10-14.md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https://www.sec.gov/Archives/edgar/data/97745/000009774526000018/tmo-20251231.htm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reports strong 2025 results with 7% sales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https://www.roche.com/media/releases/med-cor-2026-01-29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 Press release Q4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Healthineers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https://www.siemens-healthineers.com/press/releases/2025q4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 Informe anual 2025: Business development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KGaA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https://reports.emdgroup.com/en/annualreport/2025/_assets/downloads/5yr-business-development-emd-ar25.pdf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 Universal Registration Document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Sartorius Stedim Biotech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https://www.sartorius.com/download/1796564/fy-2025-download-urd-ssb-en-data.pdf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https://www.sec.gov/Archives/edgar/data/1037646/000103764626000011/mtd-20251231.htm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Universal Registration Document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https://www.biomerieux.com/content/dam/biomerieux-com/investor/regulated-informations/2026/universal-registration-document/BIOMERIEUX-DEU-2025-GB-MEL.pdf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BCE, tipos de cambio de referencia del euro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Corp: perfil ESG (cobertura de MSCI, Sustainalytics, CDP)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KnowESG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https://knowesg.com/esg-ratings/danaher-corporation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8-K del 3-ago-2026 (nombramiento de Julie Sawyer Montgomery y programa de crecimiento a largo plazo)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https://www.sec.gov/Archives/edgar/data/313616/000119312526330652/d161342d8k.htm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https://www.sec.gov/Archives/edgar/data/313616/000031361626000101/dhr-20260325.htm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8-K del 7-may-2026: resultados de la junta de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https://www.sec.gov/Archives/edgar/data/313616/000031361626000127/dhr-20260505.htm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8-K del 13-oct-2026: retiro de Alan Spoon y renuncia de los fundadores a sus acciones restringidas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https://www.sec.gov/Archives/edgar/data/313616/000031361626000193/dhr-20261009.htm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Form 4 de Danaher presentados desde el 26-oct-2025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https://www.sec.gov/cgi-bin/browse-edgar?action=getcompany&amp;CIK=0000313616&amp;type=4&amp;dateb=&amp;owner=include&amp;count=40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8-K del 6-nov-2025 y del 10-feb-2026 (salidas del consejo de John Schwieters y Jessica Mega)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https://www.sec.gov/Archives/edgar/data/313616/000031361626000058/dhr-20260205.htm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DHR, SPY y XLV (cierres ajustados por dividendos y por la escisión de Veralto), hasta el 23-oct-2026, vía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https://finance.yahoo.com/quote/DHR/history/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Movimiento del precio (1-12 meses, medias de 50 y 200 sesiones, volatilidad de 60 sesiones), vía herramientas/movimiento.mjs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https://finance.yahoo.com/quote/DHR/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(DHR) stock forecast: objetivo medio 244,14 USD (25 analistas, 200-310), BPA ajustado 2026e 8,51 e ingresos 26.350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https://stockanalysis.com/stocks/dhr/forecast/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(DHR) statistics: capitalización 162.160 M, valor empresa 184.260 M, PER adelantado 25,35x, EV/EBITDA 22,32x, posición corta 1,43 % del capital flotante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https://stockanalysis.com/stocks/dhr/statistics/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(DHR) price target and analyst ratings: 23 analistas (1 Strong Buy, 18 Buy, 4 Hold), objetivo medio 242,91 USD (195-275); subidas de objetivo del 22-oct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https://www.marketbeat.com/stocks/NYSE/DHR/forecast/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Jumps 4% on Q3 Beat: consenso de BPA normalizado 8,51 (2026), 9,30 (2027) y 10,24 (2028); PER adelantado 25,34x frente a un mínimo de 5 años de 18,94x y una media de 27,29x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https://www.tikr.com/blog/danaher-jumps-4-on-q3-beat-improving-trends-across-its-end-markets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Corporation: finances (ventas, EBITDA, EBIT, BPA contable, dividendo y FCF estimados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https://www.marketscreener.com/quote/stock/DANAHER-CORPORATION-12295/finances/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to expect from Danaher’s next quarterly earnings report (BPA 2026e 8,44 y 2027e 9,12; objetivo 235,91)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https://www.barchart.com/story/news/3114158/what-to-expect-from-danaher-s-next-quarterly-earnings-report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de Thermo Fisher, Agilent, Waters, Mettler-Toledo, Revvity, Qiagen y Abbott (capitalización, valor empresa, PER adelantado, EV/EBITDA, ROIC, FCF, previsión de ingresos), cierre del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https://stockanalysis.com/stocks/tmo/statistics/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Corporation Reports Third Quarter 2026 Results (8-K,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https://www.sec.gov/cgi-bin/browse-edgar?action=getcompany&amp;CIK=0000313616&amp;type=8-K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Formulario 10-Q del tercer trimestre de 2026 (nota de adquisiciones: Masimo y StatLab; nota 13 de contingencias: Hawkins y Masimo-Apple)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https://www.sec.gov/cgi-bin/browse-edgar?action=getcompany&amp;CIK=0000313616&amp;type=10-Q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to acquire Exact Sciences for about 23.000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360Dx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https://www.360dx.com/cancer/abbott-acquire-exact-sciences-23b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Waters and BD’s Biosciences &amp; Diagnostic Solutions business to combine (17.500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https://investors.bd.com/news-events/press-releases/detail/892/waters-and-bds-biosciences-diagnosti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Stock Is Down 20% in 2026. Here’s Why Analysts Still See a $239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https://www.tikr.com/blog/danaher-stock-is-down-20-in-2026-heres-why-analysts-still-see-a-239-target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movers DHR 22-abr-2026: primer trimestre mixto (ventas por debajo, crecimiento orgánico plano, respiratorio y China)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https://www.tradingkey.com/news/market-movers/261811362-market-movers-dhr-20260422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Stock Price Hits 24-week High (210,06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https://tradingeconomics.com/dhr:us/news/576518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(NYSE:DHR) shares gap down (resultados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https://www.marketbeat.com/instant-alerts/danaher-nysedhr-shares-gap-down-should-you-sell-2026-07-21/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Danaher's Q2 earnings call shows life sciences at its best quarter in years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https://www.tikr.com/blog/danahers-q2-earnings-call-shows-life-sciences-at-its-best-quarter-in-years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strikes a 9.9 billion Masimo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https://www.tikr.com/pt/blog/danaher-strikes-a-9-9-billion-masimo-deal-heres-what-investors-need-to-know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mensajes sobre $DHR del 15 al 25-oct-2026 (≈30)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https://stocktwits.com/symbol/DHR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Q3 Recap: Decent Results, Still A Hold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https://seekingalpha.com/symbol/DHR/analysis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bono a 10 años al 5,00 % el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https://pages.stern.nyu.edu/~adamodar/New_Home_Page/datafile/implpr.html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90,5 %</w:t>
      </w:r>
      <w:r>
        <w:t xml:space="preserve"> · Secciones con menos del 60 % de campos cubiertos: </w:t>
      </w:r>
      <w:r>
        <w:rPr>
          <w:b/>
          <w:bCs/>
        </w:rPr>
        <w:t xml:space="preserve">ninguna</w:t>
      </w:r>
      <w:r>
        <w:t xml:space="preserve"> · Generado el 26 oct 2026.</w:t>
      </w:r>
    </w:p>
    <w:p>
      <w:pPr>
        <w:pStyle w:val="Nota"/>
        <w:spacing w:after="100"/>
      </w:pPr>
      <w:r>
        <w:t xml:space="preserve">Precio: cierre del viernes 23-oct-2026 (230,50 USD); el análisis se hizo el lunes 26-oct antes de la apertura. Consenso de BPA ajustado de agregadores gratuitos (S&amp;P Global vía TIKR), aún sin actualizar del todo tras la guía del 21-oct; consenso de ventas y EBITDA de MarketScreener del 16-oct. Comparables sin EV/EBITDA de los próximos 12 meses. La historia del PER adelantado tiene cuatro años limpios (2022-2025) por las escisiones de Envista y Veralto y por el BPA de covid. Sin calificación crediticia publicada en las fuentes revisadas.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Danaher Corporation (DHR)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230,50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(160,93 – 242,80)</c:v>
                </c:pt>
                <c:pt idx="1">
                  <c:v>Precio objetivo de los analistas (195,00 – 275,00)</c:v>
                </c:pt>
                <c:pt idx="2">
                  <c:v>Comparables: PER NTM (206,63 – 262,81)</c:v>
                </c:pt>
                <c:pt idx="3">
                  <c:v>Transacciones precedentes (EV/ventas) (167,12 – 217,34)</c:v>
                </c:pt>
                <c:pt idx="4">
                  <c:v>DCF (WACC y g ± 0,5) (116,73 – 166,54)</c:v>
                </c:pt>
                <c:pt idx="5">
                  <c:v>Escenarios (bajista – alcista) (105,75 – 153,64)</c:v>
                </c:pt>
                <c:pt idx="6">
                  <c:v>DCF con la prima implícita del mercado (4,2 %)</c:v>
                </c:pt>
                <c:pt idx="7">
                  <c:v>Precio actual (230,50)</c:v>
                </c:pt>
              </c:strCache>
            </c:strRef>
          </c:cat>
          <c:val>
            <c:numRef>
              <c:f>Hoja1!$B$2:$B$9</c:f>
              <c:numCache>
                <c:formatCode>#,##0</c:formatCode>
                <c:ptCount val="8"/>
                <c:pt idx="0">
                  <c:v>160.93</c:v>
                </c:pt>
                <c:pt idx="1">
                  <c:v>195</c:v>
                </c:pt>
                <c:pt idx="2">
                  <c:v>206.63</c:v>
                </c:pt>
                <c:pt idx="3">
                  <c:v>167.12</c:v>
                </c:pt>
                <c:pt idx="4">
                  <c:v>116.73</c:v>
                </c:pt>
                <c:pt idx="5">
                  <c:v>105.75</c:v>
                </c:pt>
                <c:pt idx="6">
                  <c:v>151.27</c:v>
                </c:pt>
                <c:pt idx="7">
                  <c:v>229.35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(160,93 – 242,80)</c:v>
                </c:pt>
                <c:pt idx="1">
                  <c:v>Precio objetivo de los analistas (195,00 – 275,00)</c:v>
                </c:pt>
                <c:pt idx="2">
                  <c:v>Comparables: PER NTM (206,63 – 262,81)</c:v>
                </c:pt>
                <c:pt idx="3">
                  <c:v>Transacciones precedentes (EV/ventas) (167,12 – 217,34)</c:v>
                </c:pt>
                <c:pt idx="4">
                  <c:v>DCF (WACC y g ± 0,5) (116,73 – 166,54)</c:v>
                </c:pt>
                <c:pt idx="5">
                  <c:v>Escenarios (bajista – alcista) (105,75 – 153,64)</c:v>
                </c:pt>
                <c:pt idx="6">
                  <c:v>DCF con la prima implícita del mercado (4,2 %)</c:v>
                </c:pt>
                <c:pt idx="7">
                  <c:v>Precio actual (230,50)</c:v>
                </c:pt>
              </c:strCache>
            </c:strRef>
          </c:cat>
          <c:val>
            <c:numRef>
              <c:f>Hoja1!$C$2:$C$9</c:f>
              <c:numCache>
                <c:formatCode>#,##0</c:formatCode>
                <c:ptCount val="8"/>
                <c:pt idx="0">
                  <c:v>81.87</c:v>
                </c:pt>
                <c:pt idx="1">
                  <c:v>80</c:v>
                </c:pt>
                <c:pt idx="2">
                  <c:v>56.18000000000001</c:v>
                </c:pt>
                <c:pt idx="3">
                  <c:v>50.22</c:v>
                </c:pt>
                <c:pt idx="4">
                  <c:v>49.80999999999999</c:v>
                </c:pt>
                <c:pt idx="5">
                  <c:v>47.889999999999986</c:v>
                </c:pt>
                <c:pt idx="6">
                  <c:v>40.56</c:v>
                </c:pt>
                <c:pt idx="7">
                  <c:v>2.3000000000000114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Biotecnología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8570</c:v>
                </c:pt>
                <c:pt idx="1">
                  <c:v>8758</c:v>
                </c:pt>
                <c:pt idx="2">
                  <c:v>7172</c:v>
                </c:pt>
                <c:pt idx="3">
                  <c:v>6759</c:v>
                </c:pt>
                <c:pt idx="4">
                  <c:v>7293</c:v>
                </c:pt>
              </c:numCache>
            </c:numRef>
          </c:val>
        </c:ser>
        <c:ser>
          <c:idx val="1"/>
          <c:order val="1"/>
          <c:tx>
            <c:strRef>
              <c:f>Hoja1!$C$1</c:f>
              <c:strCache>
                <c:ptCount val="1"/>
                <c:pt idx="0">
                  <c:v>Ciencias de la vida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6388</c:v>
                </c:pt>
                <c:pt idx="1">
                  <c:v>7036</c:v>
                </c:pt>
                <c:pt idx="2">
                  <c:v>7141</c:v>
                </c:pt>
                <c:pt idx="3">
                  <c:v>7329</c:v>
                </c:pt>
                <c:pt idx="4">
                  <c:v>7334</c:v>
                </c:pt>
              </c:numCache>
            </c:numRef>
          </c:val>
        </c:ser>
        <c:ser>
          <c:idx val="2"/>
          <c:order val="2"/>
          <c:tx>
            <c:strRef>
              <c:f>Hoja1!$D$1</c:f>
              <c:strCache>
                <c:ptCount val="1"/>
                <c:pt idx="0">
                  <c:v>Diagnóstico</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9844</c:v>
                </c:pt>
                <c:pt idx="1">
                  <c:v>10849</c:v>
                </c:pt>
                <c:pt idx="2">
                  <c:v>9577</c:v>
                </c:pt>
                <c:pt idx="3">
                  <c:v>9787</c:v>
                </c:pt>
                <c:pt idx="4">
                  <c:v>9941</c:v>
                </c:pt>
              </c:numCache>
            </c:numRef>
          </c:val>
        </c:ser>
        <c:ser>
          <c:idx val="3"/>
          <c:order val="3"/>
          <c:tx>
            <c:strRef>
              <c:f>Hoja1!$E$1</c:f>
              <c:strCache>
                <c:ptCount val="1"/>
                <c:pt idx="0">
                  <c:v>Corporativo</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Biotecnología</c:v>
                </c:pt>
                <c:pt idx="1">
                  <c:v>Ciencias de la vida</c:v>
                </c:pt>
                <c:pt idx="2">
                  <c:v>Diagnóstico</c:v>
                </c:pt>
                <c:pt idx="3">
                  <c:v>Corporativo</c:v>
                </c:pt>
              </c:strCache>
            </c:strRef>
          </c:cat>
          <c:val>
            <c:numRef>
              <c:f>Hoja1!$B$2:$B$5</c:f>
              <c:numCache>
                <c:formatCode>General</c:formatCode>
                <c:ptCount val="4"/>
                <c:pt idx="0">
                  <c:v>29.7</c:v>
                </c:pt>
                <c:pt idx="1">
                  <c:v>29.9</c:v>
                </c:pt>
                <c:pt idx="2">
                  <c:v>40.5</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Estados Unidos</c:v>
                </c:pt>
                <c:pt idx="1">
                  <c:v>Canadá</c:v>
                </c:pt>
                <c:pt idx="2">
                  <c:v>Europa occidental</c:v>
                </c:pt>
                <c:pt idx="3">
                  <c:v>Otros desarrollados (Japón, Australia…)</c:v>
                </c:pt>
                <c:pt idx="4">
                  <c:v>China</c:v>
                </c:pt>
                <c:pt idx="5">
                  <c:v>Otros emergentes</c:v>
                </c:pt>
              </c:strCache>
            </c:strRef>
          </c:cat>
          <c:val>
            <c:numRef>
              <c:f>Hoja1!$B$2:$B$7</c:f>
              <c:numCache>
                <c:formatCode>0"%"</c:formatCode>
                <c:ptCount val="6"/>
                <c:pt idx="0">
                  <c:v>40.6</c:v>
                </c:pt>
                <c:pt idx="1">
                  <c:v>1.5</c:v>
                </c:pt>
                <c:pt idx="2">
                  <c:v>24.2</c:v>
                </c:pt>
                <c:pt idx="3">
                  <c:v>5.1</c:v>
                </c:pt>
                <c:pt idx="4">
                  <c:v>10.7</c:v>
                </c:pt>
                <c:pt idx="5">
                  <c:v>17.9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2025</c:v>
                </c:pt>
                <c:pt idx="1">
                  <c:v>2026e</c:v>
                </c:pt>
                <c:pt idx="2">
                  <c:v>2028e</c:v>
                </c:pt>
                <c:pt idx="3">
                  <c:v>2030e</c:v>
                </c:pt>
              </c:strCache>
            </c:strRef>
          </c:cat>
          <c:val>
            <c:numRef>
              <c:f>Hoja1!$B$2:$B$5</c:f>
              <c:numCache>
                <c:formatCode>#,##0</c:formatCode>
                <c:ptCount val="4"/>
                <c:pt idx="0">
                  <c:v>303030</c:v>
                </c:pt>
                <c:pt idx="1">
                  <c:v>323060</c:v>
                </c:pt>
                <c:pt idx="2">
                  <c:v>366000</c:v>
                </c:pt>
                <c:pt idx="3">
                  <c:v>415000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Danaher</c:v>
                </c:pt>
                <c:pt idx="1">
                  <c:v>Thermo Fisher Scientific</c:v>
                </c:pt>
                <c:pt idx="2">
                  <c:v>Roche (división de Diagnóstico)</c:v>
                </c:pt>
                <c:pt idx="3">
                  <c:v>Siemens Healthineers</c:v>
                </c:pt>
                <c:pt idx="4">
                  <c:v>Merck KGaA (Life Science)</c:v>
                </c:pt>
                <c:pt idx="5">
                  <c:v>Sartorius Stedim Biotech</c:v>
                </c:pt>
                <c:pt idx="6">
                  <c:v>Mettler-Toledo</c:v>
                </c:pt>
                <c:pt idx="7">
                  <c:v>bioMérieux</c:v>
                </c:pt>
              </c:strCache>
            </c:strRef>
          </c:cat>
          <c:val>
            <c:numRef>
              <c:f>Hoja1!$B$2:$B$9</c:f>
              <c:numCache>
                <c:formatCode>0.0"%"</c:formatCode>
                <c:ptCount val="8"/>
                <c:pt idx="0">
                  <c:v>21.4</c:v>
                </c:pt>
                <c:pt idx="1">
                  <c:v>17.4</c:v>
                </c:pt>
                <c:pt idx="3">
                  <c:v>15</c:v>
                </c:pt>
                <c:pt idx="5">
                  <c:v>17.7</c:v>
                </c:pt>
                <c:pt idx="6">
                  <c:v>27.7</c:v>
                </c:pt>
                <c:pt idx="7">
                  <c:v>12.8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5</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24802</c:v>
                </c:pt>
                <c:pt idx="1">
                  <c:v>26643</c:v>
                </c:pt>
                <c:pt idx="2">
                  <c:v>23890</c:v>
                </c:pt>
                <c:pt idx="3">
                  <c:v>23875</c:v>
                </c:pt>
                <c:pt idx="4">
                  <c:v>24568</c:v>
                </c:pt>
                <c:pt idx="5">
                  <c:v>26361</c:v>
                </c:pt>
                <c:pt idx="6">
                  <c:v>28339</c:v>
                </c:pt>
                <c:pt idx="7">
                  <c:v>30039</c:v>
                </c:pt>
                <c:pt idx="8">
                  <c:v>31691</c:v>
                </c:pt>
                <c:pt idx="9">
                  <c:v>33276</c:v>
                </c:pt>
                <c:pt idx="10">
                  <c:v>34773</c:v>
                </c:pt>
                <c:pt idx="11">
                  <c:v>36164</c:v>
                </c:pt>
                <c:pt idx="12">
                  <c:v>37430</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8986</c:v>
                </c:pt>
                <c:pt idx="1">
                  <c:v>9668</c:v>
                </c:pt>
                <c:pt idx="2">
                  <c:v>7445</c:v>
                </c:pt>
                <c:pt idx="3">
                  <c:v>7480</c:v>
                </c:pt>
                <c:pt idx="4">
                  <c:v>7699</c:v>
                </c:pt>
                <c:pt idx="5">
                  <c:v>8172</c:v>
                </c:pt>
                <c:pt idx="6">
                  <c:v>9068</c:v>
                </c:pt>
                <c:pt idx="7">
                  <c:v>9763</c:v>
                </c:pt>
                <c:pt idx="8">
                  <c:v>10458</c:v>
                </c:pt>
                <c:pt idx="9">
                  <c:v>10981</c:v>
                </c:pt>
                <c:pt idx="10">
                  <c:v>11475</c:v>
                </c:pt>
                <c:pt idx="11">
                  <c:v>11934</c:v>
                </c:pt>
                <c:pt idx="12">
                  <c:v>12352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61.4</c:v>
                </c:pt>
                <c:pt idx="1">
                  <c:v>60.8</c:v>
                </c:pt>
                <c:pt idx="2">
                  <c:v>58.7</c:v>
                </c:pt>
                <c:pt idx="3">
                  <c:v>59.5</c:v>
                </c:pt>
                <c:pt idx="4">
                  <c:v>59.1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36.2</c:v>
                </c:pt>
                <c:pt idx="1">
                  <c:v>36.3</c:v>
                </c:pt>
                <c:pt idx="2">
                  <c:v>31.2</c:v>
                </c:pt>
                <c:pt idx="3">
                  <c:v>31.3</c:v>
                </c:pt>
                <c:pt idx="4">
                  <c:v>31.3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27.9</c:v>
                </c:pt>
                <c:pt idx="1">
                  <c:v>28.3</c:v>
                </c:pt>
                <c:pt idx="2">
                  <c:v>22.1</c:v>
                </c:pt>
                <c:pt idx="3">
                  <c:v>21.5</c:v>
                </c:pt>
                <c:pt idx="4">
                  <c:v>21.4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22</c:v>
                </c:pt>
                <c:pt idx="1">
                  <c:v>23.8</c:v>
                </c:pt>
                <c:pt idx="2">
                  <c:v>17.7</c:v>
                </c:pt>
                <c:pt idx="3">
                  <c:v>16.3</c:v>
                </c:pt>
                <c:pt idx="4">
                  <c:v>14.7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2</c:v>
                </c:pt>
                <c:pt idx="1">
                  <c:v>-1</c:v>
                </c:pt>
                <c:pt idx="2">
                  <c:v>3.5</c:v>
                </c:pt>
                <c:pt idx="3">
                  <c:v>4.5</c:v>
                </c:pt>
                <c:pt idx="4">
                  <c:v>4.5</c:v>
                </c:pt>
                <c:pt idx="5">
                  <c:v>3.5</c:v>
                </c:pt>
                <c:pt idx="6">
                  <c:v>5.5</c:v>
                </c:pt>
                <c:pt idx="7">
                  <c:v>8.5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0">
                  <c:v>1</c:v>
                </c:pt>
                <c:pt idx="1">
                  <c:v>0</c:v>
                </c:pt>
                <c:pt idx="2">
                  <c:v>1.5</c:v>
                </c:pt>
                <c:pt idx="3">
                  <c:v>3</c:v>
                </c:pt>
                <c:pt idx="4">
                  <c:v>2.5</c:v>
                </c:pt>
                <c:pt idx="5">
                  <c:v>0.5</c:v>
                </c:pt>
                <c:pt idx="6">
                  <c:v>3</c:v>
                </c:pt>
                <c:pt idx="7">
                  <c:v>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68</c:v>
                </c:pt>
                <c:pt idx="1">
                  <c:v>56</c:v>
                </c:pt>
                <c:pt idx="2">
                  <c:v>60</c:v>
                </c:pt>
                <c:pt idx="3">
                  <c:v>54</c:v>
                </c:pt>
                <c:pt idx="4">
                  <c:v>58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106</c:v>
                </c:pt>
                <c:pt idx="1">
                  <c:v>97</c:v>
                </c:pt>
                <c:pt idx="2">
                  <c:v>96</c:v>
                </c:pt>
                <c:pt idx="3">
                  <c:v>88</c:v>
                </c:pt>
                <c:pt idx="4">
                  <c:v>90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98</c:v>
                </c:pt>
                <c:pt idx="1">
                  <c:v>80</c:v>
                </c:pt>
                <c:pt idx="2">
                  <c:v>65</c:v>
                </c:pt>
                <c:pt idx="3">
                  <c:v>66</c:v>
                </c:pt>
                <c:pt idx="4">
                  <c:v>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6183</c:v>
                </c:pt>
                <c:pt idx="1">
                  <c:v>6495</c:v>
                </c:pt>
                <c:pt idx="2">
                  <c:v>5107</c:v>
                </c:pt>
                <c:pt idx="3">
                  <c:v>5296</c:v>
                </c:pt>
                <c:pt idx="4">
                  <c:v>5260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5447</c:v>
                </c:pt>
                <c:pt idx="1">
                  <c:v>6328</c:v>
                </c:pt>
                <c:pt idx="2">
                  <c:v>4221</c:v>
                </c:pt>
                <c:pt idx="3">
                  <c:v>3899</c:v>
                </c:pt>
                <c:pt idx="4">
                  <c:v>3600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8.9</c:v>
                </c:pt>
                <c:pt idx="1">
                  <c:v>10.4</c:v>
                </c:pt>
                <c:pt idx="2">
                  <c:v>6.8</c:v>
                </c:pt>
                <c:pt idx="3">
                  <c:v>6.6</c:v>
                </c:pt>
                <c:pt idx="4">
                  <c:v>6.9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8.9</c:v>
                </c:pt>
                <c:pt idx="1">
                  <c:v>8.9</c:v>
                </c:pt>
                <c:pt idx="2">
                  <c:v>8.9</c:v>
                </c:pt>
                <c:pt idx="3">
                  <c:v>8.9</c:v>
                </c:pt>
                <c:pt idx="4">
                  <c:v>8.9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12.1</c:v>
                </c:pt>
                <c:pt idx="1">
                  <c:v>13.3</c:v>
                </c:pt>
                <c:pt idx="2">
                  <c:v>8.2</c:v>
                </c:pt>
                <c:pt idx="3">
                  <c:v>7.6</c:v>
                </c:pt>
                <c:pt idx="4">
                  <c:v>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2.18</c:v>
                </c:pt>
                <c:pt idx="1">
                  <c:v>1.42</c:v>
                </c:pt>
                <c:pt idx="2">
                  <c:v>1.68</c:v>
                </c:pt>
                <c:pt idx="3">
                  <c:v>1.86</c:v>
                </c:pt>
                <c:pt idx="4">
                  <c:v>1.79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2410</c:v>
                </c:pt>
                <c:pt idx="1">
                  <c:v>2305</c:v>
                </c:pt>
                <c:pt idx="2">
                  <c:v>1726</c:v>
                </c:pt>
                <c:pt idx="3">
                  <c:v>1203</c:v>
                </c:pt>
                <c:pt idx="4">
                  <c:v>935</c:v>
                </c:pt>
                <c:pt idx="5">
                  <c:v>9839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10901</c:v>
                </c:pt>
                <c:pt idx="1">
                  <c:v>582</c:v>
                </c:pt>
                <c:pt idx="2">
                  <c:v>5610</c:v>
                </c:pt>
                <c:pt idx="3">
                  <c:v>558</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742</c:v>
                </c:pt>
                <c:pt idx="1">
                  <c:v>818</c:v>
                </c:pt>
                <c:pt idx="2">
                  <c:v>821</c:v>
                </c:pt>
                <c:pt idx="3">
                  <c:v>768</c:v>
                </c:pt>
                <c:pt idx="4">
                  <c:v>878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5979</c:v>
                </c:pt>
                <c:pt idx="4">
                  <c:v>3088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3</c:v>
                </c:pt>
                <c:pt idx="1">
                  <c:v>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The Vanguard Group</c:v>
                </c:pt>
                <c:pt idx="1">
                  <c:v>BlackRock</c:v>
                </c:pt>
                <c:pt idx="2">
                  <c:v>Steven M. Rales (cofundador)</c:v>
                </c:pt>
                <c:pt idx="3">
                  <c:v>Mitchell P. Rales (cofundador)</c:v>
                </c:pt>
                <c:pt idx="4">
                  <c:v>Consejeros y directivos (21 personas, incluidos los Rales)</c:v>
                </c:pt>
                <c:pt idx="5">
                  <c:v>Autocartera</c:v>
                </c:pt>
              </c:strCache>
            </c:strRef>
          </c:cat>
          <c:val>
            <c:numRef>
              <c:f>Hoja1!$B$2:$B$7</c:f>
              <c:numCache>
                <c:formatCode>0.0"%"</c:formatCode>
                <c:ptCount val="6"/>
                <c:pt idx="0">
                  <c:v>8.6</c:v>
                </c:pt>
                <c:pt idx="1">
                  <c:v>7.2</c:v>
                </c:pt>
                <c:pt idx="2">
                  <c:v>6</c:v>
                </c:pt>
                <c:pt idx="3">
                  <c:v>4.7</c:v>
                </c:pt>
                <c:pt idx="4">
                  <c:v>10.8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73.1</c:v>
                </c:pt>
                <c:pt idx="1">
                  <c:v>20</c:v>
                </c:pt>
                <c:pt idx="2">
                  <c:v>11.8</c:v>
                </c:pt>
                <c:pt idx="3">
                  <c:v>49.6</c:v>
                </c:pt>
                <c:pt idx="4">
                  <c:v>45.3</c:v>
                </c:pt>
                <c:pt idx="5">
                  <c:v>48.6</c:v>
                </c:pt>
                <c:pt idx="6">
                  <c:v>-19</c:v>
                </c:pt>
                <c:pt idx="7">
                  <c:v>-1.2</c:v>
                </c:pt>
                <c:pt idx="8">
                  <c:v>-0.3</c:v>
                </c:pt>
                <c:pt idx="9">
                  <c:v>0.4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26.1</c:v>
                </c:pt>
                <c:pt idx="1">
                  <c:v>19.4</c:v>
                </c:pt>
                <c:pt idx="2">
                  <c:v>24.8</c:v>
                </c:pt>
                <c:pt idx="3">
                  <c:v>24.5</c:v>
                </c:pt>
                <c:pt idx="4">
                  <c:v>23.1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24.5</c:v>
                </c:pt>
                <c:pt idx="1">
                  <c:v>24.5</c:v>
                </c:pt>
                <c:pt idx="2">
                  <c:v>24.5</c:v>
                </c:pt>
                <c:pt idx="3">
                  <c:v>24.5</c:v>
                </c:pt>
                <c:pt idx="4">
                  <c:v>24.5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Danaher</c:v>
                </c:pt>
                <c:pt idx="1">
                  <c:v>Thermo Fisher</c:v>
                </c:pt>
                <c:pt idx="2">
                  <c:v>Agilent</c:v>
                </c:pt>
                <c:pt idx="3">
                  <c:v>Waters</c:v>
                </c:pt>
                <c:pt idx="4">
                  <c:v>Mettler-Toledo</c:v>
                </c:pt>
                <c:pt idx="5">
                  <c:v>Revvity</c:v>
                </c:pt>
                <c:pt idx="6">
                  <c:v>Qiagen</c:v>
                </c:pt>
                <c:pt idx="7">
                  <c:v>Abbott Laboratories</c:v>
                </c:pt>
              </c:strCache>
            </c:strRef>
          </c:cat>
          <c:val>
            <c:numRef>
              <c:f>Hoja1!$B$2:$B$9</c:f>
              <c:numCache>
                <c:formatCode>0.0"x"</c:formatCode>
                <c:ptCount val="8"/>
                <c:pt idx="0">
                  <c:v>20.6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Masimo</c:v>
                </c:pt>
                <c:pt idx="1">
                  <c:v>StatLab</c:v>
                </c:pt>
                <c:pt idx="2">
                  <c:v>Exact Sciences</c:v>
                </c:pt>
                <c:pt idx="3">
                  <c:v>Biosciences &amp; Diagnostic Solutions de BD</c:v>
                </c:pt>
                <c:pt idx="4">
                  <c:v>Abcam</c:v>
                </c:pt>
              </c:strCache>
            </c:strRef>
          </c:cat>
          <c:val>
            <c:numRef>
              <c:f>Hoja1!$B$2:$B$6</c:f>
              <c:numCache>
                <c:formatCode>0.0"x"</c:formatCode>
                <c:ptCount val="5"/>
                <c:pt idx="3">
                  <c:v>18.9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5713</c:v>
                </c:pt>
                <c:pt idx="1">
                  <c:v>6311</c:v>
                </c:pt>
                <c:pt idx="2">
                  <c:v>6857</c:v>
                </c:pt>
                <c:pt idx="3">
                  <c:v>7348</c:v>
                </c:pt>
                <c:pt idx="4">
                  <c:v>7654</c:v>
                </c:pt>
                <c:pt idx="5">
                  <c:v>7968</c:v>
                </c:pt>
                <c:pt idx="6">
                  <c:v>8256</c:v>
                </c:pt>
                <c:pt idx="7">
                  <c:v>8527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39550</c:v>
                </c:pt>
                <c:pt idx="1">
                  <c:v>80009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230,50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105.75</c:v>
                </c:pt>
                <c:pt idx="1">
                  <c:v>137.49</c:v>
                </c:pt>
                <c:pt idx="2">
                  <c:v>153.64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230,50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(160,93 – 242,80)</c:v>
                </c:pt>
                <c:pt idx="1">
                  <c:v>Precio objetivo de los analistas (195,00 – 275,00)</c:v>
                </c:pt>
                <c:pt idx="2">
                  <c:v>Comparables: PER NTM (206,63 – 262,81)</c:v>
                </c:pt>
                <c:pt idx="3">
                  <c:v>Transacciones precedentes (EV/ventas) (167,12 – 217,34)</c:v>
                </c:pt>
                <c:pt idx="4">
                  <c:v>DCF (WACC y g ± 0,5) (116,73 – 166,54)</c:v>
                </c:pt>
                <c:pt idx="5">
                  <c:v>Escenarios (bajista – alcista) (105,75 – 153,64)</c:v>
                </c:pt>
                <c:pt idx="6">
                  <c:v>DCF con la prima implícita del mercado (4,2 %)</c:v>
                </c:pt>
                <c:pt idx="7">
                  <c:v>Precio actual (230,50)</c:v>
                </c:pt>
              </c:strCache>
            </c:strRef>
          </c:cat>
          <c:val>
            <c:numRef>
              <c:f>Hoja1!$B$2:$B$9</c:f>
              <c:numCache>
                <c:formatCode>#,##0</c:formatCode>
                <c:ptCount val="8"/>
                <c:pt idx="0">
                  <c:v>160.93</c:v>
                </c:pt>
                <c:pt idx="1">
                  <c:v>195</c:v>
                </c:pt>
                <c:pt idx="2">
                  <c:v>206.63</c:v>
                </c:pt>
                <c:pt idx="3">
                  <c:v>167.12</c:v>
                </c:pt>
                <c:pt idx="4">
                  <c:v>116.73</c:v>
                </c:pt>
                <c:pt idx="5">
                  <c:v>105.75</c:v>
                </c:pt>
                <c:pt idx="6">
                  <c:v>151.27</c:v>
                </c:pt>
                <c:pt idx="7">
                  <c:v>229.35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(160,93 – 242,80)</c:v>
                </c:pt>
                <c:pt idx="1">
                  <c:v>Precio objetivo de los analistas (195,00 – 275,00)</c:v>
                </c:pt>
                <c:pt idx="2">
                  <c:v>Comparables: PER NTM (206,63 – 262,81)</c:v>
                </c:pt>
                <c:pt idx="3">
                  <c:v>Transacciones precedentes (EV/ventas) (167,12 – 217,34)</c:v>
                </c:pt>
                <c:pt idx="4">
                  <c:v>DCF (WACC y g ± 0,5) (116,73 – 166,54)</c:v>
                </c:pt>
                <c:pt idx="5">
                  <c:v>Escenarios (bajista – alcista) (105,75 – 153,64)</c:v>
                </c:pt>
                <c:pt idx="6">
                  <c:v>DCF con la prima implícita del mercado (4,2 %)</c:v>
                </c:pt>
                <c:pt idx="7">
                  <c:v>Precio actual (230,50)</c:v>
                </c:pt>
              </c:strCache>
            </c:strRef>
          </c:cat>
          <c:val>
            <c:numRef>
              <c:f>Hoja1!$C$2:$C$9</c:f>
              <c:numCache>
                <c:formatCode>#,##0</c:formatCode>
                <c:ptCount val="8"/>
                <c:pt idx="0">
                  <c:v>81.87</c:v>
                </c:pt>
                <c:pt idx="1">
                  <c:v>80</c:v>
                </c:pt>
                <c:pt idx="2">
                  <c:v>56.18000000000001</c:v>
                </c:pt>
                <c:pt idx="3">
                  <c:v>50.22</c:v>
                </c:pt>
                <c:pt idx="4">
                  <c:v>49.80999999999999</c:v>
                </c:pt>
                <c:pt idx="5">
                  <c:v>47.889999999999986</c:v>
                </c:pt>
                <c:pt idx="6">
                  <c:v>40.56</c:v>
                </c:pt>
                <c:pt idx="7">
                  <c:v>2.3000000000000114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