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Chocoladefabriken Lindt &amp; Sprüngli AG</w:t>
      </w:r>
    </w:p>
    <w:p>
      <w:pPr>
        <w:spacing w:after="60"/>
        <w:rPr>
          <w:color w:val="52514E"/>
          <w:sz w:val="22"/>
          <w:szCs w:val="22"/>
        </w:rPr>
      </w:pPr>
      <w:r>
        <w:rPr>
          <w:color w:val="52514E"/>
          <w:sz w:val="22"/>
          <w:szCs w:val="22"/>
        </w:rPr>
        <w:t xml:space="preserve">LISP · SIX Swiss Exchange (certificado de participación; la nominativa LISN, CH0010570759, equivale a 10 certificados) · ISIN CH0010570767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7.840,00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9.787,29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+27,1 % (base +21,9 %)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7.840,62 CHF · mercado 9.991,35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17.891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Chocoladefabriken Lindt &amp; Sprüngli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LISP / CH0010570767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 (certificado de participación; la nominativa LISN, CH0010570759, equivale a 10 certificados)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Alimentación envasada (chocolate prémium)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Kilchberg (Zúrich, Suiza) · 1845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https://www.lindt-spruengli.com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7.840,00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7.420,00 – 13.360,00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17.891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19.513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30,2 M CHF/día en certificados (3.508 al 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9.787,29 CHF</w:t>
      </w:r>
      <w:r>
        <w:t xml:space="preserve"> frente a 7.840,00 · Rentabilidad a 12 meses </w:t>
      </w:r>
      <w:r>
        <w:rPr>
          <w:b/>
          <w:bCs/>
        </w:rPr>
        <w:t xml:space="preserve">+27,1 % (base +21,9 %)</w:t>
      </w:r>
      <w:r>
        <w:t xml:space="preserve"> · Valor intrínseco 7.840,62 CHF · con la prima implícita del mercado: 9.991,35 (+27,4 %) · Alcista / bajista +17,7 % / -23,2 %</w:t>
      </w:r>
    </w:p>
    <w:p>
      <w:pPr>
        <w:spacing w:after="100"/>
      </w:pPr>
      <w:r>
        <w:rPr>
          <w:b/>
        </w:rPr>
        <w:t xml:space="preserve">La recomendación y por qué.</w:t>
      </w:r>
      <w:r>
        <w:t xml:space="preserve"> Mantener, con convicción baja. El certificado (7.840 CHF) cotiza a 23,2 veces nuestro BPA de 2027 frente a una mediana histórica de 36,8 veces, y la regla común da un objetivo a 12 meses de 9.787,29 CHF: una rentabilidad ponderada del 27,1 % y del 21,9 % en el caso base, con el objetivo medio de los analistas (9.628) un 1,7 % por debajo. Pero el valor intrínseco, 7.840,62 CHF, es igual al precio, y la regla de control v2 da solo un 15,5 % con un base del 11,1 %: la compra no es robusta. La convicción es baja porque toda la rentabilidad depende de recuperar múltiplo; subiría si las ventas del 19-ene-2027 muestran volumen estable en el 2S26, y bajaría con un tercer recorte.</w:t>
      </w:r>
    </w:p>
    <w:p>
      <w:pPr>
        <w:spacing w:after="100"/>
      </w:pPr>
      <w:r>
        <w:rPr>
          <w:b/>
        </w:rPr>
        <w:t xml:space="preserve">El negocio.</w:t>
      </w:r>
      <w:r>
        <w:t xml:space="preserve"> Lindt es la marca de chocolate más valiosa del mundo y el líder del prémium, con un margen EBIT del 16,4 % y un ROIC del 13,2 % (más del 20 % sin el superávit de pensiones) frente a un WACC del 5,53 % [1, 4]. Subió precios un 19 % en 2025 y amplió margen; en 2026 apareció el límite: volumen/mezcla del −7,5 % en el semestre y guía recortada de 6-8 % a 0-2 % orgánico [2, 4, 7]. La prueba de sostenibilidad da «Sí»: proyectamos un 3,5 % de crecimiento medio, por debajo de su historia y de su objetivo, con la misma cuota y sin capital nuevo.</w:t>
      </w:r>
    </w:p>
    <w:p>
      <w:pPr>
        <w:spacing w:after="100"/>
      </w:pPr>
      <w:r>
        <w:rPr>
          <w:b/>
        </w:rPr>
        <w:t xml:space="preserve">Sector y ciclo.</w:t>
      </w:r>
      <w:r>
        <w:t xml:space="preserve"> El ciclo del cacao lo explica todo: de unos 2.500 USD/t en 2022 a casi 12.000 en el pico de 2024-2025 y 5.746 hoy [16]. El coste de materiales pasó del 32,8 % al 37,4 % de las ventas y Lindt lo trasladó a precio; 2027 trae cacao más barato, que la empresa devolverá en parte con rebajas para recuperar volumen [1, 5].</w:t>
      </w:r>
    </w:p>
    <w:p>
      <w:pPr>
        <w:spacing w:after="100"/>
      </w:pPr>
      <w:r>
        <w:rPr>
          <w:b/>
        </w:rPr>
        <w:t xml:space="preserve">Finanzas.</w:t>
      </w:r>
      <w:r>
        <w:t xml:space="preserve"> Deuda neta ajustada de 1.622 M (1,3 veces el EBITDA), sin rating ni covenants; el flujo libre cayó en 2025 por las existencias de cacao caro y se recupera en 2026 [2, 4]. Recompra de hasta 1.000 M hasta 2029.</w:t>
      </w:r>
    </w:p>
    <w:p>
      <w:pPr>
        <w:spacing w:after="100"/>
      </w:pPr>
      <w:r>
        <w:rPr>
          <w:b/>
        </w:rPr>
        <w:t xml:space="preserve">Equipo y gobierno.</w:t>
      </w:r>
      <w:r>
        <w:t xml:space="preserve"> Equipo estable y de la casa, presidente ejecutivo desde 1994 sin sucesor anunciado, defensas antiopa fuertes (límites del 4 % y del 6 %) y certificados sin voto [1]. Dos recortes de guía en seis meses dañan la credibilidad [22].</w:t>
      </w:r>
    </w:p>
    <w:p>
      <w:pPr>
        <w:spacing w:after="100"/>
      </w:pPr>
      <w:r>
        <w:rPr>
          <w:b/>
        </w:rPr>
        <w:t xml:space="preserve">Valoración.</w:t>
      </w:r>
      <w:r>
        <w:t xml:space="preserve"> El DCF da 8.137,76 CHF (+3,8 %) y descuenta un 3,4 % de crecimiento anual en 2027-2033 frente a nuestro 4,3 %: el precio ya no pide el crecimiento de antes. Los comparables (6.187,91) tiran hacia abajo porque Hershey y Nestlé cotizan a 17 veces; con la prima de mercado actual el DCF sube a 10.583,76. Nuestro BPA coincide con el consenso; discrepamos en el múltiplo.</w:t>
      </w:r>
    </w:p>
    <w:p>
      <w:pPr>
        <w:spacing w:after="100"/>
      </w:pPr>
      <w:r>
        <w:rPr>
          <w:b/>
        </w:rPr>
        <w:t xml:space="preserve">Riesgos y catalizadores.</w:t>
      </w:r>
      <w:r>
        <w:t xml:space="preserve"> El mayor riesgo es que Europa no recupere volumen (bajista de −23,2 % en el DCF) y el segundo, un rebote del cacao. Catalizadores: Navidad, ventas de 2026 el 19-ene-2027 y guía de 2027 el 9-mar-2027. Los foros son negativos y desconfían de la guía, en la misma dirección que el informe.</w:t>
      </w:r>
    </w:p>
    <w:p>
      <w:pPr>
        <w:spacing w:after="100"/>
      </w:pPr>
      <w:r>
        <w:rPr>
          <w:b/>
        </w:rPr>
        <w:t xml:space="preserve">Qué cambiaría la decisión.</w:t>
      </w:r>
      <w:r>
        <w:t xml:space="preserve"> Compra por debajo de 7.775,57 CHF (las dos reglas dan Comprar) o con volumen positivo en el 2S26; venta por encima de 11.074,77 CHF o con un margen EBIT de 2026 por debajo del 16,4 %.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9.787,29 CHF</w:t>
      </w:r>
      <w:r>
        <w:t xml:space="preserve"> (rentabilidad +27,1 % (base +21,9 %)) · Valor intrínseco: 7.840,62 CHF (0,0 % sobre 7.840,00) · con la prima implícita del mercado: 9.991,35 (+27,4 %)</w:t>
      </w:r>
    </w:p>
    <w:p>
      <w:pPr>
        <w:spacing w:after="100"/>
      </w:pPr>
      <w:r>
        <w:t xml:space="preserve">Lindt &amp; Sprüngli es el líder mundial del chocolate prémium: 5.915,8 M CHF de ventas, margen EBIT del 16,4 % y 30 años seguidos subiendo el dividendo [2]. Lo que la hace valiosa es la marca: con el cacao a récord subió precios un 19 % en 2025 y aun así amplió margen [2].</w:t>
      </w:r>
    </w:p>
    <w:p>
      <w:pPr>
        <w:spacing w:after="100"/>
      </w:pPr>
      <w:r>
        <w:t xml:space="preserve">El precio, 7.840 CHF por certificado, descuenta un crecimiento del 3,4 % anual en 2027-2033 y un margen EBITDA del 22,9 %, menos de lo que la empresa ha hecho en el ciclo. A 23,4 veces el BPA de los próximos 12 meses, es su múltiplo más bajo en más de una década, aunque aún con prima sobre Hershey (17,2) y Nestlé (16,6) [26].</w:t>
      </w:r>
    </w:p>
    <w:p>
      <w:pPr>
        <w:spacing w:after="100"/>
      </w:pPr>
      <w:r>
        <w:t xml:space="preserve">El mercado acierta en que 2026 ha mostrado el límite del poder de precios (volumen del −7,5 %) y en que la guía ha perdido credibilidad [4, 7]. Para invertir hay que creer que el cacao más barato permite bajar precios sin perder margen y que el volumen vuelve en 2027. Lo creemos probable, pero el precio actual no paga por esperar: el valor intrínseco es igual al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9.787,29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 × 320,90 = 6.546,36 · 25,5x × 367,60 = 9.373,80 · 34,5x × 401,60 = 13.855,20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 / 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9.628,00 (nuestro base -2,6 %)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7.840,62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 -23,2 %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5,5 % y 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4,6 %)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9.991,35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7.840,62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7.840,62 y 11.074,77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11.074,77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del 27,1 %, base del 21,9 %), pero nos apartamos por tres razones que las cifras no recogen del todo. Primera, el valor intrínseco (7.840,62 CHF) es igual al precio: el filtro de valor real se cumple por 0,62 CHF, sin ningún margen de seguridad. Segunda, la regla de control v2 da Mantener (15,5 % y base del 11,1 %), así que la compra no es robusta y el veredicto de las pruebas es frágil. Tercera, toda la rentabilidad sale de que el PER pase de 23,2 a 25,5 veces, y eso exige que el volumen de Europa vuelva justo cuando la empresa ha recortado dos veces la guía en seis meses; la prueba llega el 19-ene-2027. Por debajo de 7.775,57 CHF (las dos reglas dan Comprar) pasaríamos a Comprar.</w:t>
      </w:r>
    </w:p>
    <w:p>
      <w:pPr>
        <w:pStyle w:val="Heading2"/>
      </w:pPr>
      <w:r>
        <w:t xml:space="preserve">Qué cambiaría la recomendación</w:t>
      </w:r>
    </w:p>
    <w:p>
      <w:pPr>
        <w:pStyle w:val="ListParagraph"/>
        <w:numPr>
          <w:ilvl w:val="0"/>
          <w:numId w:val="2"/>
        </w:numPr>
        <w:spacing w:after="60"/>
      </w:pPr>
      <w:r>
        <w:t xml:space="preserve">Precio por debajo de 7.775,57 CHF: las dos reglas dan Comprar (pasaríamos a Comprar).</w:t>
      </w:r>
    </w:p>
    <w:p>
      <w:pPr>
        <w:pStyle w:val="ListParagraph"/>
        <w:numPr>
          <w:ilvl w:val="0"/>
          <w:numId w:val="2"/>
        </w:numPr>
        <w:spacing w:after="60"/>
      </w:pPr>
      <w:r>
        <w:t xml:space="preserve">Volumen/mezcla positivo en el 2S26 (ventas del 19-ene-2027): subiríamos a Comprar.</w:t>
      </w:r>
    </w:p>
    <w:p>
      <w:pPr>
        <w:pStyle w:val="ListParagraph"/>
        <w:numPr>
          <w:ilvl w:val="0"/>
          <w:numId w:val="2"/>
        </w:numPr>
        <w:spacing w:after="60"/>
      </w:pPr>
      <w:r>
        <w:t xml:space="preserve">Margen EBIT de 2026 por debajo del 16,4 % o tercer recorte de guía: revisaríamos el BPA a la baja y podríamos pasar a Vender.</w:t>
      </w:r>
    </w:p>
    <w:p>
      <w:pPr>
        <w:pStyle w:val="ListParagraph"/>
        <w:numPr>
          <w:ilvl w:val="0"/>
          <w:numId w:val="2"/>
        </w:numPr>
        <w:spacing w:after="60"/>
      </w:pPr>
      <w:r>
        <w:t xml:space="preserve">Futuro de cacao por encima de 8.000 USD/t durante un trimestre: recortaríamos el margen de 2027-2028.</w:t>
      </w:r>
    </w:p>
    <w:p>
      <w:pPr>
        <w:pStyle w:val="ListParagraph"/>
        <w:numPr>
          <w:ilvl w:val="0"/>
          <w:numId w:val="2"/>
        </w:numPr>
        <w:spacing w:after="60"/>
      </w:pPr>
      <w:r>
        <w:t xml:space="preserve">Precio por encima de 11.074,77 CHF: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Lindt ha pasado de compuesto de alto crecimiento a marca de consumo madura: un 3,4 % de crecimiento anual, el margen estancado y 23 veces el beneficio, un tercio menos que su mediana histórica.</w:t>
      </w:r>
    </w:p>
    <w:p>
      <w:pPr>
        <w:keepNext/>
        <w:spacing w:after="100"/>
      </w:pPr>
      <w:r>
        <w:rPr>
          <w:b/>
          <w:bCs/>
        </w:rPr>
        <w:t xml:space="preserve">Lo que creemos nosotros.</w:t>
      </w:r>
    </w:p>
    <w:p>
      <w:pPr>
        <w:spacing w:after="100"/>
      </w:pPr>
      <w:r>
        <w:t xml:space="preserve">Coincidimos con el consenso en el beneficio (BPA de 367,6 CHF en 2028) y creemos que el volumen vuelve en 2027 con el cacao más barato; el múltiplo puede recuperar parte del descuento, pero no volver a 35 veces.</w:t>
      </w:r>
    </w:p>
    <w:p>
      <w:pPr>
        <w:keepNext/>
        <w:spacing w:after="100"/>
      </w:pPr>
      <w:r>
        <w:rPr>
          <w:b/>
          <w:bCs/>
        </w:rPr>
        <w:t xml:space="preserve">Por qué podemos tener razón.</w:t>
      </w:r>
    </w:p>
    <w:p>
      <w:pPr>
        <w:spacing w:after="100"/>
      </w:pPr>
      <w:r>
        <w:t xml:space="preserve">Norteamérica crece al 12,7 % y Resto del mundo al 10,2 % con la misma marca; el problema es Europa madura, que pesa la mitad [4]. No tenemos una visión distinta del mercado en el beneficio: la diferencia es solo de múltiplo, y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7.84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Marca con poder de precios demostrado</w:t>
      </w:r>
      <w:r>
        <w:t xml:space="preserve">: +19 % de precio en 2025 con el margen EBIT al alza hasta el 16,4 % [2].</w:t>
      </w:r>
    </w:p>
    <w:p>
      <w:pPr>
        <w:pStyle w:val="ListParagraph"/>
        <w:numPr>
          <w:ilvl w:val="0"/>
          <w:numId w:val="2"/>
        </w:numPr>
        <w:spacing w:after="60"/>
      </w:pPr>
      <w:r>
        <w:rPr>
          <w:b/>
        </w:rPr>
        <w:t xml:space="preserve">Múltiplo en mínimos de una década</w:t>
      </w:r>
      <w:r>
        <w:t xml:space="preserve">: 23,4 veces el BPA de los próximos 12 meses frente a una mediana adelantada de 36,8 [23].</w:t>
      </w:r>
    </w:p>
    <w:p>
      <w:pPr>
        <w:pStyle w:val="ListParagraph"/>
        <w:numPr>
          <w:ilvl w:val="0"/>
          <w:numId w:val="2"/>
        </w:numPr>
        <w:spacing w:after="60"/>
      </w:pPr>
      <w:r>
        <w:rPr>
          <w:b/>
        </w:rPr>
        <w:t xml:space="preserve">Cacao a la baja</w:t>
      </w:r>
      <w:r>
        <w:t xml:space="preserve">: 5.746 USD/t frente a casi 12.000 en el pico, viento de cola en 2027 [16].</w:t>
      </w:r>
    </w:p>
    <w:p>
      <w:pPr>
        <w:pStyle w:val="ListParagraph"/>
        <w:numPr>
          <w:ilvl w:val="0"/>
          <w:numId w:val="2"/>
        </w:numPr>
        <w:spacing w:after="60"/>
      </w:pPr>
      <w:r>
        <w:rPr>
          <w:b/>
        </w:rPr>
        <w:t xml:space="preserve">Retribución</w:t>
      </w:r>
      <w:r>
        <w:t xml:space="preserve">: recompra de hasta 1.000 M hasta 2029 y dividendo del 2,3 % [13].</w:t>
      </w:r>
    </w:p>
    <w:p>
      <w:pPr>
        <w:pStyle w:val="ListParagraph"/>
        <w:numPr>
          <w:ilvl w:val="0"/>
          <w:numId w:val="2"/>
        </w:numPr>
        <w:spacing w:after="60"/>
      </w:pPr>
      <w:r>
        <w:rPr>
          <w:b/>
        </w:rPr>
        <w:t xml:space="preserve">Crecimiento fuera de Europa</w:t>
      </w:r>
      <w:r>
        <w:t xml:space="preserve">: Norteamérica +12,7 % y Resto del mundo +10,2 % en el 1S26 [4].</w:t>
      </w:r>
    </w:p>
    <w:p>
      <w:pPr>
        <w:pStyle w:val="Heading2"/>
      </w:pPr>
      <w:r>
        <w:t xml:space="preserve">En contra</w:t>
      </w:r>
    </w:p>
    <w:p>
      <w:pPr>
        <w:pStyle w:val="ListParagraph"/>
        <w:numPr>
          <w:ilvl w:val="0"/>
          <w:numId w:val="2"/>
        </w:numPr>
        <w:spacing w:after="60"/>
      </w:pPr>
      <w:r>
        <w:rPr>
          <w:b/>
        </w:rPr>
        <w:t xml:space="preserve">Valor intrínseco igual al precio</w:t>
      </w:r>
      <w:r>
        <w:t xml:space="preserve">: 7.840,62 CHF, sin margen de seguridad.</w:t>
      </w:r>
    </w:p>
    <w:p>
      <w:pPr>
        <w:pStyle w:val="ListParagraph"/>
        <w:numPr>
          <w:ilvl w:val="0"/>
          <w:numId w:val="2"/>
        </w:numPr>
        <w:spacing w:after="60"/>
      </w:pPr>
      <w:r>
        <w:rPr>
          <w:b/>
        </w:rPr>
        <w:t xml:space="preserve">Volumen en caída</w:t>
      </w:r>
      <w:r>
        <w:t xml:space="preserve">: −7,5 % en el 1S26 y guía de 0-2 % orgánico [4, 7].</w:t>
      </w:r>
    </w:p>
    <w:p>
      <w:pPr>
        <w:pStyle w:val="ListParagraph"/>
        <w:numPr>
          <w:ilvl w:val="0"/>
          <w:numId w:val="2"/>
        </w:numPr>
        <w:spacing w:after="60"/>
      </w:pPr>
      <w:r>
        <w:rPr>
          <w:b/>
        </w:rPr>
        <w:t xml:space="preserve">Credibilidad</w:t>
      </w:r>
      <w:r>
        <w:t xml:space="preserve">: dos recortes de guía en seis meses [22].</w:t>
      </w:r>
    </w:p>
    <w:p>
      <w:pPr>
        <w:pStyle w:val="ListParagraph"/>
        <w:numPr>
          <w:ilvl w:val="0"/>
          <w:numId w:val="2"/>
        </w:numPr>
        <w:spacing w:after="60"/>
      </w:pPr>
      <w:r>
        <w:rPr>
          <w:b/>
        </w:rPr>
        <w:t xml:space="preserve">Asimetría del DCF desfavorable</w:t>
      </w:r>
      <w:r>
        <w:t xml:space="preserve">: bajista −23,2 % frente a alcista +17,7 %.</w:t>
      </w:r>
    </w:p>
    <w:p>
      <w:pPr>
        <w:pStyle w:val="ListParagraph"/>
        <w:numPr>
          <w:ilvl w:val="0"/>
          <w:numId w:val="2"/>
        </w:numPr>
        <w:spacing w:after="60"/>
      </w:pPr>
      <w:r>
        <w:rPr>
          <w:b/>
        </w:rPr>
        <w:t xml:space="preserve">Gobierno</w:t>
      </w:r>
      <w:r>
        <w:t xml:space="preserve">: presidente ejecutivo desde 1994 sin sucesor y certificados sin voto [1].</w:t>
      </w:r>
    </w:p>
    <w:p>
      <w:pPr>
        <w:pStyle w:val="Heading2"/>
      </w:pPr>
      <w:r>
        <w:t xml:space="preserve">Qué tiene que pasar para que la tesis funcione</w:t>
      </w:r>
    </w:p>
    <w:p>
      <w:pPr>
        <w:spacing w:after="100"/>
      </w:pPr>
      <w:r>
        <w:t xml:space="preserve">La tesis depende de que el volumen de Europa se estabilice en el 2S26 y crezca en 2027 sin sacrificar margen. La señal de que no se cumple: volumen/mezcla del año 2026 peor que −6 % en las ventas del 19-ene-2027, o una guía de 2027 sin mejora de margen el 9-mar-2027.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Volumen/mezcla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−6 % en el año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marca recupera al consumidor.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Europa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2026 completo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es la mitad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16,4 %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+20-40 pb confirmada.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Futuro de cacao (ICE)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5.746 USD/t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 USD/t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del 35-37 %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materiales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36 %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Dice si el cacao barato llega a la cuenta.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 / 14,5x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24,7x / 23,4x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Lindt &amp; Sprüngli nace de la fusión en 1899 de la chocolatería de Rudolf Sprüngli (Zúrich, 1845) con la de Rodolphe Lindt (Berna), inventor de la conchadora en 1879, que dio el chocolate fundente [1]. Cotiza en la SIX desde 1986 con dos líneas: la acción nominativa (LISN) y el certificado de participación sin voto (LISP) [1]. La compañía moderna la hizo Ernst Tanner, consejero delegado desde 1993 y presidente desde 1994: internacionalizó la marca Lindt, compró Ghirardelli (1998), Caffarel (1997), Hofbauer y Küfferle y, en 2014, Russell Stover en EE. UU. [1]. Desde 2022 la dirige Adalbert Lechner, con Tanner como presidente ejecutivo [1]. En 2024-2026 superó el choque del cacao a récord con subidas de precio de dos dígitos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1845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Rudolf Sprüngli abre su confitería en Zúrich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Rodolphe Lindt inventa la conchadora (chocolate fundente)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Sprüngli compra la fábrica de Lindt: nace Chocoladefabriken Lindt &amp; Sprüngli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con acciones nominativas y certificados de participación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Tanner, consejero delegado (presidente desde 1994)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Ghirardelli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Russell Stover: EE. UU. pasa a ser el primer mercado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Adalbert Lechner, consejero delegado; Tanner sigue como presidente ejecutivo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Cacao a récord: subidas de precio del 19 % en 2025 y margen EBIT del 16,4 %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recortes de la guía de ventas (4-6 % en marzo; 0-2 % en septiembre); la acción pierde un 40 % en un año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Lindt &amp; Sprüngli fabrica y vende chocolate prémium con las marcas Lindt, Ghirardelli, Russell Stover y Whitman's (EE. UU.), Caffarel (Italia), Hofbauer y Küfferle (Austria) y Pangburn's [1]. Produce en once fábricas propias (seis en Europa y cinco en EE. UU.) y vende a través de 41 filiales y unos 100 distribuidores, sobre todo a la gran distribución (cuentas clave locales e internacionales), y de forma directa en 648 tiendas propias y webs (Global Retail: 986,3 M CHF en 2025, el 16,7 % de las ventas) [1, 4]. Ningún cliente supera el 10 % de las ventas [1]. Los productos estrella son Lindor, las tabletas Excellence (chocolate negro), los productos de temporada (Gold Bunny de Pascua, Teddy y Navidad) y, desde 2025, el chocolate «estilo Dubái» [2]. El negocio es muy estacional: menos del 40 % de las ventas cae en el primer semestre, que soporta la mitad de los costes fijos [3].</w:t>
      </w:r>
    </w:p>
    <w:p>
      <w:pPr>
        <w:pStyle w:val="Heading2"/>
      </w:pPr>
      <w:r>
        <w:t xml:space="preserve">Cómo gana dinero</w:t>
      </w:r>
    </w:p>
    <w:p>
      <w:pPr>
        <w:spacing w:after="100"/>
      </w:pPr>
      <w:r>
        <w:t xml:space="preserve">Margen bruto alto por marca y mezcla prémium: tras materiales (consumos netos de existencias) le quedaba el 62,6 % de las ventas en 2025 (65,2 % en 2024) [1]. El cacao, la manteca de cacao, la leche, el azúcar y los frutos secos son el coste que mueve el margen; la empresa cubre las compras de cacao con 12-24 meses de antelación y traslada el coste a precio con retraso: subió precios un 19,0 % en 2025 y un 11,8 % en el 1S26, con volumen/mezcla del −6,6 % y del −7,5 % [2, 4]. Personal (19 % de las ventas) y gastos operativos (23 %, incluida la publicidad) dan apalancamiento operativo: la dirección promete +20-40 pb de margen EBIT al año [2]. El EBIT se concentra en el segundo semestre (Navidad): 11,2 % de margen en el 1S26 frente al 16,4 % del año 2025 [2,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atomizados: ningún cliente pasa del 10 % de las ventas [1]; los grandes son las cadenas de distribución de Alemania, EE. UU., Suiza y Reino Unido, y el 16,7 % se vende directamente al consumidor en tiendas y webs propias [1]. El poder de precios está demostrado con cifras: con el cacao en máximos subió precios un 19,0 % en 2025 y un 11,8 % en el 1S26 y aun así amplió el margen EBIT (16,2 → 16,4 %) [2, 4]. El límite apareció en 2026: el volumen/mezcla cayó un 7,5 % en el semestre, sobre todo en Alemania, Suiza y Austria, y la empresa ha tenido que anunciar rebajas selectivas de precio en Alemania y Suiza [4, 5,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(2025); 4,3 % (1S26); guía 2026: 0-2 %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Fuerte desaceleración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recortes de guía en 2026 (marzo: 6-8 → 4-6 %; septiembre: 4-6 → 0-2 %)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se apaga en el 2S26; rebajas selectivas en Alemania y Suiza [2,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Volumen/mezcla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Elasticidad alta en Europa; la empresa promete volumen positivo en 2027 [2,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(2025); guía 2026 +20-40 pb</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confirmada el 29-sep-2026 pese al recorte de ventas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Retail creció un 4,3 % orgánico en el 1S26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635,3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446,3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existencias valoradas a cacao caro; 1S26: 61,1 M frente a −79,7 M [2,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chocolate de consumo (tabletas, bombones, productos de temporada y regalo), en valor a precio de venta al público, según Euromonitor, que es la fuente de las cuotas que publica la empresa [11]. Lindt compite en el segmento prémium, que no tiene tamaño publicado de forma independiente. Usamos como mercado relevante el chocolate en conjunto, con su tamaño derivado de la cuota de Lindt (5,8 % del valor mundial en 2025 con 5.915,8 M CHF de ventas): unos 102.000 M CHF (estimación propia) [11]. Lo contrastamos con dos casas de estudios: Allied Market Research (87.500 M USD en 2023) y Lucintel (123.700 M USD en 2030) [17,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102.000 M CHF en 2025 (estimación propia a partir de la cuota de Euromonitor) [11]; 87.500 M USD en 2023 según Allied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HF (estimación propia a partir de la cuota; previsiones con el TCAC del 4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cacao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futuro de ICE pasó de unos 2.500 USD/t en 2022 a casi 12.000 en ene-2025, cayó a unos 3.000 en abr-2026 y vuelve a 5.746 el 14-oct-2026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(de cantidad a calidad)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mercado creció un 7,4 % en valor con un −5,9 % de volumen y el prémium ganó cuota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Elasticidad al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Volumen/mezcla de Lindt −7,5 % en el 1S26; el mercado perdió cerca de un 5 % de volumen en el 1S25 [5,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Circana, los hogares con GLP-1 (15 % en EE. UU.) compran un 6,5 % más de chocolate prémium; el chocolate total crece menos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 blanca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blanca ganó cuota con los consumidores sensibles al precio en 2024-2025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Turismo y viajes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turistas de Asia y Oriente Medio en Europa restaron al 1S26 de Lindt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grupos tienen el 57 % del mercado (Mars 12,6 %, Mondelez 12,3 %, Ferrero 10,6 %) y compiten en marca e innovación, con el precio contenido por la marca blanca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gran distribución negocia fuerte (Alemania, Suiza), pero ningún cliente pasa del 10 % de las ventas de Lindt y un 17 % es venta directa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Costa de Marfil y Ghana concentran la mayor parte del cacao, con precios regulados en origen y cosechas castigadas por clima y enfermedades; el cacao se multiplicó por cuatro en dos años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distribución en estantería y escala industrial son barreras; las marcas nuevas (Dubái, artesanas) entran en nichos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dulces y snacks sustituyen al chocolate de diario, menos al de regalo y temporada, donde Lindt es más fuerte [11].</w:t>
            </w:r>
          </w:p>
        </w:tc>
      </w:tr>
    </w:tbl>
    <w:p>
      <w:pPr>
        <w:spacing w:after="160" w:before="0"/>
      </w:pPr>
    </w:p>
    <w:p>
      <w:pPr>
        <w:pStyle w:val="Heading2"/>
      </w:pPr>
      <w:r>
        <w:t xml:space="preserve">Ciclo</w:t>
      </w:r>
    </w:p>
    <w:p>
      <w:pPr>
        <w:spacing w:after="100"/>
      </w:pPr>
      <w:r>
        <w:t xml:space="preserve">El volumen del mercado mundial cayó un 5,9 % en 2025 y siguió cayendo en 2026 por las subidas de precio del cacao [1, 5]. El chocolate es defensivo en recesiones (en 2009 y 2020 los volúmenes aguantaron; en 2020 la caída de Lindt vino del cierre de tiendas y del turismo), pero muy sensible a la inflación de materias primas: en 2022-2023 y 2024-2026 el sector subió precios y perdió volumen. El cacao más barato desde 2026 y las rebajas de precio son la palanca de la recuperación que la industria espera para 2027 [7].</w:t>
      </w:r>
    </w:p>
    <w:p>
      <w:pPr>
        <w:pStyle w:val="Heading2"/>
      </w:pPr>
      <w:r>
        <w:t xml:space="preserve">Regulación</w:t>
      </w:r>
    </w:p>
    <w:p>
      <w:pPr>
        <w:spacing w:after="100"/>
      </w:pPr>
      <w:r>
        <w:t xml:space="preserve">El Reglamento europeo de deforestación (EUDR) obliga a demostrar el origen libre de deforestación del cacao; su aplicación se aplazó a finales de 2025-2026 para las grandes empresas, con costes de trazabilidad que Lindt dice tener cubiertos con su Farming Program [1]. En EE. UU., los aranceles de 2025 encarecieron las importaciones desde Europa (Lindt cobró en el 1S26 una devolución de 11,7 M) [5]. Costa de Marfil y Ghana fijan el precio en origen y han subido el precio al productor. En julio de 2026 Lindt fue demandada en EE. UU. por presunto trabajo infantil en su cadena de cacao [20].</w:t>
      </w:r>
    </w:p>
    <w:p>
      <w:pPr>
        <w:pStyle w:val="Heading2"/>
      </w:pPr>
      <w:r>
        <w:t xml:space="preserve">Tendencias y disrupción</w:t>
      </w:r>
    </w:p>
    <w:p>
      <w:pPr>
        <w:spacing w:after="100"/>
      </w:pPr>
      <w:r>
        <w:t xml:space="preserve">De cantidad a calidad: el consumidor compra menos chocolate pero más caro, lo que favorece al prémium y a la marca blanca a la vez [1, 12]. Productos virales (chocolate estilo Dubái en 2025) dan picos de demanda [1]. Los GLP-1 reducen las porciones pero, según los datos de la propia Lindt, no castigan al prémium [11]. La venta directa (tiendas propias y web) crece más que la distribución. La industria creó en 2026 la fundación TogetherCocoa (Lindt, Mars, Mondelez, Nestlé, Hershey) para la renta de los productores [4]. Lindt gana con la premiumización y pierde con la elasticidad de Europa.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6.º grupo mundial de chocolate por valor (5,8 %; 7 % en Europa y Norteamérica) y líder del chocolate prémium; cuota del 10-22 % en sus mercados maduros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M&amp;M's, Snickers, Galaxy; compró Hotel Chocolat (2023) y Kellanova (2025)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Milka, Cadbury, Toblerone; chocolate ≈ un tercio de sus ventas; margen operativo del último trimestre [11,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Ferrero Rocher, Kinder, Nutella; rival directo en regalo y temporada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KitKat, Cailler; la confitería es una parte pequeña del grupo [11,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Hershey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chocolate en EE. UU.; compite con Russell Stover y Ghirardelli [11,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Barry Callebaut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industrial de chocolate y cacao (no compite en marca); termómetro del precio del cacao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alimentos de marca.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para el consumidor; algo de hábito en regalo y temporada.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Lindt es la marca de chocolate más valiosa del mundo (11.700 M USD, +24 %) y subió precios un 19 % en 2025 ampliando el margen [10,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de la semilla a la tableta, pero sin la escala de compra de Mars o Mondelez; el margen viene del precio, no del coste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648 tiendas propias y estantería en la gran distribución difícil de replicar en el prémium [10].</w:t>
            </w:r>
          </w:p>
        </w:tc>
      </w:tr>
    </w:tbl>
    <w:p>
      <w:pPr>
        <w:spacing w:after="160" w:before="0"/>
      </w:pPr>
    </w:p>
    <w:p>
      <w:pPr>
        <w:pStyle w:val="Heading2"/>
      </w:pPr>
      <w:r>
        <w:t xml:space="preserve">Amenazas</w:t>
      </w:r>
    </w:p>
    <w:p>
      <w:pPr>
        <w:spacing w:after="100"/>
      </w:pPr>
      <w:r>
        <w:t xml:space="preserve">Lo que puede erosionar el foso es la elasticidad del precio en los mercados maduros: después de dos años de subidas de dos dígitos, el consumidor alemán y suizo ha dejado de comprar (volumen/mezcla −7,5 % en el 1S26) y la marca blanca ganó cuota [4, 12]. Probabilidad media de que el margen bruto no vuelva a niveles de 2024 si el cacao se queda por encima de 5.000 USD/t. Riesgo de reputación por la demanda de trabajo infantil de julio de 2026 [20]. Baja probabilidad de que un competidor de marca le quite el prémium: Ferrero y Mars compiten en regalo, pero Lindt sigue ganando cuota en EE. UU. [5].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6,6 %</w:t>
      </w:r>
      <w:r>
        <w:t xml:space="preserve">, EBITDA </w:t>
      </w:r>
      <w:r>
        <w:rPr>
          <w:b/>
          <w:bCs/>
        </w:rPr>
        <w:t xml:space="preserve">8,4 %</w:t>
      </w:r>
      <w:r>
        <w:t xml:space="preserve">, BPA </w:t>
      </w:r>
      <w:r>
        <w:rPr>
          <w:b/>
          <w:bCs/>
        </w:rPr>
        <w:t xml:space="preserve">11,6 %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4.585,5 M CHF en 2021 a 5.915,8 M en 2025 (8,2 % en 2025 en francos con un 12,4 % orgánico y un −3,9 % de divisa) [1, 2]. El crecimiento es orgánico (sin compras relevantes desde Russell Stover en 2014) y en 2024-2026 casi todo es precio: +19,0 % en 2025 y +11,8 % en el 1S26, con volumen/mezcla negativo [2, 4]. El margen EBIT subió de 14,1 % (2021) a 16,4 % (2025), +230 pb, porque personal y gastos operativos ganaron escala (personal del 19,5 % al 19,0 % de las ventas en 2025) mientras el coste de materiales netos pasó del 34,8 % al 37,4 % de las ventas por el cacao [1]. En el 1S26 los materiales subieron 220 pb más (35,5 % de las ventas) y el EBIT se sostuvo con recortes de personal y gastos operativos (−100 y −130 pb) [5]. El divisa resta cada año: −3,9 % en 2025 y −5,2 % en el 1S26 [2, 5].</w:t>
      </w:r>
    </w:p>
    <w:p>
      <w:pPr>
        <w:pStyle w:val="Heading2"/>
      </w:pPr>
      <w:r>
        <w:t xml:space="preserve">Ajustes y partidas no recurrentes</w:t>
      </w:r>
    </w:p>
    <w:p>
      <w:pPr>
        <w:spacing w:after="100"/>
      </w:pPr>
      <w:r>
        <w:t xml:space="preserve">Lindt no publica cifras ajustadas: usamos las reportadas. Partidas que no se repiten: en 2023 el beneficio neto incluye un ingreso fiscal único de 69,7 M CHF por la reforma fiscal suiza (sin él, 601,7 M) [1]; en el 1S26, otros ingresos incluyen 11,7 M de devolución de aranceles de EE. UU. [3]. El flujo de explotación de 2024 y 2025 incluye márgenes de variación de derivados de cacao (+232,7 M recibidos en 2024; −23,7 M depositados en 2025): sin ellos sería 949,3 M y 544,1 M [1]. Las cifras de 2021-2023 de coste de materiales, resultado financiero e impuestos son derivadas de Stock Analysis (margen antes de impuestos publicado), no de las cuentas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1S26 (21-jul-2026) la dirección presentó un «plan de recuperación del volumen»: el precio deja de ser la palanca, se anuncian rebajas selectivas en Alemania y Suiza, nuevos formatos y puntos de precio de Lindor y más inversión en marca, con el objetivo de estabilizar el volumen en el 2S26 y volver a crecer en volumen en 2027 [5]. El director financiero avisó de que el efecto precio «se apaga» en el segundo semestre y de que el coste de materiales, 35,5 % de las ventas en el semestre (+220 pb), terminaría el año en línea con 2025, con un efecto positivo del cacao más barato en 2027 [5]. Frente a la presentación de 2025, cuando el discurso era la baja elasticidad en Europa y el crecimiento del 11,2 % [12], el tono pasó a defensivo. El 29-sep la empresa recortó la guía de ventas a 0-2 % orgánico por pedidos de temporada más débiles en Alemania, Suiza y Austria y una ola de calor, mantuvo la de margen y aplazó a «desde 2028» el objetivo de 6-8 % [7]. La transcripción publicada solo recoge la presentación; no incluye el turno de preguntas.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es baja: 1.239,2 M de bonos y préstamos y 668,8 M de caja a cierre de 2025, a menos de una vez el EBITDA [1]. Las existencias subieron de 941,3 M a 1.190,1 M en 2025 (+26 %) por el cacao caro, y a 1.480,1 M en junio de 2026 por la estacionalidad [1, 3]. La deuda neta sube por la retribución al accionista, no por el negocio: dividendos de 413,9 M y recompras de 100,1 M en el 1S26 [3]. El patrimonio cayó a 4.393,2 M en junio por el dividendo y la revalorización negativa de las pensiones [3].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2.266</w:t>
      </w:r>
      <w:r>
        <w:t xml:space="preserve">, conversión </w:t>
      </w:r>
      <w:r>
        <w:rPr>
          <w:b/>
          <w:bCs/>
        </w:rPr>
        <w:t xml:space="preserve">72 %</w:t>
      </w:r>
      <w:r>
        <w:t xml:space="preserve"> del beneficio neto; adquisiciones 2, dividendos 1.518, recompras 2.216.</w:t>
      </w:r>
    </w:p>
    <w:p>
      <w:pPr>
        <w:spacing w:after="100"/>
      </w:pPr>
      <w:r>
        <w:t xml:space="preserve">La conversión de beneficio en caja es buena en años normales y la tuerce el cacao: el flujo de explotación pasó de 1.182,0 M en 2024 a 520,4 M en 2025 porque las existencias subieron 320,6 M (cacao más caro) y se devolvieron 232,7 M de márgenes de variación recibidos en 2024 [1]. Sin los márgenes de variación, 949,3 M y 544,1 M [1]. El capex (inmovilizado e intangibles) es de 230-330 M al año, 5-6 % de las ventas, algo por encima de la amortización de inmovilizado; la fábrica nueva de chocolate (operativa en 2027) explica parte del aumento [1, 5]. Desde 2021 la empresa ha devuelto 5.400 M (dividendos y recompras), más que su flujo libre, compensado en parte por el ejercicio de opciones de empleados (emisión de 717 M) [1, 9].</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NIIF auditadas por PwC desde 2002; en 2025 hubo concurso de auditoría y el consejo propuso mantener a PwC para 2026 (el socio firmante, desde 2020, cumple siete años en 2026) [1]. Desde el 1-ene-2025 la empresa aplica la exención de «uso propio» de la NIIF 9 a los futuros de cacao, lo que cambia la contabilización de coberturas (−178,3 M en la reserva de coberturas en 2025) [1]. No capitaliza I+D relevante. Los pagos en acciones (opciones sobre certificados) cuestan 24,1 M al año, un 3 % del beneficio, y diluyen alrededor de un 1 % anual antes de recompras [1]. Partidas no recurrentes visibles: el ingreso fiscal de 69,7 M de 2023 y la devolución de aranceles de 11,7 M en el 1S26 [1, 3]. El gran activo de pensiones (2.530,7 M) es el punto delicado: está invertido en buena parte en acciones de la propia Lindt, de modo que el balance y el resultado global dependen de la cotización [1,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de pensiones invertido en acciones propias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fundaciones de pensiones tienen el 15,6 % del capital nominativo; el superávit (2.530,7 M) baja con la acción (−312,8 M en el 1S26)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en coberturas de cacao (uso propio, NIIF 9,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Altera la comparabilidad de la reserva de coberturas y de los derivados en balance, no del EBIT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24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Concurso hecho en 2025 y PwC propuesta de nuevo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5,5 %.</w:t>
      </w:r>
    </w:p>
    <w:p>
      <w:pPr>
        <w:spacing w:after="100"/>
      </w:pPr>
      <w:r>
        <w:t xml:space="preserve">Lindt crea valor: el ROIC del motor sube del 8,8 % en 2021 al 13,2 % en 2025 frente a un WACC del 5,53 %, unos 7,7 puntos de diferencia. La cifra está deprimida porque el capital invertido del motor incluye el activo de pensiones (2.530,7 M en 2025), que es superávit de las fundaciones y no capital operativo [1]; sin él el ROIC estaría por encima del 20 %. El ROIC sale del margen (EBIT del 16,4 %) más que de la rotación, que es baja por el circulante (34 % de las ventas a cierre de año, por la estacionalidad de Navidad y el cacao caro) [1]. El crecimiento reciente fue de calidad: entre 2021 y 2025 el EBIT subió 326 M con muy poca inversión neta adicional (capex medio del 5,5 % de las ventas frente a una amortización del 5,3 %) [1]. Frente a sus rivales, el margen EBITDA del 21,5 % está a la par de Hershey (22,4 %) y por encima de Mondelez (15,3 %) y Nestlé (18,5 %) [26].</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406,6 M CHF a 30-jun-2026 (668,2 M a cierre de 2025) [1, 3]; deuda bruta de 1.301,1 M (bonos 1.174,0 M y préstamos bancarios 127,1 M) más 545,1 M de arrendamientos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(los bonos en CHF cotizan sin calificación de agencia en las cuentas)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el balance recoge un activo por planes de prestación definida de 2.530,7 M CHF a cierre de 2025 (2.119,1 M a jun-26) y un pasivo de 88,8 M [1, 3]. Ese superávit sale en gran parte de las acciones nominativas de Lindt que poseen las dos fundaciones de pensiones del grupo (20.884 acciones, 15,6 % del capital nominativo) [1]: cae cuando cae la acción (−312,8 M de revalorización negativa en el 1S26) [3] y no lo contamos como valor en el puente. No hay covenants financieros relevantes en los bonos (todos en CHF, cupones del 0,01 % al 1,3 %) [1]. Pasivos devengados de 1.021,7 M a cierre de 2025, sobre todo descuentos y promociones a clientes de la campaña de Navidad [1].</w:t>
      </w:r>
    </w:p>
    <w:p>
      <w:pPr>
        <w:pStyle w:val="Heading1"/>
      </w:pPr>
      <w:r>
        <w:t xml:space="preserve">12. Asignación de capital</w:t>
      </w:r>
    </w:p>
    <w:p>
      <w:pPr>
        <w:pStyle w:val="Confianza"/>
        <w:spacing w:after="100"/>
      </w:pPr>
      <w:r>
        <w:t xml:space="preserve">Confianza: Alta</w:t>
      </w:r>
    </w:p>
    <w:p>
      <w:pPr>
        <w:spacing w:after="100"/>
      </w:pPr>
      <w:r>
        <w:t xml:space="preserve">Dividendo creciente 30 años seguidos: 180 CHF por certificado (1.800 por nominativa) sobre 2025, un 57,7 % del beneficio [1, 2]. Recompras para amortizar: programa de 997,8 M (2022-2024) y de 499,3 M (2024-2026, terminado el 9-abr-2026) [1, 13]; desde el 4-may-2026 un programa de hasta 1.000 M hasta abril de 2029, con 191,6 M ejecutados al 9-oct-2026 [14]. Prioridades declaradas: inversión en capacidad (fábrica nueva en 2027), expansión de tiendas y retribución al accionista con un balance sin rating y deuda neta inferior a una vez el EBITDA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Russell Stover Candies (EE. UU.)</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Dio escala en EE. UU. pero exigió años de reestructuración; el fondo de comercio de EE. UU. es la mayor parte de los 636,4 M de 2025 y no ha tenido deterioros recientes [1].</w:t>
            </w:r>
          </w:p>
        </w:tc>
      </w:tr>
    </w:tbl>
    <w:p>
      <w:pPr>
        <w:spacing w:after="160" w:before="0"/>
      </w:pPr>
    </w:p>
    <w:p>
      <w:pPr>
        <w:spacing w:after="100"/>
      </w:pPr>
      <w:r>
        <w:t xml:space="preserve">Asignación disciplinada y conservadora: no compra empresas desde 2014 y devuelve el exceso de caja. Entre 2021 y 2025 pagó 1.518 M en dividendos y 2.216 M en recompras, más que el flujo libre acumulado, lo que ha subido algo la deuda neta [9]. Las acciones equivalentes diluidas bajaron de 2,43 a 2,32 millones (−4,6 % en cuatro años) pese a la dilución de las opciones [1, 10]. Recomprar a 36-39 veces beneficios (2021-2025) fue caro; el programa actual compra a unas 24 veces, mucho mejor uso del dinero [14].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Ernst Tanner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Johnson &amp; Johnson (presidente de grupo en Europa). Consejero delegado de 1993 a 2016 y presidente desde 1994: multiplicó la empresa con la internacionalización de Lindt y las compras de Ghirardelli y Russell Stover. Posee 3.045 nominativas y 3.400 certificados (≈ 1,5 % del capital)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Adalbert Lechner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1993; fue director financiero y responsable de Europa. Como consejero delegado llevó el crecimiento orgánico al 12,4 % en 2025 con el margen al 16,4 %, pero en 2026 recortó dos veces la guía de ventas [1,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Hug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antes en Lindt Suiza. 10 nominativas y 4.300 opciones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Dieter Weisskopf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2016 a 2022 y antes director financiero desde 1995; preside la comisión de sostenibilidad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8-10 % y +20-40 pb de margen EBIT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10,3 % y margen 15,6 % (+60 pb)</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6-8 % y +20-40 pb de margen EBIT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7,8 % y margen 16,2 % (+60 pb)</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7-9 % y +20-40 pb</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12,4 % y margen 16,4 % (+20 pb)</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Inicial 6-8 %; marzo 4-6 %; septiembre 0-2 %; margen +20-40 pb</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4,3 % orgánico y margen 11,2 % (+20 pb); año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muy estable y de la casa: Tanner lleva 33 años en el consejo y los tres últimos consejeros delegados (Tanner, Weisskopf, Lechner) salieron de dentro [1]. Hasta 2025 cumplió la guía con holgura [1, 15]; en 2026 la recortó dos veces en seis meses, y Vontobel dice que daña su reputación de fiabilidad [7, 22]. La sucesión del presidente ejecutivo, de 77 años, no está anunciada: es el principal asunto de gobierno pendiente.</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Ernst Tanner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Dieter Weisskopf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Rudolf K. Sprüngli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Elisabeth Gürtler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Rinderknecht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Silvio Denz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Monique Bourquin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Ricarda Demarmels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(propuesta en la junta de abril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Rudolf K. Sprüngli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17,40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Fundaciones de pensiones del grupo (Fonds für Pensionsergänzungen y Finanzierungsstiftung)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(pensiones de la empresa)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20.884 nominativas a dic-25 (20.784 en 2023)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dic-24 [1,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dic-25 [1,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Ernst Tanner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(nominativas)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3.045 nominativas y 3.400 certificados (4.900 en 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(recompras)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362 nominativas y ≈ 20.190 certificados estimados al 9-oct-2026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Ernst Tanner (presidente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4,80 M CHF en 2025: 1,40 M de fijo, 1,33 M de bonus anual y 1,96 M en opciones sobre certificados [1]. El bonus mide ventas, EBIT, flujo y objetivos ESG; el largo plazo son opciones con bloqueo de 3-5 años, sin métrica de rentabilidad (ROIC o TSR): premia la subida de la acción, no la rentabilidad del capital [1]. Hay cláusulas de pérdida y recuperación (malus y clawback) [1]. El presidente ejecutivo cobra un fijo de 1,2 M sin variable [1]. El informe de remuneraciones de 2023 solo tuvo el 67 % a favor y el de 2024 el 86 % [1]; la junta vota además importes máximos (21,0 M para la dirección en 2025, se pagaron 17,2 M) [1].</w:t>
      </w:r>
    </w:p>
    <w:p>
      <w:pPr>
        <w:pStyle w:val="Heading2"/>
      </w:pPr>
      <w:r>
        <w:t xml:space="preserve">Operaciones vinculadas, estructura de control y defensas</w:t>
      </w:r>
    </w:p>
    <w:p>
      <w:pPr>
        <w:spacing w:after="100"/>
      </w:pPr>
      <w:r>
        <w:t xml:space="preserve">No hay accionista de control: el mayor es el bloque de las fundaciones de pensiones del grupo (15,6 % del capital nominativo), que vota con el consejo [1]. Defensas fuertes: el consejo puede negarse a inscribir con voto a quien supere el 4 % de las nominativas, hay un límite estatutario de voto del 6 % (con excepciones para las fundaciones y UBS), revocarlo exige tres cuartos de la junta, y los certificados (≈ 42 % del capital económico) no votan [1]. Una opa hostil es prácticamente imposible. El presidente es ejecutivo y no hay consejero coordinador independiente [1].</w:t>
      </w:r>
    </w:p>
    <w:p>
      <w:pPr>
        <w:pStyle w:val="Heading2"/>
      </w:pPr>
      <w:r>
        <w:t xml:space="preserve">Señales de alerta</w:t>
      </w:r>
    </w:p>
    <w:p>
      <w:pPr>
        <w:pStyle w:val="ListParagraph"/>
        <w:numPr>
          <w:ilvl w:val="0"/>
          <w:numId w:val="2"/>
        </w:numPr>
        <w:spacing w:after="60"/>
      </w:pPr>
      <w:r>
        <w:t xml:space="preserve">Dos recortes de la guía de ventas en 2026 (marzo y septiembre) [4, 7].</w:t>
      </w:r>
    </w:p>
    <w:p>
      <w:pPr>
        <w:pStyle w:val="ListParagraph"/>
        <w:numPr>
          <w:ilvl w:val="0"/>
          <w:numId w:val="2"/>
        </w:numPr>
        <w:spacing w:after="60"/>
      </w:pPr>
      <w:r>
        <w:t xml:space="preserve">Sucesión del presidente ejecutivo (en el consejo desde 1993) sin anunciar.</w:t>
      </w:r>
    </w:p>
    <w:p>
      <w:pPr>
        <w:pStyle w:val="ListParagraph"/>
        <w:numPr>
          <w:ilvl w:val="0"/>
          <w:numId w:val="2"/>
        </w:numPr>
        <w:spacing w:after="60"/>
      </w:pPr>
      <w:r>
        <w:t xml:space="preserve">Comisión de auditoría sin mayoría clara de independientes (el vicepresidente fue consejero delegado hasta 2022)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del 29-sep-2026: crecimiento orgánico del 0-2 % (antes 4-6 %, y 6-8 % al empezar el año) y mejora del margen EBIT de 20-40 pb (confirmada) [29]. Objetivos a medio plazo (6-8 % orgánico y +20-40 pb al año) aplazados a «desde 2028»; la guía de 2027 se publicará en el primer trimestre de 2027, y la empresa promete volumen positivo en 2027 [29]. Ventas de 2026 el 19-ene-2027; resultados el 9-mar-2027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(por nominativa ÷ 10)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6 /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9.628,00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7.226,00 – 12.500,00</w:t>
            </w:r>
          </w:p>
        </w:tc>
      </w:tr>
    </w:tbl>
    <w:p>
      <w:pPr>
        <w:spacing w:after="160" w:before="0"/>
      </w:pPr>
    </w:p>
    <w:p>
      <w:pPr>
        <w:pStyle w:val="Heading2"/>
      </w:pPr>
      <w:r>
        <w:t xml:space="preserve">Revisiones de estimaciones</w:t>
      </w:r>
    </w:p>
    <w:p>
      <w:pPr>
        <w:spacing w:after="100"/>
      </w:pPr>
      <w:r>
        <w:t xml:space="preserve">El consenso de ventas de 2026 de MarketScreener (5.954 M, +0,6 %) no parece recoger del todo el recorte del 29-sep ni el efecto divisa (−5,2 % en el 1S26): esperamos revisiones a la baja de ventas, no tanto de BPA porque la guía de margen se mantuvo [24, 29]. Yahoo da 316,5 CHF por certificado para 2026 y 333,4 para 2027, en línea [26]. Los objetivos de precio se han recortado durante todo 2026 (Berenberg a Vender en febrero, Goldman Sachs en Vender, UBS recorta en septiembre) y la media, 96.281 CHF por nominativa (≈ 9.628 por certificado), está un 18 % por encima de la cotización [25]. El reparto de recomendaciones va de 7 comprar, 6 mantener y 6 vender en getquin a «Mantener» de media en MarketScreener [25, 30].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El certificado cae un 39,9 % en un año frente al +13,6 % del SMI y el +6,7 % del sector europeo de alimentación y bebidas [23]. La caída tiene dos fechas: el 10-mar-2026 (−10,3 %, resultados de 2025 y primer recorte de la guía a 4-6 %) y el 29-sep-2026 (−8,7 %, segundo recorte a 0-2 %), y tocó el mínimo de 7.420 CHF el 5-oct-2026, el nivel más bajo desde febrero de 2021 [23, 29]. Caída máxima del 44,3 % desde el máximo de jun-2025 [23]. La nominativa cotiza a 81.600 CHF, un 4,1 % por encima de diez certificados (78.400): es la prima del voto [23]. Suiza no tiene registro público de posiciones cortas.</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los cierres de cada año y el BPA publicado, el certificado cotizó a 61,6 veces en 2021, 39,0 en 2022, 34,9 en 2023, 34,5 en 2024 y 36,6 en 2025 (PER del propio informe anual) [1]. Hoy cotiza a 24,7 veces el BPA de los últimos doce meses y a unas 23 veces el de 2027: el descuento frente a su historia es de un tercio [23, 26]. Lo que ha cambiado: el crecimiento esperado bajó de 6-8 % a 0-2 % en 2026, la acción perdió la etiqueta de «compuesto infalible» con dos recortes de guía, y todo el sector de alimentación de marca se ha desrateado (Nestlé a 16,6 veces, Hershey a 17,2) [26, 29].</w:t>
      </w:r>
    </w:p>
    <w:p>
      <w:pPr>
        <w:pStyle w:val="Heading1"/>
      </w:pPr>
      <w:r>
        <w:t xml:space="preserve">18. Comparables cotizados</w:t>
      </w:r>
    </w:p>
    <w:p>
      <w:pPr>
        <w:pStyle w:val="Confianza"/>
        <w:spacing w:after="100"/>
      </w:pPr>
      <w:r>
        <w:t xml:space="preserve">Confianza: Media</w:t>
      </w:r>
    </w:p>
    <w:p>
      <w:pPr>
        <w:spacing w:after="100"/>
      </w:pPr>
      <w:r>
        <w:t xml:space="preserve">Fabricantes cotizados de chocolate y confitería de marca: Hershey y Mondelez (rivales directos en chocolate), Nestlé (KitKat, Cailler), Meiji y Ezaki Glico (chocolate y confitería en Japón), Orion (confitería en Corea) y Barry Callebaut (proveedor industrial de chocolate, referencia del ciclo del cacao). Ferrero y Mars no cotizan. Todas con datos de Yahoo del 14-oct-2026, convertidos a CHF al tipo del día; PER y EV/EBITDA de los próximos 12 meses ponderando los dos ejercicios estimados por meses [26, 27]. Barry Callebaut tiene un flujo libre anómalo por la liberación de circulante del cacao (se deja en blanco).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Hershey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Callebaut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Meiji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Ezaki Glico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12,4x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6.617,46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10,7x / 14,7x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5.313,52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7.565,58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 / 17,2x / 22,4x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5.557,49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5.758,36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7.499,26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1,0x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1.975,99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6.225,67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11,4 + -0,24 × crecimiento; R² = 0,17. El crecimiento explica poco los múltiplos de estos comparables (R² &lt; 0,3): la regresión no se usa en la valoración.</w:t>
      </w:r>
    </w:p>
    <w:p>
      <w:pPr>
        <w:spacing w:after="100"/>
      </w:pPr>
      <w:r>
        <w:t xml:space="preserve">Lindt cotiza a 23,8 veces el BPA de los próximos 12 meses, con prima sobre la mediana del grupo (17,2 veces) y por encima de Hershey (17,2) y Mondelez (19,0) [26]. La prima se ha estrechado mucho: en 2021-2025 Lindt cotizaba a 35-60 veces y el sector a 20-25. Se justifica en parte por el balance (deuda neta inferior a una vez el EBITDA frente a 1,9-3,4 veces de Hershey, Mondelez y Nestlé), el margen EBITDA del 21,5 % y la posición prémium; deja de justificarse si el crecimiento orgánico se queda en el 0-2 % de 2026 [26, 29]. Los comparables japoneses y Orion cotizan barato por mercado y sesgan la mediana a la baja.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Kellanova (snacks: Pringles, Cheez-It)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total de 35.900 M USD con la deuda asumida; 16,4 veces el EBITDA ajustado LTM; cerró en diciembre de 2025 [28].</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 única operación grande del sector con múltiplo publicado es la compra de Kellanova por Mars a 16,4 veces el EBITDA, un 44 % de prima [28]. Otras compras recientes (Hotel Chocolat por Mars en 2023, WK Kellogg por Ferrero en 2025) no publicaron múltiplos fiables. Lindt no es comprable de forma hostil: limita la inscripción con voto al 4 % de las nominativas y el voto al 6 %, y las fundaciones de pensiones tienen el 15,6 % [1].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−2,0 % en 2026e: 0-2 % orgánico de la guía de septiembre (tomamos el 1 %) y unos −3 puntos de divisa (−5,2 % en el 1S26) [5, 7]. En 2027e, +3,0 %: volumen positivo como promete la empresa, con rebajas selectivas de precio [7]. De 2028e a 2031e, 5,0-5,5 %, por debajo del objetivo de 6-8 % orgánico «desde 2028» y del 8,8 % anual de los últimos cinco años en el primer semestre [5, 7], porque 2026 ha mostrado el límite de la elasticidad. Bajamos al 4 % y al 2 % en 2032e-2033e para llegar al terminal. El consenso espera 3,9 % en 2027 y 5,3 % en 2028 [24]; el mercado del chocolate crecerá en torno al 4 % anual en valor según nuestra ficha sectorial [34].</w:t>
      </w:r>
    </w:p>
    <w:p>
      <w:pPr>
        <w:keepNext/>
        <w:spacing w:after="100"/>
      </w:pPr>
      <w:r>
        <w:rPr>
          <w:b/>
          <w:bCs/>
        </w:rPr>
        <w:t xml:space="preserve">Márgenes.</w:t>
      </w:r>
    </w:p>
    <w:p>
      <w:pPr>
        <w:spacing w:after="100"/>
      </w:pPr>
      <w:r>
        <w:t xml:space="preserve">Margen EBITDA del 22,0 % en 2026e (margen EBIT del 16,6 %, el extremo bajo de la guía de +20-40 pb confirmada el 29-sep) [7]. Sube 30-40 pb al año hasta el 23,4 % (EBIT 18,0 %) en 2032e, en línea con el objetivo de +20-40 pb anuales [7]. El cacao es la variable: el coste de materiales pasó del 32,8 % de las ventas en 2023 al 37,4 % en 2025 y al 35,5 % en el 1S26 [1, 5]; con el futuro a 5.746 USD/t frente a casi 12.000 en el pico, 2027 trae un viento de cola que la empresa ya ha dicho que reinvertirá en precio y marca [5, 16].</w:t>
      </w:r>
    </w:p>
    <w:p>
      <w:pPr>
        <w:keepNext/>
        <w:spacing w:after="100"/>
      </w:pPr>
      <w:r>
        <w:rPr>
          <w:b/>
          <w:bCs/>
        </w:rPr>
        <w:t xml:space="preserve">Inversión y circulante.</w:t>
      </w:r>
    </w:p>
    <w:p>
      <w:pPr>
        <w:spacing w:after="100"/>
      </w:pPr>
      <w:r>
        <w:t xml:space="preserve">Capex del 7,0 % de las ventas en 2026e (5,6 % de inmovilizado e intangibles, con la fábrica nueva que arranca en 2027, más un 1,4 % de altas de arrendamientos) que baja al 6,0 % en 2033e, por encima de la amortización del 5,4 % [1, 5]. Circulante del 33 % de las ventas en 2026e (34,3 % a cierre de 2025 por las existencias de cacao caro) que vuelve al 31 % de 2024 cuando el cacao más barato pase a las existencias [1].</w:t>
      </w:r>
    </w:p>
    <w:p>
      <w:pPr>
        <w:keepNext/>
        <w:spacing w:after="100"/>
      </w:pPr>
      <w:r>
        <w:rPr>
          <w:b/>
          <w:bCs/>
        </w:rPr>
        <w:t xml:space="preserve">Coste del capital.</w:t>
      </w:r>
    </w:p>
    <w:p>
      <w:pPr>
        <w:spacing w:after="100"/>
      </w:pPr>
      <w:r>
        <w:t xml:space="preserve">Tasa libre del 0,54 % (bono de la Confederación a 10 años, 8-oct-2026) [36]. Beta de 0,80, entre la mensual de 5 años frente al SMI (0,89) y la semanal de 2 años (0,61) [23]; prima de mercado del 5,5 % y prima adicional de 1 punto por la tasa libre suiza anómalamente baja frente a un negocio que vende el 75 % fuera de Suiza (mismo criterio que Givaudan, Lonza y Kuehne+Nagel del repositorio). Coste de la deuda del 1,0 % (bonos del 0,01 % al 1,3 %) [1] y peso de la deuda del 8 %. WACC del 5,53 %. Con la prima implícita del mercado (4,2 %) el DCF sube a 10.583,76 CHF.</w:t>
      </w:r>
    </w:p>
    <w:p>
      <w:pPr>
        <w:keepNext/>
        <w:spacing w:after="100"/>
      </w:pPr>
      <w:r>
        <w:rPr>
          <w:b/>
          <w:bCs/>
        </w:rPr>
        <w:t xml:space="preserve">Valor terminal.</w:t>
      </w:r>
    </w:p>
    <w:p>
      <w:pPr>
        <w:spacing w:after="100"/>
      </w:pPr>
      <w:r>
        <w:t xml:space="preserve">Gordon con un 1,0 % de crecimiento: por encima de la inflación suiza y por debajo del nominal de sus mercados (EE. UU. y zona euro). Es coherente con una tasa libre del 0,54 % solo porque añadimos 1 punto de prima adicional; el valor terminal pesa un 76 %. El múltiplo de salida de 16 veces el EBITDA, por encima de los comparables (mediana del EV/EBITDA NTM de 11,8 veces) y por debajo de la compra de Kellanova (16,4) [28], queda solo como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8.137,76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12.301,14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14.499,75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11.949,11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10.123,77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8.753,52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7.030,43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7.687,53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7.581,13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7.890,49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8.194,01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8.468,09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9.045,68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9.419,79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9.623,28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10.032,67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(hoy: 5,8 %)</w:t>
            </w:r>
          </w:p>
        </w:tc>
      </w:tr>
    </w:tbl>
    <w:p>
      <w:pPr>
        <w:spacing w:after="160" w:before="0"/>
      </w:pPr>
    </w:p>
    <w:p>
      <w:pPr>
        <w:spacing w:after="100"/>
      </w:pPr>
      <w:r>
        <w:t xml:space="preserve">La proyección apenas necesita inversión neta de la amortización (reinversión acumulada de 951 M, el 13 % del NOPAT, con un capex bruto medio del 6,5 % de las ventas). En un negocio de activos ligeros, el crecimiento medio del 3,5 % tiene que salir de subir precios y de ganar volumen sin capital nuevo, y la prueba es el poder de precios y la cuota (5,7 % del mercado en 2030e, frente al 5,8 %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0-2 % orgánico: precio de +11,8 % en el 1S26 que se apaga en el 2S26, volumen/mezcla de −7,5 % en el semestre y divisa de unos −3 puntos [4,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promete volumen positivo con rebajas selectivas de precio (Alemania, Suiza) y más inversión en marca; el cacao más barato permite bajar precio sin perder margen [5,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parcial hacia el objetivo de 6-8 % orgánico «desde 2028»: volumen del 3 % (tiendas, Norteamérica y Resto del mundo con crecimientos de dos dígitos) y precio del 2 % [4,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Premiumización y mezcla; por debajo del 8,8 % anual que creció en 2021-2026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 cuota de mercado estable en el 5,7 % [11].</w:t>
            </w:r>
          </w:p>
        </w:tc>
      </w:tr>
    </w:tbl>
    <w:p>
      <w:pPr>
        <w:spacing w:after="160" w:before="0"/>
      </w:pPr>
    </w:p>
    <w:p>
      <w:pPr>
        <w:spacing w:after="100"/>
      </w:pPr>
      <w:r>
        <w:t xml:space="preserve">Sí. El crecimiento proyectado (3,5 % de media) está por debajo de lo que la empresa ha hecho en el ciclo (8,8 % anual en 2021-2026 en el primer semestre) y de su objetivo (6-8 %) [5, 7]. Apenas necesita capital: reinversión neta del 13 % del NOPAT con un ROIC del 13,2 % (unos 21 puntos más si se quita el superávit de pensiones del capital). La cuota de mercado implícita en 2030e (5,7 %) es la de hoy (5,8 %) [11]. El poder de precios está demostrado (subidas del 19 % en 2025 con margen al alza) [2], y el riesgo es el contrario: que el volumen tarde en volver. Ninguna prueba falla y no rebajamos 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5,5 %)</w:t>
            </w:r>
          </w:p>
        </w:tc>
      </w:tr>
    </w:tbl>
    <w:p>
      <w:pPr>
        <w:spacing w:after="160" w:before="0"/>
      </w:pPr>
    </w:p>
    <w:p>
      <w:pPr>
        <w:spacing w:after="100"/>
      </w:pPr>
      <w:r>
        <w:t xml:space="preserve">El DCF da 8.137,76 CHF por certificado, un 3,8 % por encima del precio, con un WACC del 5,53 % y el valor terminal pesando un 76 %. El DCF inverso dice que el precio descuenta un 3,4 % de crecimiento anual en 2027e-2033e frente al 4,3 % de nuestro base, o un margen EBITDA del 22,9 % frente al 23,4 %, y una rentabilidad implícita del 5,7 %. Es una exigencia moderada: menos que el 8,8 % anual de los últimos cinco años y menos que el objetivo de la empresa. Pero no es una ganga: con un WACC medio punto más alto (6,0 %) el valor cae hacia 6.700 CHF, y el rango de la sensibilidad va de 6.678,17 a 10.419,72. Con la prima que hoy pide el mercado (4,2 %), el DCF sube a 10.583,76. Conclusión: el precio ya no exige el crecimiento de antes, pero tampoco deja margen de seguridad si el volumen de Europa no vuelve.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6.022,48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sigue perdiendo volumen en 2027 (como en el 1S26, −7,5 %), el cacao rebota a 7.000-8.000 USD/t por El Niño y Lindt no puede volver a subir precios: crecimiento 2 puntos por debajo del base y margen 1,5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8.137,76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estable en el 2S26 y positivo en 2027, cacao entre 5.000 y 6.000 USD/t y vuelta gradual al 5 % de crecimiento con +30 pb de margen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9.231,44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cacao baja de 5.000 USD/t, la recuperación del volumen es rápida y Norteamérica y Asia siguen creciendo a doble dígito: vuelta al 6-8 % orgánico desde 2028 y margen EBIT por encima del 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HF) · precio actual 7.84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7.882,36 CHF (+0,5 %).</w:t>
      </w:r>
    </w:p>
    <w:p>
      <w:pPr>
        <w:spacing w:after="100"/>
      </w:pPr>
      <w:r>
        <w:t xml:space="preserve">La asimetría del DCF es desfavorable: el bajista vale 6.022,48 CHF (−23,2 %) y el alcista 9.231,44 (+17,7 %), con una asimetría de 0,76 veces, porque el margen pesa más a la baja que el crecimiento al alza. En cambio, a 12 meses la regla común da una asimetría de 4,65 veces porque el bajista solo baja el PER a 20,4 veces y el alcista lo lleva a 34,5. Las dos lecturas no se contradicen: a un año el precio puede recuperar múltiplo si el volumen vuelve; a largo plazo el valor depende de que el margen no se coma con rebajas de precio.</w:t>
      </w:r>
    </w:p>
    <w:p>
      <w:pPr>
        <w:pStyle w:val="Heading1"/>
      </w:pPr>
      <w:r>
        <w:t xml:space="preserve">22. Suma de partes</w:t>
      </w:r>
    </w:p>
    <w:p>
      <w:pPr>
        <w:pStyle w:val="Confianza"/>
        <w:spacing w:after="100"/>
      </w:pPr>
      <w:r>
        <w:t xml:space="preserve">Confianza: Alta</w:t>
      </w:r>
    </w:p>
    <w:p>
      <w:pPr>
        <w:spacing w:after="100"/>
      </w:pPr>
      <w:r>
        <w:t xml:space="preserve">No aplica: los tres segmentos geográficos venden los mismos productos con las mismas marcas y fábricas compartidas; no hay negocios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HF) · precio actual 7.84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5.758,36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7.499,26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8.137,76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10.583,76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7.879,20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7.840,62 CHF (0,0 % sobre 7.840,00).</w:t>
      </w:r>
    </w:p>
    <w:p>
      <w:pPr>
        <w:spacing w:after="100"/>
      </w:pPr>
      <w:r>
        <w:t xml:space="preserve">Pesos: DCF 50 %, escenarios 40 % y comparables 10 %. El DCF es el método más fiable para una empresa con poca deuda, márgenes estables y capex predecible. Los comparables pesan poco porque la muestra es frágil (EV/EBITDA NTM de 10,4 a 12,9 veces según quién se quite) y mezcla mercados con descuentos estructurales (Japón, Corea); dan 6.187,91 CHF. Las transacciones no pesan: Lindt no es opable (límites del 4 % y del 6 %). El valor objetivo ponderado, 7.840,62 CHF, coincide con el precio: la dispersión entre métodos (5.758 por PER de comparables, 8.138 por DCF, 10.584 por DCF con la prima del mercado) dice que la valoración depende sobre todo de la tasa de descuento y del múltiplo que se acepte para una marca de crecimiento medio.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(23.2x) × 1.1 (tope: la mediana de 5 años, 36.8x,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9.373,80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13.855,20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+79,0 %</w:t>
            </w:r>
          </w:p>
        </w:tc>
      </w:tr>
    </w:tbl>
    <w:p>
      <w:pPr>
        <w:spacing w:after="160" w:before="0"/>
      </w:pPr>
    </w:p>
    <w:p>
      <w:pPr>
        <w:spacing w:after="100"/>
      </w:pPr>
      <w:r>
        <w:rPr>
          <w:b/>
          <w:bCs/>
        </w:rPr>
        <w:t xml:space="preserve">Objetivo a 12 meses (ponderado):</w:t>
      </w:r>
      <w:r>
        <w:t xml:space="preserve"> 9.787,29 CHF · rentabilidad +27,1 % (base +21,9 %) · señal Comprar.</w:t>
      </w:r>
    </w:p>
    <w:p>
      <w:pPr>
        <w:spacing w:after="100"/>
      </w:pPr>
      <w:r>
        <w:t xml:space="preserve">Para comparar, con la regla v2 (historia al cierre, mismo precio): 19,7x / 23,2x / 30,2x, 15,5 % Mantener; con el tope anterior del base (×1,3, 14-oct mediodía): 45,2 %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(315,3 CHF) y de 2027e (338,5) coinciden con el consenso (316,7 y 339,7) [24]; el de 2028e (367,6) está un 0,8 % por encima (364,8). Llegamos a ventas algo más bajas que el consenso (5.800 M en 2026 frente a 5.954, porque aplicamos el recorte de septiembre y la divisa del 1S26) y a un margen algo más alto (17,3 % en 2028 frente a 17,1 %). Nuestro objetivo ponderado, 9.787,29 CHF, queda un 1,7 % por encima del objetivo medio de los analistas (9.628 por certificado, 17 analistas, con recortes en los últimos tres meses) [25]: la diferencia no está en el beneficio sino en el múltiplo, que la regla común sube desde 23,2 veces hasta 25,5.</w:t>
      </w:r>
    </w:p>
    <w:p>
      <w:pPr>
        <w:keepNext/>
        <w:spacing w:after="100"/>
      </w:pPr>
      <w:r>
        <w:rPr>
          <w:b/>
          <w:bCs/>
        </w:rPr>
        <w:t xml:space="preserve">Del valor intrínseco al objetivo a 12 meses.</w:t>
      </w:r>
    </w:p>
    <w:p>
      <w:pPr>
        <w:spacing w:after="100"/>
      </w:pPr>
      <w:r>
        <w:t xml:space="preserve">El valor intrínseco (7.840,62 CHF) coincide con el precio y queda un 20 % por debajo del objetivo a 12 meses (9.787,29). La distancia sale del múltiplo: la regla supone que el certificado recupera parte del descuento frente a su historia (de 23,2 a 25,5 veces), mientras que nuestro DCF, con un WACC del 5,53 %, solo justifica unas 24 veces el beneficio. Para cerrar la distancia hace falta que la venta de Navidad y las ventas de 2026 (19-ene-2027) muestren volumen estable y que la guía de 2027 (marzo de 2027) confirme crecimiento con mejora de margen. Sin eso, el precio puede quedarse donde está aunque el beneficio crezca.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Navidad (el 2S26 pesa más del 60 % de las ventas)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volumen se estabiliza tras las rebajas de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2027-01-19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frente a la guía de 0-2 % y volumen del 2S26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frente a la guía de +20-40 pb; primera guía con el cacao más barato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1.000 M CHF (191,6 M ejecutados)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300 M al año, el 1,7 % del capital a este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nueva operativa y lanzamientos (Choco Wafer, formatos de Lindor)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y puntos de precio nuevos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2027-04-22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(31.º año de subida) y sucesión del presidente ejecutivo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Europa que no vuelve (elasticidad tras dos años de subidas)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Rebajas selectivas, nuevos formatos y cacao más barato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Volumen/mezcla del 2S26 peor que −3 % (ventas del 19-ene-2027)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Rebote del cacao (El Niño, enfermedades en África occidental)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12-24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Futuro de cacao por encima de 8.000 USD/t durante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credibilidad de la guía (tercer recorte)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cumplida hasta ahora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2026 por debajo del 16,6 %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franco fuerte frente al dólar y el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del BPA por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en EE. UU. para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Reputación y litigios del cacao (trabajo infantil, metales pesados)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Farming Program y cacao 100 % certificado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Admisión a trámite de la demanda de EE. UU. o sanción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presidente ejecutivo (en el consejo desde 1993)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de la casa y consejo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sin sucesor anunciado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Fármacos GLP-1 y cambio de hábitos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a −10 % por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prémium crece entre usuarios de GLP-1 (Circana)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volumen prémium en EE. UU.</w:t>
            </w:r>
          </w:p>
        </w:tc>
      </w:tr>
    </w:tbl>
    <w:p>
      <w:pPr>
        <w:spacing w:after="160" w:before="0"/>
      </w:pPr>
    </w:p>
    <w:p>
      <w:pPr>
        <w:pStyle w:val="Heading2"/>
      </w:pPr>
      <w:r>
        <w:t xml:space="preserve">Pre-mortem</w:t>
      </w:r>
    </w:p>
    <w:p>
      <w:pPr>
        <w:spacing w:after="100"/>
      </w:pPr>
      <w:r>
        <w:t xml:space="preserve">Es octubre de 2029 y el certificado ha perdido un 40 %, hasta unos 4.700 CHF. Lo que pasó: la Navidad de 2026 fue floja en Alemania y Suiza, las ventas de 2026 salieron planas y la guía de 2027 prometió solo un 2-4 %. Para recuperar volumen, Lindt bajó precios más de lo previsto justo cuando el cacao rebotó a 8.000 USD/t por El Niño, de modo que el margen EBIT cayó del 16,4 % al 15 % en 2027-2028 en vez de subir. El mercado dejó de pagar prima por una marca que crece como Hershey y la llevó a 18-20 veces un BPA de 300 CHF. La recompra amortiguó la caída, pero no la evitó. La señal que lo habría anticipado: el volumen/mezcla del 2S26 en las ventas del 19-ene-2027 y el coste de materiales en el 1S27 por encima del 36 % de las ventas.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mueve las cifras es el cacao: abastecimiento responsable (todo el cacao certificado Rainforest Alliance desde 2026 y Farming Program propio desde 2008), deforestación (EUDR) y trabajo infantil en África occidental [1]. El segundo, las emisiones: compromiso de cero neto en 2050 con objetivos validados por SBTi [1]. El tercero, el envase reciclable. Más del 90 % de las materias primas con riesgo estaban cubiertas por un estándar de abastecimiento en 2025 [1].</w:t>
      </w:r>
    </w:p>
    <w:p>
      <w:pPr>
        <w:pStyle w:val="Heading2"/>
      </w:pPr>
      <w:r>
        <w:t xml:space="preserve">Controversias</w:t>
      </w:r>
    </w:p>
    <w:p>
      <w:pPr>
        <w:spacing w:after="100"/>
      </w:pPr>
      <w:r>
        <w:t xml:space="preserve">En julio de 2026 Lindt fue demandada en EE. UU. por presuntamente beneficiarse de trabajo infantil en la cadena del cacao [20]. En 2022-2023 hubo pleitos de consumidores en EE. UU. por metales pesados (plomo y cadmio) en las tabletas Excellence de chocolate negro. No constan sanciones firmes.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volumen/mezcla tuvo el 2S26 en Europa tras las rebajas de precio, y cuánto cuestan esas rebajas en margen bruto?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crecimiento de 2027 y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Cacao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coste de cacao de 2027 está ya cubierta y a qué precio medio?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futuro rebotó de 3.000 a 5.746 USD/t; el viento de cola de 2027 depende de las coberturas.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del cacao se devolverá al consumidor y cuánto al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margen de +20-40 pb choca con rebajas de precio amplias.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guía de septiembre no llegó en julio, con el volumen del 1S26 ya en −7,5 %?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credibilidad de la guía pesa en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presidente ejecutivo?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poder en una persona desde 1993.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activo de pensiones son acciones de Lindt y qué pasa con las contribuciones si la acción sigue cayendo?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superávit de 2.530,7 M depende de la cotización.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análisis en mayo-julio: buena marca, pero la recuperación del volumen «aún tiene que verse» y la valoración «deja poco margen»; otro destaca el riesgo de que el cacao barato obligue a bajar precios [20].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Global (artículo con debate)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pregunta del mercado tras el recorte es si el objetivo de margen está en peligro: «el mercado pide la prueba de que la marca tiene poder de precios»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comunidad la ve como valor de dividendo de calidad pero cara; un hilo sobre trabajo infantil en el cacao; pocas entradas recientes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Trading-Treff y XTB (comentario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técnico tras la caída a mínimos de 2021; los bajistas ven el recorte como prueba de que el consumidor rechaza el chocolate caro [29,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precios y volumen en Europa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dato: volumen/mezcla −7,5 % en el 1S26 y pedidos de temporada flojos en Alemania, Suiza y Austria; Norteamérica crece al 12,7 % [20,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recortes en seis meses tras años de cumplir; la guía de margen se mantiene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¿ya barata?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23-24 veces los beneficios es su múltiplo más bajo en más de una década, pero aún con prima sobre Hershey o Nestlé [20].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Cacao más barato en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cacao cayó de casi 12.000 a 5.746 USD/t, pero rebotó desde 3.000 en abril; la mejora de margen se compensa en parte con rebajas de precio [20].</w:t>
            </w:r>
          </w:p>
        </w:tc>
      </w:tr>
    </w:tbl>
    <w:p>
      <w:pPr>
        <w:spacing w:after="160" w:before="0"/>
      </w:pPr>
    </w:p>
    <w:p>
      <w:pPr>
        <w:spacing w:after="100"/>
      </w:pPr>
      <w:r>
        <w:t xml:space="preserve">El sentimiento es negativo y empeora, sin llegar a capitulación: no hay euforia que desmontar, sino desconfianza en la guía. El foro coincide con el informe en el riesgo principal (elasticidad en Europa) y no añade un riesgo que no tengamos; recuerda el de reputación por el cacao (trabajo infantil). Va en la misma dirección que los analistas, que han recortado objetivos todo el año. El debate de particulares sobre Lindt es escaso: confianza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36 (13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5,7 % en 2030e frente al 5,8 %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34,3 % real: genera una variación de circulante de -119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0,17: el crecimiento no explica los múltiplos de estos comparables; no uses el valor de la regresión. Explicación: R² de 0,17: los comparables mezclan EE. UU., Suiza, Japón y Corea y el crecimiento no explica sus múltiplos; no usamos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10,4x a 12,9x según qué comparable se quite (5.465,04 a 6.942,50 por acción): la muestra es frágil; explícalo y no le des mucho peso. Explicación: La mediana del EV/EBITDA se mueve entre 10,4x y 12,9x según se quite Orion o los japoneses; por eso los comparables pesan solo un 10 %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15,5 %: para comprar o ampliar hace falta motivo de negocio propio; para mantener basta la vigente. Explicación: La v3 da Comprar (27,1 %) y la v2 Mantener (15,5 % / base 11,1 %); por eso el informe recomienda Mantener y fija la compra robusta por debajo de 7.775,57 CHF.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2024-2025); 2) informes anuales 2021-2023 en la web de inversores (ya no se publican; la biblioteca solo tiene 2025-2026); 3) sustainabilityreports.com y EQS (sin notas de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arrendamientos corrientes y clientes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2021-2023 (no accesibles en la web de la empresa); 2) resumen de cinco años del informe 2025 (solo totales); 3) Stock Analysis: deuda a corto y largo, arrendamientos a largo y cuentas a cobrar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(cita SBTi y Rainforest Alliance, no calificaciones); 2) web de sostenibilidad de la empresa; 3) páginas públicas de MSCI y Sustainalytics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con fecha exacta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2025 (solo saldos a cierre); 2) registro de operaciones de directivos de la SIX (anónimo: cargo e importe); 3) prensa suiza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Hotel Chocolat (Mars, 2023), WK Kellogg (Ferrero, 2025) y Clif Bar (Mondelez,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los compradores (sin EBITDA); 2) búsqueda en prensa sectorial (solo importes); 3) notas de analistas públicas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ROE); 2) Stock Analysis (bloqueado); 3) MarketScreener (no lo 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con volumen (Reddit, cash.ch, finanzen.net)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(bloqueado); 2) Stocktwits LDSVF (404); 3) getquin y prensa con debate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Integrated Annual Report 2025 (cuentas consolidadas, notas 6, 9, 10, 11, 17, 18, 19; resumen de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https://www.lindt-spruengli.com/media/gxvdv4s2/integrated-annual-report-2025.pdf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Release: Financial Year 2025 (ventas 5.915,8 M, EBIT 971,0 M, flujo libre 446,3 M, dividendo 180 CHF por certificado)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https://www.lindt-spruengli.com/media/ohcfso2i/financial-year-2025-media-release.pdf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January-June 2026 (balance, cuenta, flujos y notas sin auditar)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https://www.lindt-spruengli.com/media/qgadvhmc/half-year-report-2026.pdf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results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https://www.lindt-spruengli.com/media/l5nhjcnj/media-release-half-year-results-2026.pdf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results 2026: transcripción de la presentación a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https://www.lindt-spruengli.com/media/1qzbfo1p/half-year-results-2026-transcript.pdf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 (cuenta y segmentos del 1S25 y del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https://www.lindt-spruengli.com/media/akmcm0tw/half-year-report-2025_.pdf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Revised full-year guidance 2026 (ad hoc: crecimiento orgánico 0-2 %)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https://www.lindt-spruengli.com/media/hhamtolb/sales-guidance-media-release-english.pdf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Lindt &amp; Sprüngli (SWX:LISN): balance anual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https://stockanalysis.com/quote/swx/LISN/financials/balance-sheet/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Lindt &amp; Sprüngli (SWX:LISN): estado de flujos anual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https://stockanalysis.com/quote/swx/LISN/financials/cash-flow-statement/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Lindt &amp; Sprüngli (SWX:LISN): resumen de la cuenta 2021-2025 (BPA diluido, coste de materiales, margen antes de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https://stockanalysis.com/quote/swx/LISN/financials/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2025: presentación a inversores (cuota de mercado Euromonitor, canales, GLP-1)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https://www.lindt-spruengli.com/media/0dqprjgx/20260310_ls_fy2025_results_presentation.pdf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results 2025: transcripción de la presentación a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https://www.lindt-spruengli.com/media/0wsndp5c/hy_2025_transcript.pdf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Share Buyback Program 2024-2026 y 2026-2029 (hasta 1.000 M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https://www.lindt-spruengli.com/media/zpubobnw/20260410_sbb_2026-2029_en.pdf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program May 4, 2026 - April 30, 2029: informe semanal al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Chocoladefabriken Lindt &amp; Sprüngli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https://www.lindt-spruengli.com/media/r1sjybwc/20261009-lindt-sbb.pdf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Lindt &amp; Sprüngli with double-digit organic sales growth and a further margin improvement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https://eqs-news.com/news/adhoc/lindt-sprungli-with-double-digit-organic-sales-growth-and-a-further-margin-improvement/2007977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Cocoa futures (CC=F, ICE): históricos mensuales y diarios 2021-2026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https://finance.yahoo.com/quote/CC%3DF/history/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Chocolate Confectionery Market (87.500 M USD en 2023; 146.100 M USD en 2035; TCAC 4,1 %)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Allied Market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https://alliedmarketresearch.com/press-release/chocolate-confectionery-market.html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Chocolate Confectionery Market Report (123.700 M USD en 2030; TCAC 2,5 %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https://www.lucintel.com/chocolate-confectionery-market.aspx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Hershey, Mondelez, Nestlé, Barry Callebaut y Meiji: ventas y margen operativo (financialData)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https://finance.yahoo.com/quote/HSY/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chocolate maker Lindt sued in US over cocoa child labor allegations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https://seekingalpha.com/api/sa/combined/LDSVF.xml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participaciones significativas: Chocoladefabriken Lindt &amp; Sprüngli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https://www.ser-ag.com/en/resources/notifications-market-participants/significant-shareholders.html?issuedBy=LINDT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Lindt fond en Bourse après l'abaissement des objectifs (Vontobel: segundo recorte en seis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AWP / 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https://www.vermoegenszentrum.ch/fr/bourses-et-marches/news/lindt-fond-en-bourse-apres-labaissement-des-objectifs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LISP.SW, LISN.SW, ^SSMI y EXH3.DE (precio, rango, volumen, betas, cierres de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https://finance.yahoo.com/quote/LISP.SW/history/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Lindt &amp; Sprüngli (LISP): estimaciones 2026-2028 (ventas, EBITDA, EBIT, BPA, DPA,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https://www.marketscreener.com/quote/stock/LINDT-73889/finances/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Lindt &amp; Sprüngli (LISP): consenso (17 analistas, Mantener, objetivo medio 96.280,62 CHF por nominativa)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https://www.marketscreener.com/quote/stock/LINDT-73889/consensus/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cotización, capitalización, valor empresa, EBITDA, estimaciones de BPA y ventas (HSY, MDLZ, NESN, BARN, 2269.T, 2206.T, 271560.KS, LISP)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https://finance.yahoo.com/quote/HSY/key-statistics/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USD/CHF, JPY/CHF, KRW/CHF y EUR/CHF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https://finance.yahoo.com/quote/USDCHF%3DX/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Kellanova in $35.9 billion deal (16,4 veces el EBITDA ajustado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Bakery Production / Mars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https://bakeryproduction.co.uk/mars-to-acquire-kellanova-in-35-9-billion-deal/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chocolate crisis: Lindt cuts sales forecast, shares plunge 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https://www.xtb.com/en/market-analysis/swiss-chocolate-crisis-lindt-cuts-sales-forecast-shares-plunge-8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Lindt &amp; Sprüngli: consenso de 19 analistas (7 comprar, 6 mantener, 6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https://app.getquin.com/de/aktie/CH0010570759/lindt-spruengl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Lindt &amp; Sprüngli Aktie: Margenziel in Gefahr?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https://www.boerse-global.de/lindt-spruengli-aktie-margenziel-in-gefahr/831208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 ficha y foro de la comunidad sobre Lindt &amp; Sprüngli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https://app.getquin.com/de/aktie/CH0010570759/lindt-spruengl/forum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Lindt &amp; Sprüngli Aktie: Gegenbewegung nach Kurssturz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Trading-Treff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https://trading-treff.de/wirtschaft/lindt-spruengli-aktie-gegenbewegung-nach-kurssturz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«Chocolate y confitería prémium» (sectores/chocolate-2026-10-14.md)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sectores/chocolate-2026-10-14.md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at One-Week High: bono de la Confederación a 10 años al 0,54 %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89,6 %</w:t>
      </w:r>
      <w:r>
        <w:t xml:space="preserve"> · Secciones con menos del 60 % de campos cubiertos: </w:t>
      </w:r>
      <w:r>
        <w:rPr>
          <w:b/>
          <w:bCs/>
        </w:rPr>
        <w:t xml:space="preserve">ninguna</w:t>
      </w:r>
      <w:r>
        <w:t xml:space="preserve"> · Generado el 14 oct 2026.</w:t>
      </w:r>
    </w:p>
    <w:p>
      <w:pPr>
        <w:pStyle w:val="Nota"/>
        <w:spacing w:after="100"/>
      </w:pPr>
      <w:r>
        <w:t xml:space="preserve">Se analiza el certificado de participación (LISP, CH0010570767), la línea más líquida (≈ 30 M CHF al día). Una acción nominativa (LISN, nominal 100 CHF) tiene los mismos derechos económicos que diez certificados (nominal 10 CHF), pero los certificados no votan; la nominativa cotiza a 81.600 CHF, un 4,1 % por encima de diez certificados (78.400). Todas las cifras por acción del informe son por certificado: el BPA y el dividendo publicados «por acción / 10 PC» divididos entre 10, y el número de acciones son equivalentes en certificados (nominativas × 10 + certificados), 2,282 millones diluidos al 9-oct-2026 (emitidas a 30-jun menos la autocartera y las recompras posteriores). Suiza no tiene XBRL público: las cuentas de 2024-2025 y del 1S26 salen del informe anual y semestral; las de 2021-2023 combinan el resumen de cinco años del informe 2025 con Stock Analysis (coste de materiales, resultado financiero, impuestos, deuda y clientes), marcadas como estimación. Segmentos solo de 2024-2025. Tasa libre del 0,54 % (Trading Economics, 8-oct; la API del Banco Nacional Suizo no tenía datos recientes). Comparables y tipos de cambio de Yahoo Finance del 14-oct.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Chocoladefabriken Lindt &amp; Sprüngli AG (LISP)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7.840,00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(7.420,00 – 13.360,00)</c:v>
                </c:pt>
                <c:pt idx="1">
                  <c:v>Precio objetivo de los analistas (7.226,00 – 12.500,00)</c:v>
                </c:pt>
                <c:pt idx="2">
                  <c:v>Comparables: EV/EBITDA NTM (4.105,78 – 7.710,78)</c:v>
                </c:pt>
                <c:pt idx="3">
                  <c:v>Comparables: PER NTM (5.557,49 – 7.499,26)</c:v>
                </c:pt>
                <c:pt idx="4">
                  <c:v>DCF (WACC y g ± 0,5) (6.678,17 – 10.419,72)</c:v>
                </c:pt>
                <c:pt idx="5">
                  <c:v>Escenarios (bajista – alcista) (6.022,48 – 9.231,44)</c:v>
                </c:pt>
                <c:pt idx="6">
                  <c:v>DCF con la prima implícita del mercado (4,2 %)</c:v>
                </c:pt>
                <c:pt idx="7">
                  <c:v>Precio actual (7.840,00)</c:v>
                </c:pt>
              </c:strCache>
            </c:strRef>
          </c:cat>
          <c:val>
            <c:numRef>
              <c:f>Hoja1!$B$2:$B$9</c:f>
              <c:numCache>
                <c:formatCode>#,##0</c:formatCode>
                <c:ptCount val="8"/>
                <c:pt idx="0">
                  <c:v>7420</c:v>
                </c:pt>
                <c:pt idx="1">
                  <c:v>7226</c:v>
                </c:pt>
                <c:pt idx="2">
                  <c:v>4105.78</c:v>
                </c:pt>
                <c:pt idx="3">
                  <c:v>5557.49</c:v>
                </c:pt>
                <c:pt idx="4">
                  <c:v>6678.17</c:v>
                </c:pt>
                <c:pt idx="5">
                  <c:v>6022.48</c:v>
                </c:pt>
                <c:pt idx="6">
                  <c:v>9161.14</c:v>
                </c:pt>
                <c:pt idx="7">
                  <c:v>7800.8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(7.420,00 – 13.360,00)</c:v>
                </c:pt>
                <c:pt idx="1">
                  <c:v>Precio objetivo de los analistas (7.226,00 – 12.500,00)</c:v>
                </c:pt>
                <c:pt idx="2">
                  <c:v>Comparables: EV/EBITDA NTM (4.105,78 – 7.710,78)</c:v>
                </c:pt>
                <c:pt idx="3">
                  <c:v>Comparables: PER NTM (5.557,49 – 7.499,26)</c:v>
                </c:pt>
                <c:pt idx="4">
                  <c:v>DCF (WACC y g ± 0,5) (6.678,17 – 10.419,72)</c:v>
                </c:pt>
                <c:pt idx="5">
                  <c:v>Escenarios (bajista – alcista) (6.022,48 – 9.231,44)</c:v>
                </c:pt>
                <c:pt idx="6">
                  <c:v>DCF con la prima implícita del mercado (4,2 %)</c:v>
                </c:pt>
                <c:pt idx="7">
                  <c:v>Precio actual (7.840,00)</c:v>
                </c:pt>
              </c:strCache>
            </c:strRef>
          </c:cat>
          <c:val>
            <c:numRef>
              <c:f>Hoja1!$C$2:$C$9</c:f>
              <c:numCache>
                <c:formatCode>#,##0</c:formatCode>
                <c:ptCount val="8"/>
                <c:pt idx="0">
                  <c:v>5940</c:v>
                </c:pt>
                <c:pt idx="1">
                  <c:v>5274</c:v>
                </c:pt>
                <c:pt idx="2">
                  <c:v>3605</c:v>
                </c:pt>
                <c:pt idx="3">
                  <c:v>1941.7700000000004</c:v>
                </c:pt>
                <c:pt idx="4">
                  <c:v>3741.5499999999993</c:v>
                </c:pt>
                <c:pt idx="5">
                  <c:v>3208.960000000001</c:v>
                </c:pt>
                <c:pt idx="6">
                  <c:v>3311.460000000001</c:v>
                </c:pt>
                <c:pt idx="7">
                  <c:v>78.39999999999964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Europa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2589.6</c:v>
                </c:pt>
                <c:pt idx="1">
                  <c:v>2955.5</c:v>
                </c:pt>
              </c:numCache>
            </c:numRef>
          </c:val>
        </c:ser>
        <c:ser>
          <c:idx val="1"/>
          <c:order val="1"/>
          <c:tx>
            <c:strRef>
              <c:f>Hoja1!$C$1</c:f>
              <c:strCache>
                <c:ptCount val="1"/>
                <c:pt idx="0">
                  <c:v>Norteamérica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2154.6</c:v>
                </c:pt>
                <c:pt idx="1">
                  <c:v>2183.8</c:v>
                </c:pt>
              </c:numCache>
            </c:numRef>
          </c:val>
        </c:ser>
        <c:ser>
          <c:idx val="2"/>
          <c:order val="2"/>
          <c:tx>
            <c:strRef>
              <c:f>Hoja1!$D$1</c:f>
              <c:strCache>
                <c:ptCount val="1"/>
                <c:pt idx="0">
                  <c:v>Resto del mundo</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724.3</c:v>
                </c:pt>
                <c:pt idx="1">
                  <c:v>776.5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Europa</c:v>
                </c:pt>
                <c:pt idx="1">
                  <c:v>Norteamérica</c:v>
                </c:pt>
                <c:pt idx="2">
                  <c:v>Resto del mundo</c:v>
                </c:pt>
              </c:strCache>
            </c:strRef>
          </c:cat>
          <c:val>
            <c:numRef>
              <c:f>Hoja1!$B$2:$B$4</c:f>
              <c:numCache>
                <c:formatCode>General</c:formatCode>
                <c:ptCount val="3"/>
                <c:pt idx="0">
                  <c:v>50</c:v>
                </c:pt>
                <c:pt idx="1">
                  <c:v>36.9</c:v>
                </c:pt>
                <c:pt idx="2">
                  <c:v>13.1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EE. UU.</c:v>
                </c:pt>
                <c:pt idx="1">
                  <c:v>Alemania</c:v>
                </c:pt>
                <c:pt idx="2">
                  <c:v>Suiza</c:v>
                </c:pt>
                <c:pt idx="3">
                  <c:v>Resto de Europa</c:v>
                </c:pt>
                <c:pt idx="4">
                  <c:v>Canadá y México</c:v>
                </c:pt>
                <c:pt idx="5">
                  <c:v>Resto del mundo</c:v>
                </c:pt>
              </c:strCache>
            </c:strRef>
          </c:cat>
          <c:val>
            <c:numRef>
              <c:f>Hoja1!$B$2:$B$7</c:f>
              <c:numCache>
                <c:formatCode>0"%"</c:formatCode>
                <c:ptCount val="6"/>
                <c:pt idx="0">
                  <c:v>32.1</c:v>
                </c:pt>
                <c:pt idx="1">
                  <c:v>14.8</c:v>
                </c:pt>
                <c:pt idx="2">
                  <c:v>9</c:v>
                </c:pt>
                <c:pt idx="3">
                  <c:v>26</c:v>
                </c:pt>
                <c:pt idx="4">
                  <c:v>4.8</c:v>
                </c:pt>
                <c:pt idx="5">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CHF (estimación propia a partir de la cuota; previsiones con el TCAC del 4 %))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102000</c:v>
                </c:pt>
                <c:pt idx="1">
                  <c:v>104000</c:v>
                </c:pt>
                <c:pt idx="2">
                  <c:v>108000</c:v>
                </c:pt>
                <c:pt idx="3">
                  <c:v>112500</c:v>
                </c:pt>
                <c:pt idx="4">
                  <c:v>117000</c:v>
                </c:pt>
                <c:pt idx="5">
                  <c:v>121500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Lindt</c:v>
                </c:pt>
                <c:pt idx="1">
                  <c:v>Mars</c:v>
                </c:pt>
                <c:pt idx="2">
                  <c:v>Mondelez</c:v>
                </c:pt>
                <c:pt idx="3">
                  <c:v>Ferrero</c:v>
                </c:pt>
                <c:pt idx="4">
                  <c:v>Nestlé</c:v>
                </c:pt>
                <c:pt idx="5">
                  <c:v>Hershey</c:v>
                </c:pt>
                <c:pt idx="6">
                  <c:v>Barry Callebaut</c:v>
                </c:pt>
              </c:strCache>
            </c:strRef>
          </c:cat>
          <c:val>
            <c:numRef>
              <c:f>Hoja1!$B$2:$B$8</c:f>
              <c:numCache>
                <c:formatCode>0.0"%"</c:formatCode>
                <c:ptCount val="7"/>
                <c:pt idx="0">
                  <c:v>16.4</c:v>
                </c:pt>
                <c:pt idx="2">
                  <c:v>22</c:v>
                </c:pt>
                <c:pt idx="4">
                  <c:v>16.1</c:v>
                </c:pt>
                <c:pt idx="5">
                  <c:v>23.1</c:v>
                </c:pt>
                <c:pt idx="6">
                  <c:v>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5</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4585.5</c:v>
                </c:pt>
                <c:pt idx="1">
                  <c:v>4970.2</c:v>
                </c:pt>
                <c:pt idx="2">
                  <c:v>5201.2</c:v>
                </c:pt>
                <c:pt idx="3">
                  <c:v>5468.5</c:v>
                </c:pt>
                <c:pt idx="4">
                  <c:v>5915.8</c:v>
                </c:pt>
                <c:pt idx="5">
                  <c:v>5797</c:v>
                </c:pt>
                <c:pt idx="6">
                  <c:v>5971</c:v>
                </c:pt>
                <c:pt idx="7">
                  <c:v>6270</c:v>
                </c:pt>
                <c:pt idx="8">
                  <c:v>6615</c:v>
                </c:pt>
                <c:pt idx="9">
                  <c:v>6979</c:v>
                </c:pt>
                <c:pt idx="10">
                  <c:v>7328</c:v>
                </c:pt>
                <c:pt idx="11">
                  <c:v>7621</c:v>
                </c:pt>
                <c:pt idx="12">
                  <c:v>7773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921.5</c:v>
                </c:pt>
                <c:pt idx="1">
                  <c:v>1017.7</c:v>
                </c:pt>
                <c:pt idx="2">
                  <c:v>1093.9</c:v>
                </c:pt>
                <c:pt idx="3">
                  <c:v>1181.5</c:v>
                </c:pt>
                <c:pt idx="4">
                  <c:v>1270.8</c:v>
                </c:pt>
                <c:pt idx="5">
                  <c:v>1275</c:v>
                </c:pt>
                <c:pt idx="6">
                  <c:v>1338</c:v>
                </c:pt>
                <c:pt idx="7">
                  <c:v>1423</c:v>
                </c:pt>
                <c:pt idx="8">
                  <c:v>1521</c:v>
                </c:pt>
                <c:pt idx="9">
                  <c:v>1619</c:v>
                </c:pt>
                <c:pt idx="10">
                  <c:v>1707</c:v>
                </c:pt>
                <c:pt idx="11">
                  <c:v>1783</c:v>
                </c:pt>
                <c:pt idx="12">
                  <c:v>1819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66.9</c:v>
                </c:pt>
                <c:pt idx="1">
                  <c:v>66.3</c:v>
                </c:pt>
                <c:pt idx="2">
                  <c:v>67.2</c:v>
                </c:pt>
                <c:pt idx="3">
                  <c:v>65.2</c:v>
                </c:pt>
                <c:pt idx="4">
                  <c:v>62.6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20.1</c:v>
                </c:pt>
                <c:pt idx="1">
                  <c:v>20.5</c:v>
                </c:pt>
                <c:pt idx="2">
                  <c:v>21</c:v>
                </c:pt>
                <c:pt idx="3">
                  <c:v>21.6</c:v>
                </c:pt>
                <c:pt idx="4">
                  <c:v>21.5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14.1</c:v>
                </c:pt>
                <c:pt idx="1">
                  <c:v>15</c:v>
                </c:pt>
                <c:pt idx="2">
                  <c:v>15.6</c:v>
                </c:pt>
                <c:pt idx="3">
                  <c:v>16.2</c:v>
                </c:pt>
                <c:pt idx="4">
                  <c:v>16.4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10.7</c:v>
                </c:pt>
                <c:pt idx="1">
                  <c:v>11.5</c:v>
                </c:pt>
                <c:pt idx="2">
                  <c:v>12.9</c:v>
                </c:pt>
                <c:pt idx="3">
                  <c:v>12.3</c:v>
                </c:pt>
                <c:pt idx="4">
                  <c:v>12.3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9</c:v>
                </c:pt>
                <c:pt idx="3">
                  <c:v>7.6</c:v>
                </c:pt>
                <c:pt idx="4">
                  <c:v>-0.9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11.2</c:v>
                </c:pt>
                <c:pt idx="4">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73</c:v>
                </c:pt>
                <c:pt idx="1">
                  <c:v>71</c:v>
                </c:pt>
                <c:pt idx="2">
                  <c:v>71</c:v>
                </c:pt>
                <c:pt idx="3">
                  <c:v>79</c:v>
                </c:pt>
                <c:pt idx="4">
                  <c:v>73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76</c:v>
                </c:pt>
                <c:pt idx="1">
                  <c:v>81</c:v>
                </c:pt>
                <c:pt idx="2">
                  <c:v>82</c:v>
                </c:pt>
                <c:pt idx="3">
                  <c:v>80</c:v>
                </c:pt>
                <c:pt idx="4">
                  <c:v>94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24</c:v>
                </c:pt>
                <c:pt idx="1">
                  <c:v>27</c:v>
                </c:pt>
                <c:pt idx="2">
                  <c:v>27</c:v>
                </c:pt>
                <c:pt idx="3">
                  <c:v>35</c:v>
                </c:pt>
                <c:pt idx="4">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513</c:v>
                </c:pt>
                <c:pt idx="1">
                  <c:v>450.70000000000005</c:v>
                </c:pt>
                <c:pt idx="2">
                  <c:v>402.6</c:v>
                </c:pt>
                <c:pt idx="3">
                  <c:v>791</c:v>
                </c:pt>
                <c:pt idx="4">
                  <c:v>109.09999999999998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490.5</c:v>
                </c:pt>
                <c:pt idx="1">
                  <c:v>569.7</c:v>
                </c:pt>
                <c:pt idx="2">
                  <c:v>671.4</c:v>
                </c:pt>
                <c:pt idx="3">
                  <c:v>672.3</c:v>
                </c:pt>
                <c:pt idx="4">
                  <c:v>727.2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8.8</c:v>
                </c:pt>
                <c:pt idx="1">
                  <c:v>10.9</c:v>
                </c:pt>
                <c:pt idx="2">
                  <c:v>13.6</c:v>
                </c:pt>
                <c:pt idx="3">
                  <c:v>13.1</c:v>
                </c:pt>
                <c:pt idx="4">
                  <c:v>13.2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5.5</c:v>
                </c:pt>
                <c:pt idx="1">
                  <c:v>5.5</c:v>
                </c:pt>
                <c:pt idx="2">
                  <c:v>5.5</c:v>
                </c:pt>
                <c:pt idx="3">
                  <c:v>5.5</c:v>
                </c:pt>
                <c:pt idx="4">
                  <c:v>5.5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9.4</c:v>
                </c:pt>
                <c:pt idx="1">
                  <c:v>11.8</c:v>
                </c:pt>
                <c:pt idx="2">
                  <c:v>15.5</c:v>
                </c:pt>
                <c:pt idx="3">
                  <c:v>14.8</c:v>
                </c:pt>
                <c:pt idx="4">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0.59</c:v>
                </c:pt>
                <c:pt idx="1">
                  <c:v>0.56</c:v>
                </c:pt>
                <c:pt idx="2">
                  <c:v>0.86</c:v>
                </c:pt>
                <c:pt idx="3">
                  <c:v>0.55</c:v>
                </c:pt>
                <c:pt idx="4">
                  <c:v>0.86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2030</c:v>
                </c:pt>
                <c:pt idx="4">
                  <c:v>2032</c:v>
                </c:pt>
                <c:pt idx="5">
                  <c:v>2034</c:v>
                </c:pt>
              </c:strCache>
            </c:strRef>
          </c:cat>
          <c:val>
            <c:numRef>
              <c:f>Hoja1!$B$2:$B$7</c:f>
              <c:numCache>
                <c:formatCode>#,##0</c:formatCode>
                <c:ptCount val="6"/>
                <c:pt idx="0">
                  <c:v>127.1</c:v>
                </c:pt>
                <c:pt idx="1">
                  <c:v>250</c:v>
                </c:pt>
                <c:pt idx="2">
                  <c:v>250</c:v>
                </c:pt>
                <c:pt idx="3">
                  <c:v>225</c:v>
                </c:pt>
                <c:pt idx="4">
                  <c:v>250</c:v>
                </c:pt>
                <c:pt idx="5">
                  <c:v>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264.1</c:v>
                </c:pt>
                <c:pt idx="1">
                  <c:v>284.1</c:v>
                </c:pt>
                <c:pt idx="2">
                  <c:v>303.6</c:v>
                </c:pt>
                <c:pt idx="3">
                  <c:v>321.7</c:v>
                </c:pt>
                <c:pt idx="4">
                  <c:v>344.8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433.3</c:v>
                </c:pt>
                <c:pt idx="1">
                  <c:v>551.4</c:v>
                </c:pt>
                <c:pt idx="2">
                  <c:v>593.9</c:v>
                </c:pt>
                <c:pt idx="3">
                  <c:v>304.9</c:v>
                </c:pt>
                <c:pt idx="4">
                  <c:v>332.9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1</c:v>
                </c:pt>
                <c:pt idx="1">
                  <c:v>2</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Fundaciones de pensiones del grupo (Fonds für Pensionsergänzungen y Finanzierungsstiftung)</c:v>
                </c:pt>
                <c:pt idx="1">
                  <c:v>UBS Fund Management (Switzerland)</c:v>
                </c:pt>
                <c:pt idx="2">
                  <c:v>BlackRock Inc.</c:v>
                </c:pt>
                <c:pt idx="3">
                  <c:v>Ernst Tanner</c:v>
                </c:pt>
                <c:pt idx="4">
                  <c:v>Autocartera (recompras)</c:v>
                </c:pt>
              </c:strCache>
            </c:strRef>
          </c:cat>
          <c:val>
            <c:numRef>
              <c:f>Hoja1!$B$2:$B$6</c:f>
              <c:numCache>
                <c:formatCode>0.0"%"</c:formatCode>
                <c:ptCount val="5"/>
                <c:pt idx="0">
                  <c:v>15.6</c:v>
                </c:pt>
                <c:pt idx="1">
                  <c:v>5.01</c:v>
                </c:pt>
                <c:pt idx="2">
                  <c:v>4.96</c:v>
                </c:pt>
                <c:pt idx="3">
                  <c:v>2.3</c:v>
                </c:pt>
                <c:pt idx="4">
                  <c:v>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-15.7</c:v>
                </c:pt>
                <c:pt idx="1">
                  <c:v>12.8</c:v>
                </c:pt>
                <c:pt idx="2">
                  <c:v>2.5</c:v>
                </c:pt>
                <c:pt idx="3">
                  <c:v>23.2</c:v>
                </c:pt>
                <c:pt idx="4">
                  <c:v>14.8</c:v>
                </c:pt>
                <c:pt idx="5">
                  <c:v>46.3</c:v>
                </c:pt>
                <c:pt idx="6">
                  <c:v>-25.3</c:v>
                </c:pt>
                <c:pt idx="7">
                  <c:v>7</c:v>
                </c:pt>
                <c:pt idx="8">
                  <c:v>-0.2</c:v>
                </c:pt>
                <c:pt idx="9">
                  <c:v>15.1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-6.8</c:v>
                </c:pt>
                <c:pt idx="1">
                  <c:v>14.1</c:v>
                </c:pt>
                <c:pt idx="2">
                  <c:v>-10.2</c:v>
                </c:pt>
                <c:pt idx="3">
                  <c:v>26</c:v>
                </c:pt>
                <c:pt idx="4">
                  <c:v>0.8</c:v>
                </c:pt>
                <c:pt idx="5">
                  <c:v>20.3</c:v>
                </c:pt>
                <c:pt idx="6">
                  <c:v>-16.7</c:v>
                </c:pt>
                <c:pt idx="7">
                  <c:v>3.8</c:v>
                </c:pt>
                <c:pt idx="8">
                  <c:v>4.2</c:v>
                </c:pt>
                <c:pt idx="9">
                  <c:v>14.4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33.9</c:v>
                </c:pt>
                <c:pt idx="1">
                  <c:v>22.7</c:v>
                </c:pt>
                <c:pt idx="2">
                  <c:v>22.5</c:v>
                </c:pt>
                <c:pt idx="3">
                  <c:v>20.3</c:v>
                </c:pt>
                <c:pt idx="4">
                  <c:v>22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22.5</c:v>
                </c:pt>
                <c:pt idx="1">
                  <c:v>22.5</c:v>
                </c:pt>
                <c:pt idx="2">
                  <c:v>22.5</c:v>
                </c:pt>
                <c:pt idx="3">
                  <c:v>22.5</c:v>
                </c:pt>
                <c:pt idx="4">
                  <c:v>22.5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Lindt</c:v>
                </c:pt>
                <c:pt idx="1">
                  <c:v>Hershey</c:v>
                </c:pt>
                <c:pt idx="2">
                  <c:v>Mondelez</c:v>
                </c:pt>
                <c:pt idx="3">
                  <c:v>Nestlé</c:v>
                </c:pt>
                <c:pt idx="4">
                  <c:v>Barry Callebaut</c:v>
                </c:pt>
                <c:pt idx="5">
                  <c:v>Meiji Holdings</c:v>
                </c:pt>
                <c:pt idx="6">
                  <c:v>Ezaki Glico</c:v>
                </c:pt>
                <c:pt idx="7">
                  <c:v>Orion</c:v>
                </c:pt>
              </c:strCache>
            </c:strRef>
          </c:cat>
          <c:val>
            <c:numRef>
              <c:f>Hoja1!$B$2:$B$9</c:f>
              <c:numCache>
                <c:formatCode>0.0"x"</c:formatCode>
                <c:ptCount val="8"/>
                <c:pt idx="0">
                  <c:v>14.5</c:v>
                </c:pt>
                <c:pt idx="1">
                  <c:v>13.5</c:v>
                </c:pt>
                <c:pt idx="2">
                  <c:v>15.7</c:v>
                </c:pt>
                <c:pt idx="3">
                  <c:v>15</c:v>
                </c:pt>
                <c:pt idx="4">
                  <c:v>12.4</c:v>
                </c:pt>
                <c:pt idx="5">
                  <c:v>7.8</c:v>
                </c:pt>
                <c:pt idx="6">
                  <c:v>8.5</c:v>
                </c:pt>
                <c:pt idx="7">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Lindt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3.1</c:v>
                </c:pt>
              </c:numCache>
            </c:numRef>
          </c:xVal>
          <c:yVal>
            <c:numRef>
              <c:f>Hoja1!$C$2</c:f>
              <c:numCache>
                <c:formatCode>0.0"x"</c:formatCode>
                <c:ptCount val="1"/>
                <c:pt idx="0">
                  <c:v>14.5</c:v>
                </c:pt>
              </c:numCache>
            </c:numRef>
          </c:yVal>
          <c:smooth val="0"/>
        </c:ser>
        <c:ser>
          <c:idx val="1"/>
          <c:order val="1"/>
          <c:tx>
            <c:strRef>
              <c:f>Hoja1!$A$3</c:f>
              <c:strCache>
                <c:ptCount val="1"/>
                <c:pt idx="0">
                  <c:v>Hershey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c:v>
                </c:pt>
              </c:numCache>
            </c:numRef>
          </c:xVal>
          <c:yVal>
            <c:numRef>
              <c:f>Hoja1!$C$3</c:f>
              <c:numCache>
                <c:formatCode>0.0"x"</c:formatCode>
                <c:ptCount val="1"/>
                <c:pt idx="0">
                  <c:v>13.5</c:v>
                </c:pt>
              </c:numCache>
            </c:numRef>
          </c:yVal>
          <c:smooth val="0"/>
        </c:ser>
        <c:ser>
          <c:idx val="2"/>
          <c:order val="2"/>
          <c:tx>
            <c:strRef>
              <c:f>Hoja1!$A$4</c:f>
              <c:strCache>
                <c:ptCount val="1"/>
                <c:pt idx="0">
                  <c:v>Mondelez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3.4</c:v>
                </c:pt>
              </c:numCache>
            </c:numRef>
          </c:xVal>
          <c:yVal>
            <c:numRef>
              <c:f>Hoja1!$C$4</c:f>
              <c:numCache>
                <c:formatCode>0.0"x"</c:formatCode>
                <c:ptCount val="1"/>
                <c:pt idx="0">
                  <c:v>15.7</c:v>
                </c:pt>
              </c:numCache>
            </c:numRef>
          </c:yVal>
          <c:smooth val="0"/>
        </c:ser>
        <c:ser>
          <c:idx val="3"/>
          <c:order val="3"/>
          <c:tx>
            <c:strRef>
              <c:f>Hoja1!$A$5</c:f>
              <c:strCache>
                <c:ptCount val="1"/>
                <c:pt idx="0">
                  <c:v>Nestlé</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15</c:v>
                </c:pt>
              </c:numCache>
            </c:numRef>
          </c:yVal>
          <c:smooth val="0"/>
        </c:ser>
        <c:ser>
          <c:idx val="4"/>
          <c:order val="4"/>
          <c:tx>
            <c:strRef>
              <c:f>Hoja1!$A$6</c:f>
              <c:strCache>
                <c:ptCount val="1"/>
                <c:pt idx="0">
                  <c:v>Barry Callebaut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-13.7</c:v>
                </c:pt>
              </c:numCache>
            </c:numRef>
          </c:xVal>
          <c:yVal>
            <c:numRef>
              <c:f>Hoja1!$C$6</c:f>
              <c:numCache>
                <c:formatCode>0.0"x"</c:formatCode>
                <c:ptCount val="1"/>
                <c:pt idx="0">
                  <c:v>12.4</c:v>
                </c:pt>
              </c:numCache>
            </c:numRef>
          </c:yVal>
          <c:smooth val="0"/>
        </c:ser>
        <c:ser>
          <c:idx val="5"/>
          <c:order val="5"/>
          <c:tx>
            <c:strRef>
              <c:f>Hoja1!$A$7</c:f>
              <c:strCache>
                <c:ptCount val="1"/>
                <c:pt idx="0">
                  <c:v>Meiji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c:v>
                </c:pt>
              </c:numCache>
            </c:numRef>
          </c:xVal>
          <c:yVal>
            <c:numRef>
              <c:f>Hoja1!$C$7</c:f>
              <c:numCache>
                <c:formatCode>0.0"x"</c:formatCode>
                <c:ptCount val="1"/>
                <c:pt idx="0">
                  <c:v>7.8</c:v>
                </c:pt>
              </c:numCache>
            </c:numRef>
          </c:yVal>
          <c:smooth val="0"/>
        </c:ser>
        <c:ser>
          <c:idx val="6"/>
          <c:order val="6"/>
          <c:tx>
            <c:strRef>
              <c:f>Hoja1!$A$8</c:f>
              <c:strCache>
                <c:ptCount val="1"/>
                <c:pt idx="0">
                  <c:v>Ezaki Glico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3.5</c:v>
                </c:pt>
              </c:numCache>
            </c:numRef>
          </c:xVal>
          <c:yVal>
            <c:numRef>
              <c:f>Hoja1!$C$8</c:f>
              <c:numCache>
                <c:formatCode>0.0"x"</c:formatCode>
                <c:ptCount val="1"/>
                <c:pt idx="0">
                  <c:v>8.5</c:v>
                </c:pt>
              </c:numCache>
            </c:numRef>
          </c:yVal>
          <c:smooth val="0"/>
        </c:ser>
        <c:ser>
          <c:idx val="7"/>
          <c:order val="7"/>
          <c:tx>
            <c:strRef>
              <c:f>Hoja1!$A$9</c:f>
              <c:strCache>
                <c:ptCount val="1"/>
                <c:pt idx="0">
                  <c:v>Orion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10.8</c:v>
                </c:pt>
              </c:numCache>
            </c:numRef>
          </c:xVal>
          <c:yVal>
            <c:numRef>
              <c:f>Hoja1!$C$9</c:f>
              <c:numCache>
                <c:formatCode>0.0"x"</c:formatCode>
                <c:ptCount val="1"/>
                <c:pt idx="0">
                  <c:v>3.6</c:v>
                </c:pt>
              </c:numCache>
            </c:numRef>
          </c:yVal>
          <c:smooth val="0"/>
        </c:ser>
        <c:axId val="10"/>
        <c:axId val="20"/>
      </c:scatterChart>
      <c:valAx>
        <c:axId val="10"/>
        <c:scaling>
          <c:orientation val="minMax"/>
          <c:max val="2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Kellanova (snacks: Pringles, Cheez-It)</c:v>
                </c:pt>
              </c:strCache>
            </c:strRef>
          </c:cat>
          <c:val>
            <c:numRef>
              <c:f>Hoja1!$B$2</c:f>
              <c:numCache>
                <c:formatCode>0.0"x"</c:formatCode>
                <c:ptCount val="1"/>
                <c:pt idx="0">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786</c:v>
                </c:pt>
                <c:pt idx="1">
                  <c:v>745</c:v>
                </c:pt>
                <c:pt idx="2">
                  <c:v>719</c:v>
                </c:pt>
                <c:pt idx="3">
                  <c:v>740</c:v>
                </c:pt>
                <c:pt idx="4">
                  <c:v>799</c:v>
                </c:pt>
                <c:pt idx="5">
                  <c:v>862</c:v>
                </c:pt>
                <c:pt idx="6">
                  <c:v>932</c:v>
                </c:pt>
                <c:pt idx="7">
                  <c:v>1011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4889</c:v>
                </c:pt>
                <c:pt idx="1">
                  <c:v>15303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7.840,00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6022.48</c:v>
                </c:pt>
                <c:pt idx="1">
                  <c:v>8137.76</c:v>
                </c:pt>
                <c:pt idx="2">
                  <c:v>9231.44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7.840,00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(7.420,00 – 13.360,00)</c:v>
                </c:pt>
                <c:pt idx="1">
                  <c:v>Precio objetivo de los analistas (7.226,00 – 12.500,00)</c:v>
                </c:pt>
                <c:pt idx="2">
                  <c:v>Comparables: EV/EBITDA NTM (4.105,78 – 7.710,78)</c:v>
                </c:pt>
                <c:pt idx="3">
                  <c:v>Comparables: PER NTM (5.557,49 – 7.499,26)</c:v>
                </c:pt>
                <c:pt idx="4">
                  <c:v>DCF (WACC y g ± 0,5) (6.678,17 – 10.419,72)</c:v>
                </c:pt>
                <c:pt idx="5">
                  <c:v>Escenarios (bajista – alcista) (6.022,48 – 9.231,44)</c:v>
                </c:pt>
                <c:pt idx="6">
                  <c:v>DCF con la prima implícita del mercado (4,2 %)</c:v>
                </c:pt>
                <c:pt idx="7">
                  <c:v>Precio actual (7.840,00)</c:v>
                </c:pt>
              </c:strCache>
            </c:strRef>
          </c:cat>
          <c:val>
            <c:numRef>
              <c:f>Hoja1!$B$2:$B$9</c:f>
              <c:numCache>
                <c:formatCode>#,##0</c:formatCode>
                <c:ptCount val="8"/>
                <c:pt idx="0">
                  <c:v>7420</c:v>
                </c:pt>
                <c:pt idx="1">
                  <c:v>7226</c:v>
                </c:pt>
                <c:pt idx="2">
                  <c:v>4105.78</c:v>
                </c:pt>
                <c:pt idx="3">
                  <c:v>5557.49</c:v>
                </c:pt>
                <c:pt idx="4">
                  <c:v>6678.17</c:v>
                </c:pt>
                <c:pt idx="5">
                  <c:v>6022.48</c:v>
                </c:pt>
                <c:pt idx="6">
                  <c:v>9161.14</c:v>
                </c:pt>
                <c:pt idx="7">
                  <c:v>7800.8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(7.420,00 – 13.360,00)</c:v>
                </c:pt>
                <c:pt idx="1">
                  <c:v>Precio objetivo de los analistas (7.226,00 – 12.500,00)</c:v>
                </c:pt>
                <c:pt idx="2">
                  <c:v>Comparables: EV/EBITDA NTM (4.105,78 – 7.710,78)</c:v>
                </c:pt>
                <c:pt idx="3">
                  <c:v>Comparables: PER NTM (5.557,49 – 7.499,26)</c:v>
                </c:pt>
                <c:pt idx="4">
                  <c:v>DCF (WACC y g ± 0,5) (6.678,17 – 10.419,72)</c:v>
                </c:pt>
                <c:pt idx="5">
                  <c:v>Escenarios (bajista – alcista) (6.022,48 – 9.231,44)</c:v>
                </c:pt>
                <c:pt idx="6">
                  <c:v>DCF con la prima implícita del mercado (4,2 %)</c:v>
                </c:pt>
                <c:pt idx="7">
                  <c:v>Precio actual (7.840,00)</c:v>
                </c:pt>
              </c:strCache>
            </c:strRef>
          </c:cat>
          <c:val>
            <c:numRef>
              <c:f>Hoja1!$C$2:$C$9</c:f>
              <c:numCache>
                <c:formatCode>#,##0</c:formatCode>
                <c:ptCount val="8"/>
                <c:pt idx="0">
                  <c:v>5940</c:v>
                </c:pt>
                <c:pt idx="1">
                  <c:v>5274</c:v>
                </c:pt>
                <c:pt idx="2">
                  <c:v>3605</c:v>
                </c:pt>
                <c:pt idx="3">
                  <c:v>1941.7700000000004</c:v>
                </c:pt>
                <c:pt idx="4">
                  <c:v>3741.5499999999993</c:v>
                </c:pt>
                <c:pt idx="5">
                  <c:v>3208.960000000001</c:v>
                </c:pt>
                <c:pt idx="6">
                  <c:v>3311.460000000001</c:v>
                </c:pt>
                <c:pt idx="7">
                  <c:v>78.39999999999964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