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Suzhou TFC Optical Communication Co., Ltd. (苏州天孚光通信股份有限公司)</w:t>
      </w:r>
    </w:p>
    <w:p>
      <w:pPr>
        <w:spacing w:after="60"/>
        <w:rPr>
          <w:color w:val="52514E"/>
          <w:sz w:val="22"/>
          <w:szCs w:val="22"/>
        </w:rPr>
      </w:pPr>
      <w:r>
        <w:rPr>
          <w:color w:val="52514E"/>
          <w:sz w:val="22"/>
          <w:szCs w:val="22"/>
        </w:rPr>
        <w:t xml:space="preserve">300394 · Shenzhen Stock Exchange (ChiNext) · ISIN CNE100001ZN0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203,30 CNY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205,10 CNY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+1,4 % (base +19,9 %)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55,57 CNY · mercado 63,77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221.760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Suzhou TFC Optical Communication Co., Ltd. (苏州天孚光通信股份有限公司)</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300394 / CNE100001ZN0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Shenzhen Stock Exchange (ChiNext)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CSI 300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Equipos de comunicaciones (componentes ópticos)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Suzhou (Jiangsu), China · 2005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www.tfcsz.com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203,30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100,81 – 375,00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221.760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219.125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10.560 M CNY/día (3 meses)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205,10 CNY</w:t>
      </w:r>
      <w:r>
        <w:t xml:space="preserve"> frente a 203,30 · Rentabilidad a 12 meses </w:t>
      </w:r>
      <w:r>
        <w:rPr>
          <w:b/>
          <w:bCs/>
        </w:rPr>
        <w:t xml:space="preserve">+1,4 % (base +19,9 %)</w:t>
      </w:r>
      <w:r>
        <w:t xml:space="preserve"> · Valor intrínseco 55,57 CNY · con la prima implícita del mercado: 63,77 (-68,6 %) · Alcista / bajista -74,1 % / -88,5 %</w:t>
      </w:r>
    </w:p>
    <w:p>
      <w:pPr>
        <w:spacing w:after="100"/>
      </w:pPr>
      <w:r>
        <w:rPr>
          <w:b/>
        </w:rPr>
        <w:t xml:space="preserve">La recomendación y por qué.</w:t>
      </w:r>
      <w:r>
        <w:t xml:space="preserve"> Mantener, con convicción media (no compraríamos; quien la tenga puede esperar al 3T26). El objetivo a 12 meses es de 205,10 CNY (nuestro BPA de 2028e × el PER de la regla común), un +1,4 % de rentabilidad ponderada con el dividendo y un +19,9 % en el base, frente a un precio de 203,30 CNY (cierre del 19-oct-2026). El valor intrínseco (55,57 CNY) está un 72,7 % por debajo del precio y el objetivo medio de los analistas (321,64) un 58 % por encima, fuera de nuestro rango. La razón: TFC es un negocio excelente, pero el precio supone que el ciclo de inversión en IA no tiene pico en esta década. La convicción subiría hacia Vender si el 3T26 (29-oct) no muestra la recuperación de los motores activos (ventas trimestrales por debajo de 1.800 M).</w:t>
      </w:r>
    </w:p>
    <w:p>
      <w:pPr>
        <w:spacing w:after="100"/>
      </w:pPr>
      <w:r>
        <w:rPr>
          <w:b/>
        </w:rPr>
        <w:t xml:space="preserve">El negocio.</w:t>
      </w:r>
      <w:r>
        <w:t xml:space="preserve"> Primer fabricante mundial de componentes ópticos para centros de datos (11,7 % del mercado) [7], con un margen bruto del 61 % en el 1S26 y un ROIC de ≈ 100 % frente a un WACC del 10,9 % [2]. Su punto débil es la dependencia: el 63,9 % de las ventas va a un cliente (Fabrinet, que fabrica para Nvidia) y el 90,6 % a cinco [7]. Sostenibilidad «En parte»: la calidad sostiene el crecimiento en lo que depende de la empresa, pero el ritmo lo marcan un cliente y el capex de IA, y el 1S26 (+15 %) lo demostró.</w:t>
      </w:r>
    </w:p>
    <w:p>
      <w:pPr>
        <w:spacing w:after="100"/>
      </w:pPr>
      <w:r>
        <w:rPr>
          <w:b/>
        </w:rPr>
        <w:t xml:space="preserve">Sector y ciclo.</w:t>
      </w:r>
      <w:r>
        <w:t xml:space="preserve"> El mercado de componentes crecería un 30,5 % anual hasta 2030 según Frost &amp; Sullivan, un informe encargado por la empresa [7]. Nuestro base ya es generoso (+35-50 % en 2026-2027) pero incluye una meseta en 2030; el bajista, una caída en 2028 como la de las telecomunicaciones en 2022.</w:t>
      </w:r>
    </w:p>
    <w:p>
      <w:pPr>
        <w:spacing w:after="100"/>
      </w:pPr>
      <w:r>
        <w:rPr>
          <w:b/>
        </w:rPr>
        <w:t xml:space="preserve">Finanzas.</w:t>
      </w:r>
      <w:r>
        <w:t xml:space="preserve"> Ventas de 5.163 M en 2025 (+59 %) y beneficio de 2.017 M (+50 %), sin deuda y con 3.178 M de caja a junio [4]. El flujo operativo convierte el 83-93 % del beneficio; las subvenciones son pequeñas (51 M en 2025). Clientes y existencias crecen más que las ventas en el 1S26.</w:t>
      </w:r>
    </w:p>
    <w:p>
      <w:pPr>
        <w:spacing w:after="100"/>
      </w:pPr>
      <w:r>
        <w:rPr>
          <w:b/>
        </w:rPr>
        <w:t xml:space="preserve">Equipo y gobierno.</w:t>
      </w:r>
      <w:r>
        <w:t xml:space="preserve"> La pareja de control (37,5 %) vendió a 140 CNY en noviembre de 2025 y ahora propone una recompra simbólica [15, 17]; cambio de auditor a EY y salida a Hong Kong con una dilución del 11-13 % [10, 26].</w:t>
      </w:r>
    </w:p>
    <w:p>
      <w:pPr>
        <w:spacing w:after="100"/>
      </w:pPr>
      <w:r>
        <w:rPr>
          <w:b/>
        </w:rPr>
        <w:t xml:space="preserve">Valoración.</w:t>
      </w:r>
      <w:r>
        <w:t xml:space="preserve"> DCF de 42,86 CNY y valor ponderado de 55,57 (DCF 50 %, escenarios 35 %, comparables 15 %); ni el alcista con las ventas del consenso pasa de 52,58. El precio implica una rentabilidad del 3,0 % anual con nuestros flujos. TFC cotiza a 56,3 veces nuestro BPA de los próximos 12 meses, frente a una mediana adelantada de 27,0 y a 10-11 veces de Innolight y Eoptolink, sus clientes [23]. Nuestro BPA de 2028e (4,74) queda un 40 % bajo el consenso (7,90), que supone multiplicar las ventas por cuatro.</w:t>
      </w:r>
    </w:p>
    <w:p>
      <w:pPr>
        <w:spacing w:after="100"/>
      </w:pPr>
      <w:r>
        <w:rPr>
          <w:b/>
        </w:rPr>
        <w:t xml:space="preserve">Riesgos y catalizadores.</w:t>
      </w:r>
      <w:r>
        <w:t xml:space="preserve"> Los mayores: el pico del ciclo (bajista a 12 meses de 33,43 CNY, −84 %), el múltiplo (−50 % si vuelve a su mediana) y el cliente A (−30 a −40 % si reparte pedidos); los controles de exportación EE. UU.-China son un riesgo de baja probabilidad y alto impacto. Catalizadores: 3T26 (29-oct), emisión H y rampa del 1,6T en 2027. El foro de Guba está cansado y dividido, sin euforia [31].</w:t>
      </w:r>
    </w:p>
    <w:p>
      <w:pPr>
        <w:spacing w:after="100"/>
      </w:pPr>
      <w:r>
        <w:rPr>
          <w:b/>
        </w:rPr>
        <w:t xml:space="preserve">Qué cambiaría la decisión.</w:t>
      </w:r>
      <w:r>
        <w:t xml:space="preserve"> Comprar por debajo de 55,57 CNY; vender por encima de 228,99. Un 3T26 con ventas por encima de 2.500 M y margen bruto ≥ 58 % subiría nuestro base; un primer cliente por debajo del 50 % de las ventas sin sustituto, o una caída del capex de la nube, lo bajaría. Para un particular en IBKR, la acción A no es accesible (ChiNext solo para institucionales en Stock Connect) [35]: la vía sería la línea H si sale.</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205,10 CNY</w:t>
      </w:r>
      <w:r>
        <w:t xml:space="preserve"> (rentabilidad +1,4 % (base +19,9 %)) · Valor intrínseco: 55,57 CNY (-72,7 % sobre 203,30) · con la prima implícita del mercado: 63,77 (-68,6 %)</w:t>
      </w:r>
    </w:p>
    <w:p>
      <w:pPr>
        <w:spacing w:after="100"/>
      </w:pPr>
      <w:r>
        <w:t xml:space="preserve">TFC fabrica las piezas de precisión que van dentro de los módulos ópticos que conectan las GPU en los centros de datos: componentes pasivos (lentes, agrupaciones de fibra, filtros) con un margen bruto del 64-72 % y motores ópticos para un cliente que fabrica para Nvidia [1, 7]. Es la primera del mundo en componentes (11,7 %) [7], gana un ROIC de ≈ 100 % y no tiene deuda; las ventas se han multiplicado por 2,7 en dos años [4].</w:t>
      </w:r>
    </w:p>
    <w:p>
      <w:pPr>
        <w:spacing w:after="100"/>
      </w:pPr>
      <w:r>
        <w:t xml:space="preserve">El precio (203,30 CNY, 221.760 M de capitalización) descuenta mucho más: 56 veces nuestro BPA de los próximos 12 meses y un DCF inverso sin solución razonable; con nuestros flujos el precio rinde un 3,0 % anual. El consenso espera 7,90 CNY de BPA en 2028 (×4,3 sobre 2025) [22].</w:t>
      </w:r>
    </w:p>
    <w:p>
      <w:pPr>
        <w:spacing w:after="100"/>
      </w:pPr>
      <w:r>
        <w:t xml:space="preserve">Para invertir hay que creer que el capex de IA no tiene pico en esta década, que TFC mantiene el 64 % de un cliente y su margen, y que ni los controles de exportación ni el cambio a CPO le afectan. Nosotros creemos que el negocio es bueno pero que el precio paga el mejor caso.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205,10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 × 2,44 = 33,43 · 51,2x × 4,74 = 242,69 · 51,2x × 5,89 = 301,57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 19,9 %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321,64 (nuestro base -24,5 %)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55,57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-74,1 % / -88,5 %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 frente a 10,9 %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63,77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(16,5 %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55,57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55,57 y 228,99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228,99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55,57 CNY: Comprar (valor intrínseco por encima del precio y rentabilidad a 12 meses suficiente).</w:t>
      </w:r>
    </w:p>
    <w:p>
      <w:pPr>
        <w:pStyle w:val="ListParagraph"/>
        <w:numPr>
          <w:ilvl w:val="0"/>
          <w:numId w:val="2"/>
        </w:numPr>
        <w:spacing w:after="60"/>
      </w:pPr>
      <w:r>
        <w:t xml:space="preserve">Precio por encima de 228,99 CNY: Vender (ponderada ≤ −10 %).</w:t>
      </w:r>
    </w:p>
    <w:p>
      <w:pPr>
        <w:pStyle w:val="ListParagraph"/>
        <w:numPr>
          <w:ilvl w:val="0"/>
          <w:numId w:val="2"/>
        </w:numPr>
        <w:spacing w:after="60"/>
      </w:pPr>
      <w:r>
        <w:t xml:space="preserve">Ventas del 3T26 por debajo de 1.800 M CNY: reforzar la venta y bajar el base.</w:t>
      </w:r>
    </w:p>
    <w:p>
      <w:pPr>
        <w:pStyle w:val="ListParagraph"/>
        <w:numPr>
          <w:ilvl w:val="0"/>
          <w:numId w:val="2"/>
        </w:numPr>
        <w:spacing w:after="60"/>
      </w:pPr>
      <w:r>
        <w:t xml:space="preserve">Ventas del 3T26 por encima de 2.500 M con margen bruto ≥ 58 %: subir el base de 2026-2027.</w:t>
      </w:r>
    </w:p>
    <w:p>
      <w:pPr>
        <w:pStyle w:val="ListParagraph"/>
        <w:numPr>
          <w:ilvl w:val="0"/>
          <w:numId w:val="2"/>
        </w:numPr>
        <w:spacing w:after="60"/>
      </w:pPr>
      <w:r>
        <w:t xml:space="preserve">Regla de EE. UU. que restrinja componentes ópticos chinos: revisar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1S26 fue un tropiezo de oferta (chips EML) y que en 2027-2028 TFC vuelve a crecer al 50-60 % anual con el 1,6T y la óptica coempaquetada, con un margen neto del 40 %: beneficio de 8.622 M en 2028 [22]. Los 31 analistas de un año dicen comprar.</w:t>
      </w:r>
    </w:p>
    <w:p>
      <w:pPr>
        <w:keepNext/>
        <w:spacing w:after="100"/>
      </w:pPr>
      <w:r>
        <w:rPr>
          <w:b/>
          <w:bCs/>
        </w:rPr>
        <w:t xml:space="preserve">Lo que creemos nosotros.</w:t>
      </w:r>
    </w:p>
    <w:p>
      <w:pPr>
        <w:spacing w:after="100"/>
      </w:pPr>
      <w:r>
        <w:t xml:space="preserve">Coincidimos en la calidad y discrepamos en la duración: el crecimiento depende de un cliente (64 %) y de un ciclo que ya tiene tres años fuertes. Nuestro base (BPA 4,74 en 2028e) ya supone duplicar y media las ventas; aun con las ventas del consenso, el DCF no llega a 55 CNY.</w:t>
      </w:r>
    </w:p>
    <w:p>
      <w:pPr>
        <w:keepNext/>
        <w:spacing w:after="100"/>
      </w:pPr>
      <w:r>
        <w:rPr>
          <w:b/>
          <w:bCs/>
        </w:rPr>
        <w:t xml:space="preserve">Por qué podemos tener razón.</w:t>
      </w:r>
    </w:p>
    <w:p>
      <w:pPr>
        <w:spacing w:after="100"/>
      </w:pPr>
      <w:r>
        <w:t xml:space="preserve">Los ciclos de inversión en redes acaban (telecomunicaciones en 2001 y 2019-2022: en 2022 el PER adelantado de TFC bajó a 13,7). El 1S26 mostró que el ritmo no lo controla la empresa. Y los fabricantes de módulos, sus clientes, cotizan a 10-11 veces.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203,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margen excepcional</w:t>
      </w:r>
      <w:r>
        <w:t xml:space="preserve">: primera en componentes ópticos (11,7 %) y margen bruto del 61 % en el 1S26.</w:t>
      </w:r>
    </w:p>
    <w:p>
      <w:pPr>
        <w:pStyle w:val="ListParagraph"/>
        <w:numPr>
          <w:ilvl w:val="0"/>
          <w:numId w:val="2"/>
        </w:numPr>
        <w:spacing w:after="60"/>
      </w:pPr>
      <w:r>
        <w:rPr>
          <w:b/>
        </w:rPr>
        <w:t xml:space="preserve">ROIC de ≈ 100 %</w:t>
      </w:r>
      <w:r>
        <w:t xml:space="preserve">: casi 90 puntos sobre el WACC, sin deuda y con 3.178 M de caja.</w:t>
      </w:r>
    </w:p>
    <w:p>
      <w:pPr>
        <w:pStyle w:val="ListParagraph"/>
        <w:numPr>
          <w:ilvl w:val="0"/>
          <w:numId w:val="2"/>
        </w:numPr>
        <w:spacing w:after="60"/>
      </w:pPr>
      <w:r>
        <w:rPr>
          <w:b/>
        </w:rPr>
        <w:t xml:space="preserve">Crecimiento real</w:t>
      </w:r>
      <w:r>
        <w:t xml:space="preserve">: ventas ×2,7 y beneficio ×2,8 de 2023 a 2025.</w:t>
      </w:r>
    </w:p>
    <w:p>
      <w:pPr>
        <w:pStyle w:val="ListParagraph"/>
        <w:numPr>
          <w:ilvl w:val="0"/>
          <w:numId w:val="2"/>
        </w:numPr>
        <w:spacing w:after="60"/>
      </w:pPr>
      <w:r>
        <w:rPr>
          <w:b/>
        </w:rPr>
        <w:t xml:space="preserve">Conversión en caja</w:t>
      </w:r>
      <w:r>
        <w:t xml:space="preserve">: el flujo operativo es el 83-93 % del beneficio.</w:t>
      </w:r>
    </w:p>
    <w:p>
      <w:pPr>
        <w:pStyle w:val="ListParagraph"/>
        <w:numPr>
          <w:ilvl w:val="0"/>
          <w:numId w:val="2"/>
        </w:numPr>
        <w:spacing w:after="60"/>
      </w:pPr>
      <w:r>
        <w:rPr>
          <w:b/>
        </w:rPr>
        <w:t xml:space="preserve">1,6T y CPO</w:t>
      </w:r>
      <w:r>
        <w:t xml:space="preserve">: más componentes por puerto en las próximas generaciones.</w:t>
      </w:r>
    </w:p>
    <w:p>
      <w:pPr>
        <w:pStyle w:val="Heading2"/>
      </w:pPr>
      <w:r>
        <w:t xml:space="preserve">En contra</w:t>
      </w:r>
    </w:p>
    <w:p>
      <w:pPr>
        <w:pStyle w:val="ListParagraph"/>
        <w:numPr>
          <w:ilvl w:val="0"/>
          <w:numId w:val="2"/>
        </w:numPr>
        <w:spacing w:after="60"/>
      </w:pPr>
      <w:r>
        <w:rPr>
          <w:b/>
        </w:rPr>
        <w:t xml:space="preserve">Precio sin margen de seguridad</w:t>
      </w:r>
      <w:r>
        <w:t xml:space="preserve">: valor intrínseco de 55,57 CNY, un 72,7 % bajo el precio.</w:t>
      </w:r>
    </w:p>
    <w:p>
      <w:pPr>
        <w:pStyle w:val="ListParagraph"/>
        <w:numPr>
          <w:ilvl w:val="0"/>
          <w:numId w:val="2"/>
        </w:numPr>
        <w:spacing w:after="60"/>
      </w:pPr>
      <w:r>
        <w:rPr>
          <w:b/>
        </w:rPr>
        <w:t xml:space="preserve">Un cliente</w:t>
      </w:r>
      <w:r>
        <w:t xml:space="preserve">: el primero da el 63,9 % de las ventas y los cinco primeros el 90,6 %.</w:t>
      </w:r>
    </w:p>
    <w:p>
      <w:pPr>
        <w:pStyle w:val="ListParagraph"/>
        <w:numPr>
          <w:ilvl w:val="0"/>
          <w:numId w:val="2"/>
        </w:numPr>
        <w:spacing w:after="60"/>
      </w:pPr>
      <w:r>
        <w:rPr>
          <w:b/>
        </w:rPr>
        <w:t xml:space="preserve">Ciclo de IA</w:t>
      </w:r>
      <w:r>
        <w:t xml:space="preserve">: ventas del 1S26 +15 % frente a un consenso que pide ×1,7 en 2026.</w:t>
      </w:r>
    </w:p>
    <w:p>
      <w:pPr>
        <w:pStyle w:val="ListParagraph"/>
        <w:numPr>
          <w:ilvl w:val="0"/>
          <w:numId w:val="2"/>
        </w:numPr>
        <w:spacing w:after="60"/>
      </w:pPr>
      <w:r>
        <w:rPr>
          <w:b/>
        </w:rPr>
        <w:t xml:space="preserve">Caro frente a sus clientes</w:t>
      </w:r>
      <w:r>
        <w:t xml:space="preserve">: 56 veces el BPA adelantado frente a 10-11 de Innolight y Eoptolink.</w:t>
      </w:r>
    </w:p>
    <w:p>
      <w:pPr>
        <w:pStyle w:val="ListParagraph"/>
        <w:numPr>
          <w:ilvl w:val="0"/>
          <w:numId w:val="2"/>
        </w:numPr>
        <w:spacing w:after="60"/>
      </w:pPr>
      <w:r>
        <w:rPr>
          <w:b/>
        </w:rPr>
        <w:t xml:space="preserve">Dilución y ventas</w:t>
      </w:r>
      <w:r>
        <w:t xml:space="preserve">: acciones H (11-13 %) y el accionista de control vendió a 140 CNY.</w:t>
      </w:r>
    </w:p>
    <w:p>
      <w:pPr>
        <w:pStyle w:val="Heading2"/>
      </w:pPr>
      <w:r>
        <w:t xml:space="preserve">Qué tiene que pasar para que la tesis funcione</w:t>
      </w:r>
    </w:p>
    <w:p>
      <w:pPr>
        <w:spacing w:after="100"/>
      </w:pPr>
      <w:r>
        <w:t xml:space="preserve">La tesis del mercado depende de que el 2S26 duplique al 1S26 y de que 2027 crezca un 50 % o más con el 1,6T, sin perder peso en el primer cliente. La señal en contra sería un 3T26 con ventas por debajo de 1.800 M (29-oct), un primer cliente que reparte pedidos o los grandes de la nube que dejan de subir el capex.</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1.497,7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1.800 M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necesita ≈ 2.900 M por trimestre en el 2S26.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motores activos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1.259,9 M (1S26, −19,6 %)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recuperación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escasez de chips y el cliente 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primer cliente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 sin sustituto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extrema.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y mezcla.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 de los grandes de la nube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Creciendo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Guía plana o 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señal del pico del ciclo.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95,4x / 41,6x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TFC nace en 2005 en Suzhou, fundada por Zou Zhinong y Zhu Guodong para fabricar piezas cerámicas y componentes pasivos para la fibra óptica de telecomunicaciones [1]. Sale a bolsa en ChiNext en febrero de 2015 y durante 2015-2022 crece despacio con las redes chinas (4G, 5G): ventas de 338 M CNY en 2017 y 1.196 M en 2022 [4]. Desde 2018 dirige el negocio Ou Yang y la empresa se reorienta a los centros de datos y a los clientes extranjeros; la relación con el que hoy es su primer cliente empieza en 2018 [7]. La IA cambia la escala: con los motores ópticos de 800G para el cliente A, las ventas pasan de 1.939 M en 2023 a 5.163 M en 2025 y el beneficio de 730 M a 2.017 M [4]. En 2024-2026 abre fábrica en Tailandia, traslada la sede de las operaciones exteriores a Singapur y pide la salida a bolsa en Hong Kong [7, 26]. La lección: el negocio de siempre (pasivos de precisión con margen alto) es el que sostiene el valor; el crecimiento de 2023-2026 depende de un cliente y de un ciclo.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Zou Zhinong y Zhu Guodong fundan TFC en Suzhou (componentes pasivos para fibra óptica)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ChiNext (Shenzhen), código 300394.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 Yang, directora general; empieza la relación con el que hoy es el cliente A (64 % de las ventas)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Arrancan los motores ópticos de 800G para centros de datos de IA: ventas +62 %, beneficio +81 %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3.252 M y 5.163 M; fábrica en Tailandia; los cinco primeros clientes llegan al 90,6 % [1,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Solicitud de acciones H en Hong Kong (10-abr); escasez de chips EML frena los motores (1S26 +15 %); máximo de 375 CNY el 3-jun y caída del 54 %; cambio de auditor a EY; propuesta de recompra (15-oct) [2, 10, 17, 26].</w:t>
            </w:r>
          </w:p>
        </w:tc>
      </w:tr>
    </w:tbl>
    <w:p>
      <w:pPr>
        <w:spacing w:after="160" w:before="0"/>
      </w:pPr>
    </w:p>
    <w:p>
      <w:pPr>
        <w:pStyle w:val="Heading1"/>
      </w:pPr>
      <w:r>
        <w:t xml:space="preserve">2. Modelo de negocio</w:t>
      </w:r>
    </w:p>
    <w:p>
      <w:pPr>
        <w:spacing w:after="100"/>
      </w:pPr>
      <w:r>
        <w:t xml:space="preserve">TFC (Suzhou TFC Optical Communication, «天孚通信») diseña y fabrica componentes ópticos para los módulos que conectan los servidores y conmutadores de los centros de datos: componentes pasivos (microópticas, FAU o agrupaciones de fibra, conectores, filtros) y motores ópticos activos multicanal de 800G y 1,6T, además de empaquetado por encargo [1]. Vende a fabricantes de módulos y de equipos (Fabrinet para Nvidia, Innolight, Eoptolink, Coherent) [1]. Fabrica en Jiangxi (Gao’an) y Tailandia (Chonburi), con I+D en Suzhou, Shenzhen y Japón y sede doble en Suzhou y Singapur [2].</w:t>
      </w:r>
    </w:p>
    <w:p>
      <w:pPr>
        <w:pStyle w:val="Heading2"/>
      </w:pPr>
      <w:r>
        <w:t xml:space="preserve">Cómo gana dinero</w:t>
      </w:r>
    </w:p>
    <w:p>
      <w:pPr>
        <w:spacing w:after="100"/>
      </w:pPr>
      <w:r>
        <w:t xml:space="preserve">Cobra por pieza a clientes industriales con pedidos por generación de producto. El margen bruto es alto en pasivos (63,7 % en 2025; 71,9 % en el 1S26) y medio en activos (46-47 %), así que la mezcla mueve el margen total [1, 2]. Hay apalancamiento operativo: los gastos generales y de I+D son el 9 % de las ventas. Nada es recurrente por contrato: el volumen lo marca el ciclo de inversión de la nube y el cliente A; cada generación (400G, 800G, 1,6T) se vuelve a ganar. Sin estacionalidad clara; sí escalones con los lanzamientos de Nvidia.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Componentes pasivos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Componentes activos (motores ópticos)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Componentes pasivos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Componentes activos (motores ópticos)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extrema y creciente: el primer cliente da el 54,0 % de las ventas en 2023, el 62,2 % en 2024 y el 63,9 % en 2025 (3.268,8 M CNY), y los cinco primeros el 82,2 %, 87,5 % y 90,6 % [7]. El folleto H describe al cliente A como una empresa de empaquetado óptico y fabricación óptica de precisión de las islas Caimán que cotiza en la NYSE (la descripción coincide con Fabrinet, que fabrica transceptores para Nvidia); el B es una empresa de semiconductores sin fábrica de EE. UU. del Nasdaq; el C fabrica láseres y optoelectrónica en la NYSE; el D y el E son fabricantes de módulos de Shenzhen [7]. Relación con el A desde 2018. Del exterior, 3.766,8 M se venden en Asia sin China y solo 66,2 M en Norteamérica [1]. Poder de precios: margen bruto de los pasivos del 63,7 % en 2025 y del 71,9 % en el 1S26 [1, 2], pero los activos (46-47 %) dependen de un cliente que fija el volumen.</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vendidas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473,8 M de unidades (+42,6 %)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53,96 % en 2025 por la mezcla hacia activos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cliente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90,6 %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194,9 M en el 1S26, +55 %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de I+D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Plantilla total 5.127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componentes ópticos (pasivos y activos) que se venden a los fabricantes de transceptores y módulos ópticos para centros de datos y telecomunicaciones, en todo el mundo. Frost &amp; Sullivan lo mide por ventas externas de componentes: 6.054 M USD en 2025, con TFC primera (11,7 %) [7]. Es una parte del mercado de interconexión óptica (22,7 bn USD en 2025, 71 % centros de datos) [7]. Se usa el de componentes porque es el que corresponde a lo que vende TFC; el de interconexión sirve de contraste. Las cifras de Frost &amp; Sullivan son de un informe encargado por la empresa para su salida a bolsa: se toman como techo, no como centro.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6.054 M USD (≈ 40.400 M CNY) en 2025; 22,9 bn USD previstos en 2030 (+30,5 % anual) según Frost &amp; Sullivan [7]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componentes ópticos para interconexión, Frost &amp; Sulliva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infraestructura de IA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146,6 bn USD en 2023 a 440 bn en 2025 y 913,7 bn previstos en 2030 (+22,2 % anual)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800G a 1,6T y 3,2T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canales por módulo = más componentes por unidad; el mercado de componentes de alta velocidad pasa de 2,0 bn USD en 2025 a 19,6 bn en 2030 según F&amp;S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Óptica coempaquetada (CPO) y silicio fotónico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CPO de 28,6 bn USD en 2030 según F&amp;S [7]; cambia quién empaqueta (el fabricante del conmutador o del chip) y puede reducir el contenido de componentes discretos.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chips láser (EML) y otros materiales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Frenó los componentes activos de TFC en el 1S26 (−19,6 %) [2]; GF Securities espera escasez hasta 2028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Política comercial EE. UU.-China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Rumor de restricción de la FCC en agosto de 2026, desmentido [14]; TFC produce en Tailandia para no depender de China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(los cinco primeros 25,4 %) pero en alta velocidad pocos proveedores cumplen los requisitos de los grandes clientes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primer cliente es el 63,9 % de las ventas de TFC y los cinco primeros el 90,6 %; Innolight y Eoptolink hacen parte de los componentes ellos mismos [1,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láser (EML, CW) escasos y en pocas manos (Lumentum, Coherent, Broadcom, Mitsubishi, Yuanjie): frenaron el 1S26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de calificación y de precisión; pero el mercado crece tanto que atrae capacidad china nueva (T&amp;S, Shijia, Yuanjie) [7,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Cobre (AEC, DAC) en distancias cortas y CPO o silicio fotónico, que integran funciones que hoy son componentes [7].</w:t>
            </w:r>
          </w:p>
        </w:tc>
      </w:tr>
    </w:tbl>
    <w:p>
      <w:pPr>
        <w:spacing w:after="160" w:before="0"/>
      </w:pPr>
    </w:p>
    <w:p>
      <w:pPr>
        <w:pStyle w:val="Heading2"/>
      </w:pPr>
      <w:r>
        <w:t xml:space="preserve">Ciclo</w:t>
      </w:r>
    </w:p>
    <w:p>
      <w:pPr>
        <w:spacing w:after="100"/>
      </w:pPr>
      <w:r>
        <w:t xml:space="preserve">La inversión en IA crece todavía (Frost &amp; Sullivan: 440 bn USD en 2025, 535 en 2026e) y los módulos de 800G y 1,6T van con escasez [7, 13]. Indicadores: capex de los grandes de la nube, pedidos de Nvidia y consenso de Innolight y Eoptolink (ventas 2027e ×2 sobre 2026e) [12]. El sector es cíclico: en 2022 la acción de TFC cayó un 30 % y sus ventas solo crecieron un 16 % al frenar la inversión en telecomunicaciones; en 2019-2020 dependía de las redes 5G chinas [1].</w:t>
      </w:r>
    </w:p>
    <w:p>
      <w:pPr>
        <w:pStyle w:val="Heading2"/>
      </w:pPr>
      <w:r>
        <w:t xml:space="preserve">Regulación</w:t>
      </w:r>
    </w:p>
    <w:p>
      <w:pPr>
        <w:spacing w:after="100"/>
      </w:pPr>
      <w:r>
        <w:t xml:space="preserve">Controles de exportación de EE. UU. sobre chips de IA a China (no afectan a lo que TFC vende fuera, pero sí a la demanda china), aranceles de EE. UU. a productos chinos (TFC vende solo 66 M a Norteamérica y produce en Tailandia) [1] y el rumor de agosto de 2026 de una restricción de la FCC a módulos ópticos chinos, desmentido por Innolight [14]. China controla desde 2023 la exportación de galio y germanio, materiales de los chips láser. La salida a bolsa en Hong Kong necesita el registro de la CSRC [1].</w:t>
      </w:r>
    </w:p>
    <w:p>
      <w:pPr>
        <w:pStyle w:val="Heading2"/>
      </w:pPr>
      <w:r>
        <w:t xml:space="preserve">Tendencias y disrupción</w:t>
      </w:r>
    </w:p>
    <w:p>
      <w:pPr>
        <w:spacing w:after="100"/>
      </w:pPr>
      <w:r>
        <w:t xml:space="preserve">Tres cambios: (1) velocidad (800G a 1,6T en 2026-2027 y 3,2T después), que sube el contenido de componentes y favorece a TFC; (2) CPO y silicio fotónico, donde TFC dice tener productos (ELS, motores para CPO) pero el empaquetado pasa a fabricantes de chips y conmutadores; (3) relocalización fuera de China (Tailandia), que TFC ya hizo [2, 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componentes ópticos para interconexión (11,7 % en 2025) y primero en FAU, según Frost &amp; Sullivan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Innolight (Zhongji Innolight)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300308.SZ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65.229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fabricante de módulos; cliente (D o E) y a la vez competidor en componentes propios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Eoptolink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300502.SZ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 de módulos; cliente y competidor parcial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Coherent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COHR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47.475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Láseres y componentes; cliente C y proveedor [1,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Lumentum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20.102</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láser y componentes activos; compite en motores y en CPO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Accelink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002281.SZ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y módulos ópticos (China Information Communication Technologies)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T&amp;S Communications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300570.SZ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Conectores y componentes pasivos (MPO, FA) [12].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larga con cada cliente y diseño a medida en cada generación; relación con el cliente A desde 2018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propias de diseño y empaquetado; I+D del 5-7 % de las ventas [B2,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los pasivos del 63,7-71,9 % y ROIC muy por encima de los fabricantes de módulos [B2,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en componentes con el 11,7 %, 2,3 veces la segunda [B1].</w:t>
            </w:r>
          </w:p>
        </w:tc>
      </w:tr>
    </w:tbl>
    <w:p>
      <w:pPr>
        <w:spacing w:after="160" w:before="0"/>
      </w:pPr>
    </w:p>
    <w:p>
      <w:pPr>
        <w:pStyle w:val="Heading2"/>
      </w:pPr>
      <w:r>
        <w:t xml:space="preserve">Amenazas</w:t>
      </w:r>
    </w:p>
    <w:p>
      <w:pPr>
        <w:spacing w:after="100"/>
      </w:pPr>
      <w:r>
        <w:t xml:space="preserve">La amenaza principal es el poder del cliente: el A (63,9 %) puede repartir los motores ópticos entre más proveedores o hacerlos él mismo, y los fabricantes de módulos chinos integran componentes. La segunda es tecnológica: con CPO y silicio fotónico el empaquetado lo hacen los fabricantes de chips y conmutadores (Nvidia, Broadcom, TSMC), y TFC tiene que ganar el contrato de nuevo. Probabilidad media en 3-5 años [7, 12].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Crecimiento anual compuesto 2018-2025: ingresos </w:t>
      </w:r>
      <w:r>
        <w:rPr>
          <w:b/>
          <w:bCs/>
        </w:rPr>
        <w:t xml:space="preserve">42,0 %</w:t>
      </w:r>
      <w:r>
        <w:t xml:space="preserve">, EBITDA </w:t>
      </w:r>
      <w:r>
        <w:rPr>
          <w:b/>
          <w:bCs/>
        </w:rPr>
        <w:t xml:space="preserve">47,0 %</w:t>
      </w:r>
      <w:r>
        <w:t xml:space="preserve">, BPA </w:t>
      </w:r>
      <w:r>
        <w:rPr>
          <w:b/>
          <w:bCs/>
        </w:rPr>
        <w:t xml:space="preserve">44,9 %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pasan de 442,9 M CNY en 2018 a 5.163,4 M en 2025 (+58,8 % en 2025, +67,7 % en 2024) y el beneficio atribuido de 135,5 a 2.017,3 M; todo es crecimiento orgánico: la única compra es pequeña (Beijiguang, 2020, fondo de comercio de 29,7 M) [1, 4]. El salto empieza en 2023 con los motores ópticos para módulos de 800G de los centros de datos de IA: los componentes activos (motores ópticos) pasan de 217,8 M en 2022 a 2.997,9 M en 2025 y los pasivos de 959,9 a 2.084,4 M [1, 8]. El margen bruto de 2025 baja 3,3 puntos (53,96 %) por la mezcla hacia activos (46,6 % de margen bruto frente a 63,7 % de los pasivos). En el 1S26 las ventas solo crecen un 15,2 % (2.827,9 M): los activos caen un 19,6 % por la falta de algún material (chips láser) y los pasivos crecen un 77,4 % con un margen bruto del 71,9 %; el margen bruto total sube a 60,9 % y el beneficio crece un 33,9 % [2, 5]. Las pérdidas de cambio (47,5 M en 2025; 85,8 M en el 1S26) van al resultado financiero.</w:t>
      </w:r>
    </w:p>
    <w:p>
      <w:pPr>
        <w:pStyle w:val="Heading2"/>
      </w:pPr>
      <w:r>
        <w:t xml:space="preserve">Ajustes y partidas no recurrentes</w:t>
      </w:r>
    </w:p>
    <w:p>
      <w:pPr>
        <w:spacing w:after="100"/>
      </w:pPr>
      <w:r>
        <w:t xml:space="preserve">Cifras publicadas (normas contables chinas, CAS), sin ajustes. Partidas no recurrentes según la empresa: 40,8 M en 2025 (beneficio sin no recurrentes 1.976,5 M) y 18,0 M en el 1S26 (1.186,3 M), sobre todo subvenciones y rendimiento de la tesorería; no se ajustan porque se repiten cada año y son menos del 2 % del beneficio [1, 2]. Las subvenciones incluidas en «otros ingresos» (51,2 M en 2025, 30,6 M en el 1S26) se quedan en el EBIT. El pago en acciones (planes de 2023 y 2026) es gasto en la cuenta. En 2023 el F10 da por error unos minoritarios de −388,5 M: el anual da beneficio total = atribuido (729,9 M) y se pone 0.</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2"/>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 empresa no publica transcripciones; lo que dice la dirección sale del semestral, de los avances y de las reuniones con inversores que recoge la prensa. En el avance del 1S26 (18-jul) y en el semestral (19-ago) la dirección atribuye el crecimiento a la demanda de IA y explica que «la falta de algún material» frenó la subida de producción de los componentes activos (los motores ópticos de 1,6T), y que las pérdidas de cambio subieron los gastos financieros [2, 5]. El semestral añade que la planta de Tailandia sube producción en pasivos y activos, que la segunda fase de Jiangxi entró en uso y que la nueva sede y la «superfábrica» de Suzhou entrarán en uso desde 2027 [2]. En julio el secretario del consejo dijo que la cartera de pedidos es «muy abundante» y que la oferta de chips mejoraría desde el 3T-4T [27]. Lo que no se ha cuantificado: cuánto de la caída de los activos es material y cuánto cambio de producto del cliente A (Fabrinet, para Nvidia), ni el calendario de los motores para CPO.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sube con el crecimiento: existencias de 457,2 M a 928,8 M en seis meses (acopio de materiales escasos y producto en curso) y clientes de 1.124 a 1.454 M, compensado en parte por proveedores y efectos a pagar (de 495 a 982 M) [2]. La caja neta (≈ 3.180 M con la tesorería a corto) no ha bajado pese a pagar 545 M de dividendo en el 1S26, y el 17-sep pagó otros 545 M [9]. Balance sin riesgo financiero; el riesgo está en el circulante si un cliente frena.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3.765</w:t>
      </w:r>
      <w:r>
        <w:t xml:space="preserve">, conversión </w:t>
      </w:r>
      <w:r>
        <w:rPr>
          <w:b/>
          <w:bCs/>
        </w:rPr>
        <w:t xml:space="preserve">70 %</w:t>
      </w:r>
      <w:r>
        <w:t xml:space="preserve"> del beneficio neto; adquisiciones 236, dividendos 2.037, recompras 0.</w:t>
      </w:r>
    </w:p>
    <w:p>
      <w:pPr>
        <w:spacing w:after="100"/>
      </w:pPr>
      <w:r>
        <w:t xml:space="preserve">La caja de explotación acompaña al beneficio: 1.868 M en 2025 (93 % del beneficio atribuido) y 1.001 M en el 1S26 (83 %) [4]. El capex sube de 112 M en 2022 a 418 M en 2025 y 308 M en el 1S26 (Tailandia, Jiangxi fase 2, sede y superfábrica de Suzhou): es sobre todo de crecimiento; el de mantenimiento se estima en lo que se amortiza (≈ 170-200 M al año, estimación propia). El reparto es alto: 667 M de dividendos en 2025 (33 % del beneficio, con la política de 2026-2028 de repartir en efectivo ≥ 30 % del beneficio distribuible) [1]. En 2024 hay 235,5 M de «otros pagos de financiación», que se tratan como compra de minoritarios (los minoritarios del balance bajan de 170,7 a 6,4 M) [4]. La emisión de 2021 (789,7 M) es la ampliación privada para Jiangxi.</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Gongzheng Tianye (公证天业) para 2025; EY Hua Ming (安永华明) propuesto para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 −1,78: perfil compatible con manipulación de beneficios; revisar a fondo.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sencillas: sin deuda, sin compras relevantes y sin capitalización de I+D (266,6 M de I+D a gastos en 2025) [1]. Tres cosas que mirar. (1) Concentración: el primer cliente (Fabrinet, según la descripción del folleto H: empresa de empaquetado óptico de las islas Caimán que cotiza en la NYSE) da el 63,9 % de las ventas y los cinco primeros el 90,6 % [7]: el cobro es bueno (cobros reales del 99 % de lo vendido en Asia) [1]. (2) Cambio de auditor en agosto de 2026 tras 16 años, a una de las cuatro grandes, explicado por la salida a bolsa en Hong Kong y la complejidad fuera de China [10]: no es una alarma, pero el primer ejercicio auditado por EY es 2026. (3) El margen bruto del 1S26 (60,9 %) es el más alto de su historia por la mezcla (pasivos 71,9 %); no es repetible si vuelven los activos. Sobre los indicadores del motor: con caja neta y beneficio creciente, el Altman Z sale muy alto y el Beneish M lo mueve el crecimiento de clientes y existencias, que acompaña a las ventas.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extrema de clientes (63,9 % el primero; 90,6 % los cinco primeros)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negocio más que contable; cobros al día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tras 16 años (a EY Hua Ming)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Motivado por la salida a Hong Kong; sin desacuerdos declarados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que se doblan en seis meses (457 → 929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Acopio de material escaso y producto en curso; vigilar provisiones (deterioro de existencias de 32,4 M en 2025) [2,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30 M en 2025 (el 1 % del capital invertido medio); ha subido más de un 5 % en 0 de 7 años: sin compras. ROIC publicado 99,9 %; sin fondo de comercio, 101,4 %. Sin compras relevantes: el publicado ya es el ROIC del negocio.</w:t>
      </w:r>
    </w:p>
    <w:p>
      <w:pPr>
        <w:spacing w:after="100"/>
      </w:pPr>
      <w:r>
        <w:rPr>
          <w:b/>
          <w:bCs/>
        </w:rPr>
        <w:t xml:space="preserve">ROIC incremental</w:t>
      </w:r>
      <w:r>
        <w:t xml:space="preserve"> (variación del NOPAT sobre variación del capital invertido en el periodo): 125,3 % · </w:t>
      </w:r>
      <w:r>
        <w:rPr>
          <w:b/>
          <w:bCs/>
        </w:rPr>
        <w:t xml:space="preserve">WACC</w:t>
      </w:r>
      <w:r>
        <w:t xml:space="preserve">: 10,9 %.</w:t>
      </w:r>
    </w:p>
    <w:p>
      <w:pPr>
        <w:spacing w:after="100"/>
      </w:pPr>
      <w:r>
        <w:t xml:space="preserve">El ROIC del motor (99,9 % en 2025, 92,0 % en 2024, 28-35 % en 2018-2022) es real y excepcional: el capital invertido sin la caja es pequeño (1.985 M en 2025: inmovilizado de 1.318 M y circulante) porque los componentes pasivos se fabrican con poco capital y un margen bruto del 64-72 % [1, 2]. Frente a un WACC del 10,9 %, la diferencia es de ≈ 89 puntos en 2025 y de más de 15 puntos en todos los años desde 2018. El ROE (42,5 %) es menor por la caja (3.178 M a junio). Lo que hay que preguntarse no es la rentabilidad sino su duración: el salto de 2023-2025 viene de los motores activos para un solo cliente, con un margen bruto del 47 % que la escasez de chips y la negociación con ese cliente pueden bajar. Los fabricantes de módulos (Innolight, Eoptolink) ganan un 41 % de margen EBITDA con mucho más capital [12].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2.905,8 M CNY + depósitos estructurados y productos de tesorería 272,2 M a 30-jun-2026; sin deuda bancaria; líneas de crédito bancarias solicitadas en agosto de 2026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financiera desde 2022 (préstamos de 1-7 M en 2020-2021) y arrendamientos de 2-6 M [1, 4]. Pasivos de contrato (anticipos de clientes) de 112,1 M a 30-jun-2026 (160,6 M al cierre de 2025) [2]. Subvenciones diferidas de 23,5 M. Sin garantías a terceros ni litigios relevantes declarados [1]. Compromisos: la nueva sede y la superfábrica de Suzhou (en construcción, entrada en uso desde 2027) y la ampliación de Tailandia, que suben el capex al 10,9 % de las ventas en el 1S26 (308,3 M) [2]. Coberturas de divisa aprobadas en abril de 2026 para las ventas en USD [1].</w:t>
      </w:r>
    </w:p>
    <w:p>
      <w:pPr>
        <w:pStyle w:val="Heading1"/>
      </w:pPr>
      <w:r>
        <w:t xml:space="preserve">12. Asignación de capital</w:t>
      </w:r>
    </w:p>
    <w:p>
      <w:pPr>
        <w:pStyle w:val="Confianza"/>
        <w:spacing w:after="100"/>
      </w:pPr>
      <w:r>
        <w:t xml:space="preserve">Confianza: Alta</w:t>
      </w:r>
    </w:p>
    <w:p>
      <w:pPr>
        <w:spacing w:after="100"/>
      </w:pPr>
      <w:r>
        <w:t xml:space="preserve">Dividendo en efectivo dos veces al año: 1,20 CNY por acción de entonces por 2025 (0,86 en la base de hoy) y 0,50 a cuenta de 2026 (545,4 M, pagado el 17-sep) [9]. Plan de rentabilidad al accionista 2026-2028: reparto en efectivo de al menos el 30 % del beneficio distribuible de cada año si no hay grandes inversiones [1]. Ampliaciones liberadas cada año (10x4 en 2024, 2025 y 2026), que no cambian el valor. El 15-oct-2026 el accionista de control propuso recomprar entre 100 y 150 M CNY para amortizar (≈ 0,06 % del capital) [27]. Prioridades: capacidad (Tailandia, Jiangxi, superfábrica de Suzhou), I+D (CPO, silicio fotónico, niobato de litio) y la salida a Hong Kong.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Beijiguang (北极光电, Shenzhen): componentes ópticos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fondo de comercio de 29,7 M sin deterioro hasta 2026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SuperX Optical Communications (Singapur), 35 % de una sociedad conjunta con SuperX AI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(0,7 M SGD)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Constituida en junio de 2026; comercializadora de equipos ópticos [1].</w:t>
            </w:r>
          </w:p>
        </w:tc>
      </w:tr>
    </w:tbl>
    <w:p>
      <w:pPr>
        <w:spacing w:after="160" w:before="0"/>
      </w:pPr>
    </w:p>
    <w:p>
      <w:pPr>
        <w:spacing w:after="100"/>
      </w:pPr>
      <w:r>
        <w:t xml:space="preserve">La dirección asigna el capital con disciplina: crece casi sin comprar empresas, sin deuda y con dividendos del 30-50 % del beneficio. El ROIC lo mueve el margen, no el apalancamiento. Dos dudas: la salida a bolsa en Hong Kong (hasta el 10 % del capital tras la emisión más un 15 % de sobreasignación) diluye un 11-13 % a los accionistas actuales cuando la empresa no necesita la caja (≈ 3.180 M de caja neta) [26]; y la superfábrica de Suzhou dobla el capex justo en el pico del ciclo.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Zou Zhinong (邹支农)</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técnico;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en 2005 la empresa con Zhu Guodong; presidente y director general hasta 2018 y presidente desde entonces. Con Ou Yang, controla Tianfu Renhe (37,47 %) [1,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Ou Yang (欧洋)</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y directora general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2005; directora general desde enero de 2018, periodo en el que las ventas pasaron de 338 M a 5.163 M CNY. Es la otra controladora (pareja de control con Zou Zhinong)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Wang Zhihong (王志弘)</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subdirector general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de fabricación en Taiwán; dirige la parte de fabricación de precisión. Vendió 394.800 acciones a 218,97 CNY en enero de 2026 [1,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 Wentai (吴文太)</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Procede de Positec (宝时得) y ENN; director financiero desde octubre de 2020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Chen Kairong (陈凯荣)</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Subdirector general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Relación con inversores y mercado de capitales; lleva la salida a Hong Kong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 enero de 2026: beneficio atribuido de 1.881-2.150 M CNY</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2.017,3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1S26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 julio de 2026: beneficio de 1.124-1.304 M CNY</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1.204,3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2027-2029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del plan de acciones de 2026: beneficio sin no recurrentes +150 % en 2027, +400 % en 2028 y +700 % en 2029 sobre 2025 (umbrales +120 %, +320 %, +560 %)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fundador estable: presidente y directora general son los controladores desde 2005 y no hay cambios en la cúpula en 24 meses. La empresa no da guía anual; sus avances de resultados han acertado (2025 y 1S26 dentro del rango) [5]. La señal más fuerte es el plan de acciones de 2026: exige un beneficio de 4.941 M en 2027 y 9.882 M en 2028 para cobrarlo entero (frente a 1.976 M en 2025) [19]; dice lo que la dirección cree posible, pero el plan es pequeño (0,21 % del capital) y el umbral mínimo de 2028 (+320 %) sigue siendo cuatro veces 2025. Sucesión: sin plan publicado.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Zou Zhinong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Ou Yang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directora general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Wang Zhihong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subdirector general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Zhu Songgen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Geng Huimin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 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Du Linlin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507,99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Suzhou Tianfu Renhe Investment (controlada por Zou Zhinong y Ou Yang)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3,011 M de acciones (0,39 %) a 140 CNY en noviembre de 2025 por subasta privada; propuso la recompra del 15-oct-2026 [2, 15,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Zhu Guodong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 física (extranjera)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salvo la ampliación liberada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HKSCC (inversores de Stock Connect)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con la ampliación liberada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cotizado Guotai CSI de equipos de comunicaciones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en el 1S26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Tianfu Renhe (accionista de control)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Wang Zhihong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Chen Kairong y Wu Wentai (directivos)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Remuneración baja para el tamaño: la directora general cobró 2,56 M CNY en 2025 y el presidente 2,27 M; el total de consejeros y directivos fue de 11,07 M [1]. Al menos el 50 % es variable según el resultado anual, con una parte diferida hasta después de la auditoría [1]. El largo plazo son las acciones restringidas (2023 y 2026), ligadas al beneficio sin no recurrentes: premian crecer, no el capital empleado; los controladores no participan en el plan. Ratio frente al coste medio por empleado ≈ 26 veces (estimación propia: 509,8 M de pagos al personal ÷ 5.127 empleados). Sin cláusula de recuperación publicada.</w:t>
      </w:r>
    </w:p>
    <w:p>
      <w:pPr>
        <w:pStyle w:val="Heading2"/>
      </w:pPr>
      <w:r>
        <w:t xml:space="preserve">Operaciones vinculadas, estructura de control y defensas</w:t>
      </w:r>
    </w:p>
    <w:p>
      <w:pPr>
        <w:spacing w:after="100"/>
      </w:pPr>
      <w:r>
        <w:t xml:space="preserve">La pareja fundadora (Zou Zhinong y Ou Yang) controla el 37,47 % a través de Tianfu Renhe y ocupa la presidencia y la dirección general; el cofundador Zhu Guodong tiene el 6,97 % [1, 2]. Una acción, un voto; sin blindajes. El consejo tiene 7 miembros, 3 independientes (la comisión de auditoría la preside una independiente). Tras la emisión de acciones H (hasta el 10 % del capital) el control bajaría a ≈ 33 % [18]. Sin operaciones vinculadas relevantes ni préstamos al accionista (informe especial de 2025) [1].</w:t>
      </w:r>
    </w:p>
    <w:p>
      <w:pPr>
        <w:pStyle w:val="Heading2"/>
      </w:pPr>
      <w:r>
        <w:t xml:space="preserve">Señales de alerta</w:t>
      </w:r>
    </w:p>
    <w:p>
      <w:pPr>
        <w:pStyle w:val="ListParagraph"/>
        <w:numPr>
          <w:ilvl w:val="0"/>
          <w:numId w:val="2"/>
        </w:numPr>
        <w:spacing w:after="60"/>
      </w:pPr>
      <w:r>
        <w:t xml:space="preserve">El accionista de control vendió en noviembre de 2025 (421,5 M CNY a 140 CNY por acción, ≈ 100 CNY en la base de hoy) solo el 35 % de lo previsto (8,5 M de acciones) [15].</w:t>
      </w:r>
    </w:p>
    <w:p>
      <w:pPr>
        <w:pStyle w:val="ListParagraph"/>
        <w:numPr>
          <w:ilvl w:val="0"/>
          <w:numId w:val="2"/>
        </w:numPr>
        <w:spacing w:after="60"/>
      </w:pPr>
      <w:r>
        <w:t xml:space="preserve">Ventas de directivos en enero de 2026 (consejero Wang Zhihong, 394.800 acciones a 218,97 CNY, ≈ 156 en la base de hoy), declaradas para pagar impuestos del plan de acciones [16].</w:t>
      </w:r>
    </w:p>
    <w:p>
      <w:pPr>
        <w:pStyle w:val="ListParagraph"/>
        <w:numPr>
          <w:ilvl w:val="0"/>
          <w:numId w:val="2"/>
        </w:numPr>
        <w:spacing w:after="60"/>
      </w:pPr>
      <w:r>
        <w:t xml:space="preserve">Cambio de auditor en agosto de 2026 tras 16 años (a EY Hua Ming)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Sin guía anual. Referencias de la empresa: avances de resultados semestrales y anuales (el del 1S26 dio +25-45 % y salió +33,9 %), y los objetivos del plan de acciones de 2026: beneficio sin no recurrentes de 2027 +150 % sobre 2025 (≈ 4.941 M) con umbral de +120 % (≈ 4.348 M); 2028 +400 % (≈ 9.882 M) con umbral de +320 %; 2029 +700 % con umbral de +560 % [11]. En julio la dirección dijo que los pedidos son «muy abundantes» y que la oferta de chips mejoraría desde el 3T-4T de 2026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Eastmoney, media de 21 casas en seis meses: beneficio 3.543 M CNY ÷ 1.090,8 M de acciones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Eastmoney: beneficio 5.770 M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beneficio 8.622 M [22]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20.827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265,00 – 411,79</w:t>
            </w:r>
          </w:p>
        </w:tc>
      </w:tr>
    </w:tbl>
    <w:p>
      <w:pPr>
        <w:spacing w:after="160" w:before="0"/>
      </w:pPr>
    </w:p>
    <w:p>
      <w:pPr>
        <w:pStyle w:val="Heading2"/>
      </w:pPr>
      <w:r>
        <w:t xml:space="preserve">Revisiones de estimaciones</w:t>
      </w:r>
    </w:p>
    <w:p>
      <w:pPr>
        <w:spacing w:after="100"/>
      </w:pPr>
      <w:r>
        <w:t xml:space="preserve">En los últimos tres meses las casas publicaron tras el semestral (19-ago) beneficios de 2026e entre 3.033 (Huachuang) y 3.813 M (Kaiyuan) y de 2027e entre 4.182 (Industrial, julio) y 6.267 M (Guosheng) [22]. Las 31 recomendaciones de un año son 26 «comprar» y 5 «sobreponderar»; ninguna de venta [22]. En Yahoo el BPA de 2027e (en la base antigua) pasó de 7,03 hace 90 días a 8,40 hoy (+19 %) [23]: el consenso sube pese al semestral flojo, apoyado en la escasez y en el 1,6T. Las rebajas tras el avance de julio fueron en 2026e (de ≈ 3,5 bn a ≈ 3,3 bn en algunas casas), no en 2027-2028.</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8"/>
        <w:gridCol w:w="2095"/>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subido un 263 % en 2023, un 40 % en 2024 y más de un 200 % en 2025, con la demanda de motores de 800G y 1,6T [20]. En 2026 marcó un máximo de 375 CNY el 3-jun (base de hoy) y cayó un 54 % hasta el 30-jul: avance del 1S26 por debajo de lo esperado (−13,4 % el 17-jul), caída del sector el 28-jul y rumor de la FCC el 4-ago [13, 14, 28]. Rebotó un 65 % en agosto tras el semestral y desde septiembre baja otra vez (−17,5 % en un mes al 16-oct y −4,5 % el 19-oct, a 203,30). Volatilidad anual del 87 % y beta semanal de 2 años de 3,4: es un valor de momento ligado a Nvidia. La columna del sector se deja vacía: el ETF de comunicaciones 5G de China (515050) tiene en Yahoo cierres sin ajustar por un desdoblamiento y su rentabilidad saldría mal.</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 / -17,9 % / -14,1 % / +63,2 %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-40,1 % / +106,6 %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retrasa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Hasta que se fije el precio de la emisión de acciones H en Hong Kong (o se retire la solicitud).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máximo de 375 CNY (3-jun) al mínimo del 30-jul: caída de chips y del sector el 2-jul (−12 %; temor a menos inversión en IA) [36], avance del 1S26 por debajo de lo esperado y escasez de chips EML el 17-jul (−13,4 %) [28], reajuste del sector el 28-jul (−13,2 %) [13] y el 30-jul (−12,1 %).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del sector tras el desmentido del rumor de la FCC (4-ago) [14] y el semestral del 19-ago (beneficio +33,9 %, margen bruto del 61 %)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semanas de caídas: rumor que hundió el sector un 7 % el 28-sep [37] y salida de dinero del sector antes de los resultados del 3T; −4,5 % el 19-oct, a 203,30 [21,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accionista de control propone recomprar 100-150 M CNY de acciones con un precio máximo de 350 CNY [17,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Concesión del plan de acciones restringidas de 2026 (2,29 M de acciones a 119,5 CNY; objetivos de beneficio de 2027-2029)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auditor tras 16 años (de Gongzheng Tianye a EY Hua Ming) por la salida a Hong Kong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 de una restricción de la FCC a los módulos ópticos chinos, desmentido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1S26: beneficio +25-45 % (salió +33,9 %), escasez de material y pérdidas de cambio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Solicitud de salida a bolsa de acciones H en Hong Kong: hasta el 10 % del capital tras la emisión más un 15 % de sobreasignación (dilución del 11-13 %). La solicitud cumplió seis meses el 10-oct sin cotizar; HKEXnews aún la muestra como presentada, y lo probable es que se renueve [18,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que se fije el precio de la emisión H o se retire la solicitud: una colocación del 10 % puede mover el precio más de un 5 %.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(Wang Zhihong, 394.800 acciones a 218,97 CNY) para pagar impuestos del plan de acciones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accionista de control vendió 3,011 M de acciones a 140 CNY por subasta privada (421,5 M CNY; ≈ 100 CNY en la base de hoy)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el 29-oct-2026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cayó un 54 % del 3-jun al 30-jul, rebotó un 65 % en agosto y vuelve a bajar (−17,5 % en un mes al 16-oct y −4,5 % el 19-oct, a 203,30; −45,8 % sobre el máximo de 52 semanas). Los movimientos tienen causa conocida: el semestral flojo por la escasez de chips, el sector y rumores sobre EE. UU. Tendencia lateral (−9,4 % bajo la media de 200 sesiones) y sin avisos P. El hecho pendiente que mueve el precio es la emisión de acciones H (11-13 % de dilución): retrasa. Los resultados del 3T26 (29-oct) no retrasan por sí solos porque la tendencia no es bajista. La decisión no cambia: la acción no es compra a este precio.</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Precios de cierre en la base de hoy (Yahoo ajusta las cuatro ampliaciones liberadas) [20]. El PER al cierre fue de 30-50 veces casi siempre (2018: 34x; 2021: 47x; 2025: 78x con el BPA de entonces); el de 2022 (25x al cierre, 14x adelantado) es el mínimo, con la caída de las telecomunicaciones. Hoy cotiza a 95 veces el beneficio de los últimos 12 meses y a 62 veces el consenso de 2026e: la prima frente a su historia la explica el crecimiento esperado de 2027-2028 (+63 % y +49 % de beneficio en el consenso).</w:t>
      </w:r>
    </w:p>
    <w:p>
      <w:pPr>
        <w:pStyle w:val="Heading1"/>
      </w:pPr>
      <w:r>
        <w:t xml:space="preserve">18. Comparables cotizados</w:t>
      </w:r>
    </w:p>
    <w:p>
      <w:pPr>
        <w:pStyle w:val="Confianza"/>
        <w:spacing w:after="100"/>
      </w:pPr>
      <w:r>
        <w:t xml:space="preserve">Confianza: Media</w:t>
      </w:r>
    </w:p>
    <w:p>
      <w:pPr>
        <w:spacing w:after="100"/>
      </w:pPr>
      <w:r>
        <w:t xml:space="preserve">Componentes y módulos ópticos para centros de datos que cotizan: fabricantes de módulos chinos (Innolight, Eoptolink, Accelink), el ensamblador del cliente A (Fabrinet), fabricantes de láseres y componentes de EE. UU. (Coherent, Lumentum) y componentes chinos más pequeños (T&amp;S, Yuanjie). Fuera: Shijia Photons (sin consenso) y Applied Optoelectronics (EBITDA negativo). Ninguno es puro en componentes pasivos: TFC tiene más margen que todos.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TFC Optical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Innolight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772.844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Eoptolink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Coherent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Lumentum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514.829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Accelink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T&amp;S Communications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Yuanjie Semiconductor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 / 47,4x / 92,5x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 / 27,3x / 42,9x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 / 11,9x / 22,4x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-69,2 %</w:t>
            </w:r>
          </w:p>
        </w:tc>
      </w:tr>
    </w:tbl>
    <w:p>
      <w:pPr>
        <w:spacing w:after="160" w:before="0"/>
      </w:pPr>
    </w:p>
    <w:p>
      <w:pPr>
        <w:spacing w:after="100"/>
      </w:pPr>
      <w:r>
        <w:t xml:space="preserve">TFC cotiza a ≈ 42 veces el BPA de los próximos 12 meses del consenso (≈ 4,88 CNY), frente a una mediana de 27,3 veces de los comparables. Los fabricantes de módulos chinos (Innolight 11 veces, Eoptolink 10) cotizan muy por debajo con crecimientos mayores: el mercado paga a TFC su margen (EBITDA ≈ 48-54 %) y que vende a todos, pero su crecimiento del 1S26 (+15 %) es el más bajo del grupo. La regresión múltiplo-crecimiento sale sin poder explicativo por los extremos (Yuanjie 81 veces, módulos 10). El múltiplo razonable es el de los proveedores de componentes de EE. UU. (Coherent 22, Lumentum 33).</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en 7.000 M (+35,6 %): 1S26 de 2.827,9 M (+15,2 %) [2] y un 2S26 de 4.172 M (+54 %), con los pasivos al ritmo del 1S26 (+77 %) y los motores activos recuperándose al mejorar la oferta de chips desde el 3T-4T, como dijo la empresa [13]. El consenso (8.664 M) exige un 2S26 de 5.836 M, el doble del 1S26 [22]. Después +50 % en 2027e (1,6T y CPO), +30 % en 2028e y +10 % en 2029e, y una meseta en 2030e (0 %): el capex en IA no crece para siempre y tras tres años fuertes llega una digestión. Las ventas de 2030e (15.018 M) son el 9,8 % del mercado de componentes de Frost &amp; Sullivan, menos que la cuota de 2025 (11,7 %) [7].</w:t>
      </w:r>
    </w:p>
    <w:p>
      <w:pPr>
        <w:keepNext/>
        <w:spacing w:after="100"/>
      </w:pPr>
      <w:r>
        <w:rPr>
          <w:b/>
          <w:bCs/>
        </w:rPr>
        <w:t xml:space="preserve">Márgenes.</w:t>
      </w:r>
    </w:p>
    <w:p>
      <w:pPr>
        <w:spacing w:after="100"/>
      </w:pPr>
      <w:r>
        <w:t xml:space="preserve">Margen EBITDA del 51 % en 2026e (53,6 % en el 1S26 con una mezcla anómala: pasivos al 71,9 % de margen bruto y activos a la baja [2]) que baja al 40 % en 2031e, el nivel de 2019-2022 antes de la IA [4]: más motores activos (47 % de margen bruto), bajada de precios por generación (−6 a −8 % al año en el puente) y competencia de Innolight y Eoptolink, que integran sus propios componentes [12]. Incluye ≈ 1 % de las ventas de subvenciones y otros ingresos (51 M en 2025, 31 M en el 1S26) [4].</w:t>
      </w:r>
    </w:p>
    <w:p>
      <w:pPr>
        <w:keepNext/>
        <w:spacing w:after="100"/>
      </w:pPr>
      <w:r>
        <w:rPr>
          <w:b/>
          <w:bCs/>
        </w:rPr>
        <w:t xml:space="preserve">Inversión y circulante.</w:t>
      </w:r>
    </w:p>
    <w:p>
      <w:pPr>
        <w:spacing w:after="100"/>
      </w:pPr>
      <w:r>
        <w:t xml:space="preserve">Capex del 10 % de las ventas en 2026e (10,9 % en el 1S26 por Tailandia y Jiangxi [4]) que baja al 4,5 %, y amortización del 3,7 % al 4,4 %. Circulante del 19 % de las ventas (18,2 % en 2025). Sin compras.</w:t>
      </w:r>
    </w:p>
    <w:p>
      <w:pPr>
        <w:keepNext/>
        <w:spacing w:after="100"/>
      </w:pPr>
      <w:r>
        <w:rPr>
          <w:b/>
          <w:bCs/>
        </w:rPr>
        <w:t xml:space="preserve">Coste del capital.</w:t>
      </w:r>
    </w:p>
    <w:p>
      <w:pPr>
        <w:spacing w:after="100"/>
      </w:pPr>
      <w:r>
        <w:t xml:space="preserve">Sin deuda financiera: WACC = coste del capital. Tasa libre del 1,65 % (bono del Estado chino a 10 años, 1,6497 % [24]), beta de 1,5 (mensual a 5 años ajustada; la semanal de 2 años es 3,4 y la sin ajustar 1,74 [20]), prima del 5,5 % y un punto adicional por la concentración (64 % de las ventas en un cliente) y los controles de exportación: 10,9 %. Con la prima implícita del mercado (4,2 % [25]) el coste baja al 8,95 % y el DCF sube a 52,43 CNY.</w:t>
      </w:r>
    </w:p>
    <w:p>
      <w:pPr>
        <w:keepNext/>
        <w:spacing w:after="100"/>
      </w:pPr>
      <w:r>
        <w:rPr>
          <w:b/>
          <w:bCs/>
        </w:rPr>
        <w:t xml:space="preserve">Valor terminal.</w:t>
      </w:r>
    </w:p>
    <w:p>
      <w:pPr>
        <w:spacing w:after="100"/>
      </w:pPr>
      <w:r>
        <w:t xml:space="preserve">Crecimiento a perpetuidad del 1,0 %: por debajo de la tasa libre china, porque los componentes ópticos cambian de generación cada 2-3 años y el líder de hoy no tiene asegurado el de mañana. El valor terminal pesa el 52 %.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48,93</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3.848 M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 (reinvierte el 23 %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 (histórico: 125,3 %)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 frente al 16,4 %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 (hoy: 11,7 %)</w:t>
            </w:r>
          </w:p>
        </w:tc>
      </w:tr>
    </w:tbl>
    <w:p>
      <w:pPr>
        <w:spacing w:after="160" w:before="0"/>
      </w:pPr>
    </w:p>
    <w:p>
      <w:pPr>
        <w:spacing w:after="100"/>
      </w:pPr>
      <w:r>
        <w:t xml:space="preserve">La proyección apenas necesita inversión neta de la amortización (reinversión acumulada de 3.848 M, el 11 % del NOPAT, con un capex bruto medio del 6,3 % de las ventas). En un negocio de activos ligeros, el crecimiento medio del 16,4 % tiene que salir de subir precios y de ganar volumen sin capital nuevo, y la prueba es el poder de precios y la cuota (9,8 % del mercado en 2030e, frente al 11,7 %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pasivos para 800G/1,6T y recuperación parcial de los motores en el 2S26 [2, 13]; precio por generación −6 %; Tailandia suma capacidad.</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Rampa del 1,6T y primeros componentes para óptica coempaquetada (CPO) [2]; precio −8 %.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38 % y precio −8 %: la demanda sigue al capex de IA (913,7 bn USD en 2030 según Frost &amp; Sullivan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18 %: el capex de IA se modera; precio −8 %.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Meseta (0 %): digestión de la inversión en IA tras tres años fuertes; el volumen del 8 % solo compensa la bajada de precio.</w:t>
            </w:r>
          </w:p>
        </w:tc>
      </w:tr>
    </w:tbl>
    <w:p>
      <w:pPr>
        <w:spacing w:after="160" w:before="0"/>
      </w:pPr>
    </w:p>
    <w:p>
      <w:pPr>
        <w:spacing w:after="100"/>
      </w:pPr>
      <w:r>
        <w:t xml:space="preserve">Las tres pruebas del motor pasan: la proyección casi no necesita capital (reinversión del 12 % del NOPAT), el ROIC incremental histórico (125 %) sobra y la cuota final (9,8 % en 2030e) es menor que la actual (11,7 %) [7]. La calidad sí sostiene el crecimiento en lo que depende de la empresa: margen bruto de los pasivos del 64-72 %, ROIC de ≈ 100 % y primera en componentes con 2,3 veces la cuota de la segunda [2, 7]. Pero el crecimiento no lo decide la empresa: el 64 % de las ventas va a un cliente y casi todo a un ciclo (capex de IA) que tiene picos; el 1S26 (+15 %) muestra que la oferta de chips y el cliente marcan el ritmo [2, 7]. Por eso «En parte», y el base ya incluye una meseta en 2030e.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13,7 %)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70 % justifica el precio (base: 40,0 %)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 (WACC: 10,9 %)</w:t>
            </w:r>
          </w:p>
        </w:tc>
      </w:tr>
    </w:tbl>
    <w:p>
      <w:pPr>
        <w:spacing w:after="160" w:before="0"/>
      </w:pPr>
    </w:p>
    <w:p>
      <w:pPr>
        <w:spacing w:after="100"/>
      </w:pPr>
      <w:r>
        <w:t xml:space="preserve">El DCF da 42,86 CNY por acción, un 78,9 % bajo el precio, con un WACC del 10,9 % y un valor terminal que pesa el 52 %; con la prima implícita del mercado, 52,43. No hay crecimiento razonable que lleve el DCF al precio: con nuestros flujos, el precio supone una rentabilidad del 3,0 % anual. El precio descuenta que TFC sigue creciendo más del 30 % al año varios años más con márgenes del 50 %, es decir, que el ciclo de IA no tiene pico en esta década.</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Digestión del capex de IA en 2028 (como la de las telecomunicaciones en 2019 y 2022): ventas +35 % en 2027e y −10 % en 2028e, margen 5-8 puntos menor por precios y por la integración de componentes en los fabricantes de módulos; WACC un punto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35-50 % en 2026-2027 con 1,6T, meseta en 2030 y margen que vuelve al 40 % de antes de la IA; el primer cliente se mantiene.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 más largo, 1,6T y CPO más rápidos (consenso): +60 % en 2027e y +45 % en 2028e, dos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CNY) · precio actual 203,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40,41 CNY (-80,1 %).</w:t>
      </w:r>
    </w:p>
    <w:p>
      <w:pPr>
        <w:spacing w:after="100"/>
      </w:pPr>
      <w:r>
        <w:t xml:space="preserve">Incluso el alcista (52,58 CNY, que proyecta las ventas del consenso para 2027-2028) queda un 74 % bajo el precio, y el bajista (23,32) un 89 %. La asimetría es muy desfavorable (−0,84). La razón: el DCF valora los flujos de diez años con un margen que vuelve a su nivel histórico; el precio solo se explica si el margen del 50 % y el crecimiento del 30 % duran mucho más.</w:t>
      </w:r>
    </w:p>
    <w:p>
      <w:pPr>
        <w:pStyle w:val="Heading1"/>
      </w:pPr>
      <w:r>
        <w:t xml:space="preserve">22. Suma de partes</w:t>
      </w:r>
    </w:p>
    <w:p>
      <w:pPr>
        <w:pStyle w:val="Confianza"/>
        <w:spacing w:after="100"/>
      </w:pPr>
      <w:r>
        <w:t xml:space="preserve">Confianza: Media</w:t>
      </w:r>
    </w:p>
    <w:p>
      <w:pPr>
        <w:spacing w:after="100"/>
      </w:pPr>
      <w:r>
        <w:t xml:space="preserve">No aplica: componentes pasivos (54 % de las ventas del 1S26) y motores activos (45 %) se venden a los mismos clientes (fabricantes de módulos para centros de datos), comparten fábricas y tecnología y no tienen comparables cotizados separados con múltiplos distintos [2, 8].</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CNY) · precio actual 203,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55,57 CNY (-72,7 % sobre 203,30).</w:t>
      </w:r>
    </w:p>
    <w:p>
      <w:pPr>
        <w:spacing w:after="100"/>
      </w:pPr>
      <w:r>
        <w:t xml:space="preserve">Pesos: DCF 50 %, escenarios 35 % y comparables 15 %. El DCF es el método que más pesa porque es el único que obliga a decir qué pasa después del pico; los comparables pesan poco porque cotizan con una dispersión enorme (Eoptolink 9,6 veces y Innolight 11,2 veces su BPA de los próximos 12 meses, Yuanjie 81) [12, 23]. TFC cotiza a 56,3 veces nuestro BPA de los próximos 12 meses (41,6 con el consenso), cinco veces más que los fabricantes de módulos que son sus clientes, por su margen y su papel de «proveedor de palas». La historia adelantada (mediana de 27,0 veces) también queda muy por debajo.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(56.3x) ÷ 1.1 (tope: la mediana de 5 años, 27x,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+48,8 %</w:t>
            </w:r>
          </w:p>
        </w:tc>
      </w:tr>
    </w:tbl>
    <w:p>
      <w:pPr>
        <w:spacing w:after="160" w:before="0"/>
      </w:pPr>
    </w:p>
    <w:p>
      <w:pPr>
        <w:spacing w:after="100"/>
      </w:pPr>
      <w:r>
        <w:rPr>
          <w:b/>
          <w:bCs/>
        </w:rPr>
        <w:t xml:space="preserve">Objetivo a 12 meses (ponderado):</w:t>
      </w:r>
      <w:r>
        <w:t xml:space="preserve"> 205,10 CNY · rentabilidad +1,4 % (base +19,9 %) · señal Mantener.</w:t>
      </w:r>
    </w:p>
    <w:p>
      <w:pPr>
        <w:spacing w:after="100"/>
      </w:pPr>
      <w:r>
        <w:t xml:space="preserve">Para comparar, con la regla v2 (historia al cierre, mismo precio): 24,8x / 46,8x / 46,8x, -3,6 % Mantener; con el tope anterior del base (×1,3, 14-oct mediodía): -13,6 %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(4,74 CNY) queda un 40 % bajo el consenso (7,90) y el de 2027e (3,85) un 27 % bajo (5,29) [22]. Se mantiene tras revisar cada supuesto: el consenso supone ventas de 20.827 M en 2028e (×4 sobre 2025) y un margen neto del 41 %, cuando el 1S26 creció un 15 % y el margen de los motores activos es del 47 % bruto [2]. La diferencia está en ventas (escasez de chips, un cliente que reparte pedidos, pico del ciclo) y algo de margen (mezcla). El objetivo medio de los analistas (321,64 CNY) está por encima de nuestro alcista (301,57).</w:t>
      </w:r>
    </w:p>
    <w:p>
      <w:pPr>
        <w:keepNext/>
        <w:spacing w:after="100"/>
      </w:pPr>
      <w:r>
        <w:rPr>
          <w:b/>
          <w:bCs/>
        </w:rPr>
        <w:t xml:space="preserve">Del valor intrínseco al objetivo a 12 meses.</w:t>
      </w:r>
    </w:p>
    <w:p>
      <w:pPr>
        <w:spacing w:after="100"/>
      </w:pPr>
      <w:r>
        <w:t xml:space="preserve">El objetivo a 12 meses ponderado (205,10 CNY) queda un 0,9 % sobre el precio (+1,4 % con dividendo) y el base (242,69) un 19,4 % (+19,9 %); la regla da Mantener porque la ponderada no llega al 15 % y el valor intrínseco (55,57) está un 72,7 % por debajo. El base supone que el PER baja de 56,3 a 51,2 veces nuestro BPA adelantado (tope ×1,1 de la regla) y que el BPA crece un 36,8 % anual de 2025 a 2028e; el bajista (33,43) aplica el PER de 2022 (13,7) a un BPA de 2,44. La distancia entre el objetivo y el valor intrínseco (−73 %) solo se cierra con un ciclo de IA sin pico durante la década; no hay un catalizador con fecha que lo haga. Comprar exigiría un precio por debajo de 55,57 CNY.</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recuperación de los motores activos (oferta de chips EML) y de si el 2S26 se acerca a lo que pide el consenso (≈ 2.900 M por trimestre)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 acciones H en Hong Kong (hasta el 10 % del capital tras la emisión + 15 % de sobreasignación)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del 11-13 % a precio de mercado; abre la acción a inversores extranjeros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propuesta por el accionista de control (100-150 M CNY, precio máximo 350)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Simbólica: 0,05-0,07 % de la capitalización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 resultados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 2026 frente a los 3.543 M del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Rampa del 1,6T y primeros pedidos de CPO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Determina si 2027 crece +50 % (base) o +60 % (alcista)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los grandes de la nube y guía de Nvidia/Fabrinet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del pico del ciclo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Medidas de EE. UU. sobre componentes ópticos chinos (FCC, lista de entidades)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binario para las ventas al cliente 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Pico del ciclo de inversión en IA: el crecimiento depende del capex de los grandes de la nube y de Nvidia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 hasta el bajista a 12 meses (33,43 CNY)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pasivos sirven a todas las generaciones y a varios clientes; caja neta de 2.600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los cuatro grandes de la nube que deja de crecer; pedidos de Fabrinet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56,3 veces nuestro BPA adelantado frente a una mediana de 27,0 y a 10-11 veces de Innolight y Eoptolink</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si el PER vuelve a la mediana con nuestro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y ROIC muy superiores a los fabricantes de módulos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por debajo del consenso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el primer cliente (Fabrinet, para Nvidia) da el 63,9 % de las ventas y los cinco primeros el 90,6 %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a −40 % si el cliente A reparte pedidos a un segundo proveedor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Relación desde 2018 y calificación larga por generación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del peso del primer cliente en el anual 2026 o del margen de los motores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Controles de exportación y aranceles EE. UU.-China (FCC, lista de entidades, componentes de origen chino en equipos para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−50 % en un caso extremo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en Tailandia; vende a ensambladores asiáticos (solo 66 M directos a Norteamérica); el rumor de la FCC de agosto se desmintió</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 de la FCC o del Departamento de Comercio sobre componentes ópticos chinos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chips láser (EML) y dependencia de proveedores extranjeros para los motores activos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espera mejor oferta desde el 3T-4T de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activos del 3T26 por debajo de las del 3T25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por las acciones H (11-13 %) y ventas del accionista de control y de 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de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caja a precio de mercado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la emisión H y nuevos planes de venta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tecnológico: CPO y silicio fotónico integran componentes y desplazan el valor hacia el chip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−20 %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TFC desarrolla componentes para CPO y silicio fotónico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CPO que van a otros proveedores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ventas en USD y costes en CNY (pérdidas de cambio de 37 M en el 1S26)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Fábrica en Tailandia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Yuan por debajo de 6,6 por dólar</w:t>
            </w:r>
          </w:p>
        </w:tc>
      </w:tr>
    </w:tbl>
    <w:p>
      <w:pPr>
        <w:spacing w:after="160" w:before="0"/>
      </w:pPr>
    </w:p>
    <w:p>
      <w:pPr>
        <w:pStyle w:val="Heading2"/>
      </w:pPr>
      <w:r>
        <w:t xml:space="preserve">Pre-mortem</w:t>
      </w:r>
    </w:p>
    <w:p>
      <w:pPr>
        <w:spacing w:after="100"/>
      </w:pPr>
      <w:r>
        <w:t xml:space="preserve">Octubre de 2029: la acción vale un 60 % menos. No falló la fábrica sino el ciclo y el cliente. En 2027 los grandes de la nube anunciaron capex plano para 2028 tras dos años de exceso de capacidad, como pasó en las telecomunicaciones en 2001 y en 2019-2022 a menor escala. Fabrinet, con Nvidia apretando precios, sacó a un segundo proveedor de motores ópticos para el 1,6T y TFC perdió un tercio de esos pedidos. Los fabricantes de módulos chinos, con su propio exceso de capacidad, integraron componentes pasivos y bajaron precios. Las ventas de 2028 cayeron un 10 % y el margen EBITDA pasó del 50 % al 38 %. El PER volvió a 20-25 veces, su media de antes de la IA, sobre un BPA un 40 % menor que el que esperaba el consenso en 2026. La salida a Hong Kong de 2027 añadió acciones a precio alto. Las señales estaban en 2026: un 1S26 que creció un 15 % mientras el consenso pedía duplicar ventas, un primer cliente con el 64 % de las ventas y la venta del accionista de control a 140 CNY.</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+/−50 % a 3-5 años (es la variable que decide el valor)</w:t>
      </w:r>
    </w:p>
    <w:p>
      <w:pPr>
        <w:spacing w:after="100"/>
      </w:pPr>
      <w:r>
        <w:t xml:space="preserve">La IA es a la vez el motor y el mayor riesgo de TFC: ≈ 90 % de las ventas van a interconexión óptica de centros de datos, y el salto de 1.939 M a 5.163 M en dos años es la inversión en IA [1, 7]. La oportunidad: el tráfico entre GPU crece con cada generación (800G → 1,6T → 3,2T) y la óptica coempaquetada multiplica los componentes por puerto [7]. La amenaza: (1) el ciclo, si el capex de IA se frena; (2) el cambio de arquitectura (CPO, silicio fotónico, cobre en distancias cortas) que puede mover el valor hacia el fabricante del chip; y (3) que la IA abarate el diseño de componentes y la competencia china. En la operación interna, la IA apenas cambia nada (fabricación de precisión). Señal: el capex trimestral de los grandes de la nube y la cuota de TFC en los pedidos de CPO.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TFC es la concentración y la cadena de suministro más que las emisiones: depende de chips láser importados (EML de 200G de proveedores japoneses y estadounidenses, cuya escasez frenó los motores en el 1S26) y de un cliente que vende a Nvidia, en medio de los controles de exportación entre EE. UU. y China [1, 2]. China controla desde 2023 la exportación de galio y germanio [1]. Las fábricas (Jiangxi y Tailandia) consumen sobre todo electricidad y no publica una huella de carbono comparable. Lo social es la plantilla (5.127 personas) y la seguridad en el trabajo de precisión, sin incidentes publicados [1].</w:t>
      </w:r>
    </w:p>
    <w:p>
      <w:pPr>
        <w:pStyle w:val="Heading2"/>
      </w:pPr>
      <w:r>
        <w:t xml:space="preserve">Controversias</w:t>
      </w:r>
    </w:p>
    <w:p>
      <w:pPr>
        <w:spacing w:after="100"/>
      </w:pPr>
      <w:r>
        <w:t xml:space="preserve">Sin sanciones ni litigios relevantes publicados en los últimos tres años [1, 2]. Gobierno: cambio de auditor en agosto de 2026 tras 16 años (a EY Hua Ming, por la salida a Hong Kong y sin desacuerdos declarados) [10]; venta del accionista de control por subasta en noviembre de 2025 (421,5 M CNY a 140 CNY) [15] y de directivos en enero de 2026 [16]. Calificaciones de MSCI, Sustainalytics o CDP no encontradas en fuentes abiertas.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 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motores ópticos del 1,6T de Fabrinet/Nvidia tiene TFC asignada para 2027 y hay ya un segundo proveedor calificado?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64 % de las ventas; la diferencia entre nuestro base y el consenso está aquí.</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Chips EML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motores dejaron de enviarse en el 1S26 por la escasez y cuándo se recupera la oferta?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si el +15 % del 1S26 es retraso o pérdida.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de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ventas y margen se construyó el objetivo de beneficio de 2028 (+400 % sobre 2025, umbral +320 %)?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doble que nuestro base; si la dirección lo ve alcanzable, conviene saber por qué.</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renovó la solicitud de Hong Kong (la del 10-abr cumplió seis meses) y a qué se destinará la caja si la empresa ya tiene 2.600 M sin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del 11-13 % sin necesidad de financiación aparente.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CPO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de componentes para óptica coempaquetada espera en 2027-2028 y con qué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cambio de arquitectura es oportunidad o amenaza.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Controles de exportación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 que fabrica en Tailandia lleva componentes de origen chino y cómo respondería a una regla de la FCC?</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binario sobre la mayor parte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bruto tendrán los motores activos cuando vuelva la oferta de chips?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mezcla movió el margen bruto del 50,8 % (1S25) al 60,9 % (1S26).</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(Eastmoney), foro de 300394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Cansancio tras cinco semanas de caídas («周线连续跌五周»), pérdidas de quien compró a 270, debate sobre si cerrará el hueco de 187 y si bajará a 155; algunos esperan un 3T fuerte el 29-oct y el efecto de la recompra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hilos más leídos (septiembre-octubre)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alcista de Goldman Sachs sobre «易中天» (Eoptolink, Innolight, TFC) el 7-sep y la escasez «sin final a la vista» del 9-oct; la oleada de recompras de las tecnológicas de Shenzhen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Sina (comentarios del semestral)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Admiran el margen bruto del 61 % y critican el crecimiento del 15 % y que el 2T fuera plano frente al 2T25; «valoración por las nubes»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Sina Finance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dependencia de un cliente (60 % de las ventas) como el gran riesgo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chips y retraso de los motores de 1,6T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los activos cayeron un 19,6 % en el 1S26 [2]; el 3T26 (29-oct) dirá si la oferta mejoró como prometió la empresa.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«易中天»: comparar TFC con Innolight y Eoptolink</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módulos cotizan a ≈ 10-11 veces el BPA de 12 meses y TFC a ≈ 42: la gente se pregunta por qué; la respuesta es el margen y el riesgo de cliente, no el crecimiento.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un cliente (Nvidia vía Fabrinet)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63,9 % el primero y 90,6 % los cinco [7].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 y apoyo a la cotización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recompra propuesta (100-150 M CNY) es el 0,06 % del capital: simbólica [27].</w:t>
            </w:r>
          </w:p>
        </w:tc>
      </w:tr>
    </w:tbl>
    <w:p>
      <w:pPr>
        <w:spacing w:after="160" w:before="0"/>
      </w:pPr>
    </w:p>
    <w:p>
      <w:pPr>
        <w:spacing w:after="100"/>
      </w:pPr>
      <w:r>
        <w:t xml:space="preserve">El particular chino está cansado tras la caída del 46 % desde junio y discute niveles técnicos; los analistas siguen todos en «comprar». No hay euforia ni capitulación: el sentimiento sigue al sector y a Nvidia. Lo útil es que el foro recoge los dos riesgos del informe (escasez y concentración en un cliente) y espera el 3T26 como prueba. No aporta cifras ni cambia la valoración.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37 (16 primarias); citas distintas en el texto: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No hay crecimiento en un rango razonable que lleve el DCF a 203,30 CNY con nuestro margen a largo plazo (40 %) y un WACC del 10,9 %: aun con el escenario alcista (consenso de 2027-2028) el valor es de 52,58 CNY. El motor da la rentabilidad implícita: el precio supone un 3,0 % anual con nuestros flujos, por debajo de la tasa libre más la prima. Para justificar el precio con un WACC del 10,9 % harían falta ventas de ≈ 60.000 M CNY sostenidas con un 45 % de margen (≈ 40 % de un mercado de componentes de 152.730 M en 2030 [7]), que no es un supuesto razonable.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9,8 % en 2030e frente al 11,7 %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19,0 % frente a 18,2 % real: genera una variación de circulante de 388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3.037 M de flujo libre medio en sus tres primeros años, frente a 984 M de media real en los tres últimos: justifica el salto (circulante, inversión, márgenes) o ajusta los supuestos. Explicación: El flujo libre medio de 2026e-2028e (≈ 3.037 M) triplica la media real de 2023-2025 (984 M) porque las ventas proyectadas se duplican y media (de 5.163 M a 13.653 M) con un margen EBITDA del 48-51 % (53,6 % en el 1S26 [2]) y el capex baja del 8-11 % al 7 % de las ventas. El flujo operativo ya convierte bien: 1.868 M en 2025 (93 % del beneficio) y 1.001 M en el 1S26 (83 %) [4]. El salto es crecimiento, no un supuesto de conversión.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(4,74) supone un 36,8 % anual desde 1,85 (2025): explícalo en valoracion.objetivo_12m.comentario o la confianza es baja. Explicación: El BPA base de 2028e (4,74 CNY) crece un 36,8 % anual desde 1,85 (2025) porque las ventas proyectadas crecen un 38 % anual en 2026-2028 (de 5.163 M a 13.653 M), por debajo del 58 % anual de 2023-2025 y del consenso (20.827 M en 2028e, BPA 7,90) [22]. Es el supuesto que más pesa en el objetivo y el más expuesto al ciclo de inversión en IA: por eso el bajista recoge un año de caída (−10 % de ventas en 2028e) y la confianza es baja.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 6, 29, 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Propio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Regulador</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anual 2025: sin préstamos; 2) semestral 2026: sin préstamos; 3) F10: deuda bancaria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(no hay deuda)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 y comparación con 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(no dan amortización trimestral); 2) F10 de Eastmoney (solo acumulados semestrales); 3) prensa (sin consenso trimestral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margen_ebit_pct de los competidores y cuota de cada uno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H (anonimiza a los competidores A-D); 2) Yahoo (EBITDA, no EBIT, en bases distintas); 3) informes anuales de Innolight y Eoptolink (venden módulos, no componentes: la cuota no es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la remuneración y desglose fijo/variable del primer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Anual 2025 (solo total por persona); 2) actas de las juntas de 2025 y 2026 (aprueban el plan, sin porcentajes por punto en el resumen); 3) informe de sostenibilidad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H (no recoge operaciones del sector); 2) notas de Lumentum (NeoPhotonics, Cloud Light) y Coherent (II-VI) sin múltiplo de EBITDA homogéneo a mano; 3) prensa (múltiplos sobre ventas sin conciliar)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SZSE (financiación y préstamo de valores, no posición corta neta); 2) Eastmoney (saldo de préstamo de valores sin porcentaje); 3) Yahoo (sin dato para acciones 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年年度报告 (informe anual 2025: estados, notas, ingresos por producto y región, clientes, I+D, auditor, remuneraciones)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Suzhou TFC Optical Communication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http://static.cninfo.com.cn/finalpage/2026-04-08/1225082705.PDF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 年半年度报告 (informe semestral 1S26: estados, ingresos por producto, escasez de materiales, pérdidas de cambio,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Suzhou TFC Optical Communication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http://static.cninfo.com.cn/finalpage/2026-08-19/1225480328.PDF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年一季度报告 (informe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Suzhou TFC Optical Communication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http://static.cninfo.com.cn/finalpage/2026-04-21/1225128020.PDF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F10 de 300394 (cuenta, balance y flujos 2016-1S26 tal como se publicaron; comprobados con los informes de 2025 y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(东方财富) F10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https://emweb.securities.eastmoney.com/PC_HSF10/NewFinanceAnalysis/Index?code=SZ300394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年半年度业绩预告 (avance del 1S26: beneficio +25-45 %, escasez de algún material, pérdidas de cambio)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Suzhou TFC Optical Communication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http://static.cninfo.com.cn/finalpage/2026-07-18/1225431394.pdf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年度业绩预告 (avance de 2025: beneficio 1.881-2.150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Suzhou TFC Optical Communication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http://static.cninfo.com.cn/finalpage/2026-01-21/1224943288.PDF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Application Proof de la salida a bolsa de acciones H (secciones de negocio, clientes A-E, industria de Frost &amp; Sullivan, información financiera 2023-2025)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Suzhou TFC Optical Communication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https://www1.hkexnews.hk/app/sehk/2026/108432/documents/sehk26041000707.pdf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de los ingresos por producto y región 2019-1S26 (主营构成)</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(东方财富) F10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https://emweb.securities.eastmoney.com/PC_HSF10/BusinessAnalysis/Index?code=SZ300394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年年度权益分派实施公告 (reparto de 2025: 4 acciones nuevas por cada 10 y 7 CNY por cada 10; ex-cupón 12-jun-2026) e historial de repartos 2017-2026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Suzhou TFC Optical Communication (CNINFO) y Eastmoney F10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http://static.cninfo.com.cn/finalpage/2026-06-05/1225355962.PDF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关于拟变更会计师事务所的公告 (cambio de auditor: de Gongzheng Tianye, 16 años, a EY Hua Ming para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Suzhou TFC Optical Communication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http://static.cninfo.com.cn/finalpage/2026-08-13/1225470838.PDF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年限制性股票激励计划 (plan de acciones restringidas 2026: objetivos de beneficio 2027-2029) y anuncio de concesión del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Suzhou TFC Optical Communication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http://static.cninfo.com.cn/finalpage/2026-10-08/1225597867.PDF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Innolight, Eoptolink, Fabrinet, Coherent, Lumentum, Accelink, T&amp;S y Yuanjie (ventas, EBITDA,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https://finance.yahoo.com/quote/300308.SZ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短期调整不改光通信高景气底色 (Guosheng y GF Securities: demanda de 800G y 1,6T en 2026-2027 y escasez hasta 2028; TFC: pedidos «muy abundantes»)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10jqka (同花顺财经)</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https://stock.10jqka.com.cn/20260728/c678498990.shtml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Rumor de restricción de la FCC a los módulos ópticos chinos y desmentido de Innolight («la FCC no ha emitido documentos restrictivos»)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10jqka (同花顺财经)</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https://stock.10jqka.com.cn/20260805/c678681238.shtml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股东询价转让结果报告书 (venta del accionista de control por subasta: 3,011 M de acciones a 140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Suzhou TFC Optical Communication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http://static.cninfo.com.cn/finalpage/2025-11-25/1224825008.PDF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y cierre de las ventas de directivos (Wang Zhihong, Chen Kairong, Wu Wentai)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Suzhou TFC Optical Communication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http://static.cninfo.com.cn/finalpage/2026-01-29/1224956716.PDF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关于收到控股股东提议回购公司股份的提示性公告 (propuesta de recompra del accionista de control)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Suzhou TFC Optical Communication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http://static.cninfo.com.cn/finalpage/2026-10-15/1225607301.PDF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del consejo sobre la emisión de acciones H (hasta el 10 % del capital tras la emisión y 15 % de sobreasignación)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Suzhou TFC Optical Communication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http://static.cninfo.com.cn/finalpage/2026-03-17/1225011864.PDF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acciones restringidas 2026 (objetivos de beneficio 2027-2029; 2,28 M de acciones a 119,5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Suzhou TFC Optical Communication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http://static.cninfo.com.cn/finalpage/2026-08-13/1225470829.PDF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300394.SZ, 510300.SS (CSI 300) y 515050.SS (ETF de comunicaciones 5G)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https://finance.yahoo.com/quote/300394.SZ/history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300394 al cierre del 19-oct-2026 (203,30 CNY; 1.090,8 M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Finance (qt.gtimg.cn) y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https://qt.gtimg.cn/q=sz300394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de beneficio de 300394 (盈利预测): media de seis meses, 15 casas con fecha,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(东方财富) F10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https://emweb.securities.eastmoney.com/PC_HSF10/ProfitForecast/Index?code=SZ300394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objetivos y múltiplos de TFC y de sus comparables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https://finance.yahoo.com/quote/300394.SZ/analysis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deuda pública china (中债国债收益率曲线): 10 años 1,6497 %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ChinaBond (中央国债登记结算)</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https://yield.chinabond.com.cn/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(T12m with sustainable payout):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la solicitud de acciones H y acuerdos del consejo (tamaño de la emisión) y estado en HKEXnews (solicitud activa, 1.ª presentación del 10-abr-2026)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Suzhou TFC Optical Communication (CNINFO) y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http://static.cninfo.com.cn/finalpage/2026-04-10/1225094554.PDF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光器件龙头天孚通信控股股东提议回购 (propuesta de recompra de 100-150 M CNY,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21jingji (21财经)</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https://m.21jingji.com/article/20261015/herald/845c57cde2f68da23eb27b31719b3d74.html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julio de 2026 tras el avance del 1S26 (−13,42 % el 17-jul; escasez de chips EML de 200G)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Sina Finance (新浪财经)</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https://finance.sina.com.cn/stock/aiassist/ggsp/2026-07-17/doc-iniiaxpf8236993.shtml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valores de SZSE elegibles en Stock Connect (compra y venta), actualizada el 16-oct-2026, y FAQ de Stock Connect (ChiNext solo para inversores profesionales institucionales; versión del 6-jul-2026)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https://www.hkex.com.hk/-/media/HKEX-Market/Mutual-Market/Stock-Connect/Eligible-Stocks/View-All-Eligible-Securities_xls/SZSE_Securities.xls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prevista del informe del 3T26 (29-oct-2026) en el calendario de la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(calendario de SZSE)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https://data.eastmoney.com/bbsj/yysj/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天孚通信 en Guba (Eastmoney): primera página de mensajes del 14 al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 (股吧)</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https://guba.eastmoney.com/list,300394.html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 del semestral: «光器件里的卖铲人» (margen del 61 %, crecimiento del 15 %, valoración «por las nubes»)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Sina (新浪) / autor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https://www.sina.cn/news/detail/5349632579210449.html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«六成营收来自单一客户，天孚通信业绩创新高但挑战不少»</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Sina Finance (财经头条)</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https://cj.sina.com.cn/articles/view/1733360754/6750fc7202001f9c2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Proyección propia del BPA 2026e-2028e y de la historia del PER (supuestos.mjs y propio.mjs de este informe)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(informes/suzhou-tfc-2026-10-19/notas)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informes/suzhou-tfc-2026-10-19/notas/propio.mjs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Connect: lista de valores de SZSE elegibles y FAQ (ChiNext limitado a inversores profesionales institucionales en el sentido norte)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https://www.hkex.com.hk/Mutual-Market/Stock-Connect/Eligible-Stocks/View-All-Eligible-Securities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A股半导体、光模块全线重挫，“易中天”大跌 (caída del 2-jul-2026: chips en EE. UU., Japón y Corea y temor a menos inversión en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Sina Finance (新浪财经)</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https://finance.sina.com.cn/wm/2026-07-02/doc-inifkupy5901885.shtml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光模块又遭“小作文”打压！板块罕见暴跌7% (rumor que hunde el sector; los bancos suben la previsión de envíos de 1,6T)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JRJ (金融界)</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https://m.jrj.com.cn/madapter/finance/2026/09/28104658563553.shtml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84,4 %</w:t>
      </w:r>
      <w:r>
        <w:t xml:space="preserve"> · Secciones con menos del 60 % de campos cubiertos: </w:t>
      </w:r>
      <w:r>
        <w:rPr>
          <w:b/>
          <w:bCs/>
        </w:rPr>
        <w:t xml:space="preserve">transacciones</w:t>
      </w:r>
      <w:r>
        <w:t xml:space="preserve"> · Generado el 19 oct 2026.</w:t>
      </w:r>
    </w:p>
    <w:p>
      <w:pPr>
        <w:pStyle w:val="Nota"/>
        <w:spacing w:after="100"/>
      </w:pPr>
      <w:r>
        <w:t xml:space="preserve">Cifras en millones de CNY, ejercicio a 31 de diciembre, normas contables chinas (CAS). El último periodo publicado es el 1S26 (30-jun-2026): el LTM es 2S25 + 1S26. Los resultados del 3T26 se publican el 29-oct-2026, diez días después del corte, y no están en el informe [30]. Precio: cierre del 19-oct-2026 en Shenzhen (203,30 CNY, −4,46 % en el día; sello de la cotización 16:14 de Pekín [21]); Yahoo aún no tenía la barra diaria del 19-oct, por lo que las rentabilidades de la sección de bolsa y las cifras de movimiento.mjs llegan hasta el cierre del 16-oct (212,80). Las acciones y el BPA están en la base de hoy (1.090,8 M de acciones tras la ampliación liberada de junio de 2026, 4 por cada 10): el BPA histórico publicado se divide por 1,4 por cada ampliación posterior. Los clientes del folleto H están anonimizados (A-E); que el A sea Fabrinet (fabricante para Nvidia) es una deducción por su descripción. La acción A de ChiNext NO la puede comprar un particular desde IBKR: está en la lista de Stock Connect, pero ChiNext en el sentido norte está limitado a inversores profesionales institucionales [35]. Precio de una acción en EUR: ≈ 27 EUR (≈ 7,5 CNY por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Suzhou TFC Optical Communication Co., Ltd. (苏州天孚光通信股份有限公司) (300394)</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203,30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(100,81 – 375,00)</c:v>
                </c:pt>
                <c:pt idx="1">
                  <c:v>Precio objetivo de los analistas (265,00 – 411,79)</c:v>
                </c:pt>
                <c:pt idx="2">
                  <c:v>Comparables: PER NTM (82,88 – 209,45)</c:v>
                </c:pt>
                <c:pt idx="3">
                  <c:v>DCF (WACC y g ± 0,5) (39,92 – 46,43)</c:v>
                </c:pt>
                <c:pt idx="4">
                  <c:v>Escenarios (bajista – alcista) (23,32 – 52,58)</c:v>
                </c:pt>
                <c:pt idx="5">
                  <c:v>DCF con la prima implícita del mercado (4,2 %)</c:v>
                </c:pt>
                <c:pt idx="6">
                  <c:v>Precio actual (203,30)</c:v>
                </c:pt>
              </c:strCache>
            </c:strRef>
          </c:cat>
          <c:val>
            <c:numRef>
              <c:f>Hoja1!$B$2:$B$8</c:f>
              <c:numCache>
                <c:formatCode>#,##0</c:formatCode>
                <c:ptCount val="7"/>
                <c:pt idx="0">
                  <c:v>100.81</c:v>
                </c:pt>
                <c:pt idx="1">
                  <c:v>265</c:v>
                </c:pt>
                <c:pt idx="2">
                  <c:v>82.88</c:v>
                </c:pt>
                <c:pt idx="3">
                  <c:v>39.92</c:v>
                </c:pt>
                <c:pt idx="4">
                  <c:v>23.32</c:v>
                </c:pt>
                <c:pt idx="5">
                  <c:v>49.84</c:v>
                </c:pt>
                <c:pt idx="6">
                  <c:v>202.28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(100,81 – 375,00)</c:v>
                </c:pt>
                <c:pt idx="1">
                  <c:v>Precio objetivo de los analistas (265,00 – 411,79)</c:v>
                </c:pt>
                <c:pt idx="2">
                  <c:v>Comparables: PER NTM (82,88 – 209,45)</c:v>
                </c:pt>
                <c:pt idx="3">
                  <c:v>DCF (WACC y g ± 0,5) (39,92 – 46,43)</c:v>
                </c:pt>
                <c:pt idx="4">
                  <c:v>Escenarios (bajista – alcista) (23,32 – 52,58)</c:v>
                </c:pt>
                <c:pt idx="5">
                  <c:v>DCF con la prima implícita del mercado (4,2 %)</c:v>
                </c:pt>
                <c:pt idx="6">
                  <c:v>Precio actual (203,30)</c:v>
                </c:pt>
              </c:strCache>
            </c:strRef>
          </c:cat>
          <c:val>
            <c:numRef>
              <c:f>Hoja1!$C$2:$C$8</c:f>
              <c:numCache>
                <c:formatCode>#,##0</c:formatCode>
                <c:ptCount val="7"/>
                <c:pt idx="0">
                  <c:v>274.19</c:v>
                </c:pt>
                <c:pt idx="1">
                  <c:v>146.79000000000002</c:v>
                </c:pt>
                <c:pt idx="2">
                  <c:v>126.57</c:v>
                </c:pt>
                <c:pt idx="3">
                  <c:v>6.509999999999998</c:v>
                </c:pt>
                <c:pt idx="4">
                  <c:v>29.259999999999998</c:v>
                </c:pt>
                <c:pt idx="5">
                  <c:v>6.409999999999997</c:v>
                </c:pt>
                <c:pt idx="6">
                  <c:v>2.039999999999992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Componentes pasivos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920.1</c:v>
                </c:pt>
                <c:pt idx="1">
                  <c:v>959.9</c:v>
                </c:pt>
                <c:pt idx="2">
                  <c:v>1183.3</c:v>
                </c:pt>
                <c:pt idx="3">
                  <c:v>1576.3</c:v>
                </c:pt>
                <c:pt idx="4">
                  <c:v>2084.4</c:v>
                </c:pt>
              </c:numCache>
            </c:numRef>
          </c:val>
        </c:ser>
        <c:ser>
          <c:idx val="1"/>
          <c:order val="1"/>
          <c:tx>
            <c:strRef>
              <c:f>Hoja1!$C$1</c:f>
              <c:strCache>
                <c:ptCount val="1"/>
                <c:pt idx="0">
                  <c:v>Componentes activos (motores ópticos)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85</c:v>
                </c:pt>
                <c:pt idx="1">
                  <c:v>217.8</c:v>
                </c:pt>
                <c:pt idx="2">
                  <c:v>745.9</c:v>
                </c:pt>
                <c:pt idx="3">
                  <c:v>1655.3</c:v>
                </c:pt>
                <c:pt idx="4">
                  <c:v>2997.9</c:v>
                </c:pt>
              </c:numCache>
            </c:numRef>
          </c:val>
        </c:ser>
        <c:ser>
          <c:idx val="2"/>
          <c:order val="2"/>
          <c:tx>
            <c:strRef>
              <c:f>Hoja1!$D$1</c:f>
              <c:strCache>
                <c:ptCount val="1"/>
                <c:pt idx="0">
                  <c:v>Otros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27.3</c:v>
                </c:pt>
                <c:pt idx="1">
                  <c:v>18.7</c:v>
                </c:pt>
                <c:pt idx="2">
                  <c:v>9.4</c:v>
                </c:pt>
                <c:pt idx="3">
                  <c:v>20.1</c:v>
                </c:pt>
                <c:pt idx="4">
                  <c:v>81.1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Componentes pasivos</c:v>
                </c:pt>
                <c:pt idx="1">
                  <c:v>Componentes activos (motores ópticos)</c:v>
                </c:pt>
                <c:pt idx="2">
                  <c:v>Otros</c:v>
                </c:pt>
              </c:strCache>
            </c:strRef>
          </c:cat>
          <c:val>
            <c:numRef>
              <c:f>Hoja1!$B$2:$B$4</c:f>
              <c:numCache>
                <c:formatCode>General</c:formatCode>
                <c:ptCount val="3"/>
                <c:pt idx="0">
                  <c:v>40.4</c:v>
                </c:pt>
                <c:pt idx="1">
                  <c:v>58.1</c:v>
                </c:pt>
                <c:pt idx="2">
                  <c:v>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Exterior (sobre todo Asia: Tailandia)</c:v>
                </c:pt>
                <c:pt idx="1">
                  <c:v>China</c:v>
                </c:pt>
              </c:strCache>
            </c:strRef>
          </c:cat>
          <c:val>
            <c:numRef>
              <c:f>Hoja1!$B$2:$B$3</c:f>
              <c:numCache>
                <c:formatCode>0"%"</c:formatCode>
                <c:ptCount val="2"/>
                <c:pt idx="0">
                  <c:v>74.35</c:v>
                </c:pt>
                <c:pt idx="1">
                  <c:v>25.65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(componentes ópticos para interconexión, Frost &amp; Sullivan))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2021</c:v>
                </c:pt>
                <c:pt idx="1">
                  <c:v>2025</c:v>
                </c:pt>
                <c:pt idx="2">
                  <c:v>2030e</c:v>
                </c:pt>
              </c:strCache>
            </c:strRef>
          </c:cat>
          <c:val>
            <c:numRef>
              <c:f>Hoja1!$B$2:$B$4</c:f>
              <c:numCache>
                <c:formatCode>#,##0</c:formatCode>
                <c:ptCount val="3"/>
                <c:pt idx="0">
                  <c:v>3440</c:v>
                </c:pt>
                <c:pt idx="1">
                  <c:v>6054</c:v>
                </c:pt>
                <c:pt idx="2">
                  <c:v>22900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5</c:v>
                </c:pt>
                <c:pt idx="2">
                  <c:v>4</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TFC Optical</c:v>
                </c:pt>
                <c:pt idx="1">
                  <c:v>Innolight (Zhongji Innolight)</c:v>
                </c:pt>
                <c:pt idx="2">
                  <c:v>Eoptolink</c:v>
                </c:pt>
                <c:pt idx="3">
                  <c:v>Coherent</c:v>
                </c:pt>
                <c:pt idx="4">
                  <c:v>Lumentum</c:v>
                </c:pt>
                <c:pt idx="5">
                  <c:v>Accelink</c:v>
                </c:pt>
                <c:pt idx="6">
                  <c:v>T&amp;S Communications</c:v>
                </c:pt>
              </c:strCache>
            </c:strRef>
          </c:cat>
          <c:val>
            <c:numRef>
              <c:f>Hoja1!$B$2:$B$8</c:f>
              <c:numCache>
                <c:formatCode>0.0"%"</c:formatCode>
                <c:ptCount val="7"/>
                <c:pt idx="0">
                  <c:v>44.6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Hoja1!$B$2:$B$17</c:f>
              <c:numCache>
                <c:formatCode>#,##0</c:formatCode>
                <c:ptCount val="16"/>
                <c:pt idx="0">
                  <c:v>442.9</c:v>
                </c:pt>
                <c:pt idx="1">
                  <c:v>522.9</c:v>
                </c:pt>
                <c:pt idx="2">
                  <c:v>873.4</c:v>
                </c:pt>
                <c:pt idx="3">
                  <c:v>1032.4</c:v>
                </c:pt>
                <c:pt idx="4">
                  <c:v>1196.4</c:v>
                </c:pt>
                <c:pt idx="5">
                  <c:v>1938.6</c:v>
                </c:pt>
                <c:pt idx="6">
                  <c:v>3251.7</c:v>
                </c:pt>
                <c:pt idx="7">
                  <c:v>5163.4</c:v>
                </c:pt>
                <c:pt idx="8">
                  <c:v>7002</c:v>
                </c:pt>
                <c:pt idx="9">
                  <c:v>10502</c:v>
                </c:pt>
                <c:pt idx="10">
                  <c:v>13653</c:v>
                </c:pt>
                <c:pt idx="11">
                  <c:v>15018</c:v>
                </c:pt>
                <c:pt idx="12">
                  <c:v>15018</c:v>
                </c:pt>
                <c:pt idx="13">
                  <c:v>15319</c:v>
                </c:pt>
                <c:pt idx="14">
                  <c:v>15625</c:v>
                </c:pt>
                <c:pt idx="15">
                  <c:v>15938</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Hoja1!$C$2:$C$17</c:f>
              <c:numCache>
                <c:formatCode>#,##0</c:formatCode>
                <c:ptCount val="16"/>
                <c:pt idx="0">
                  <c:v>167.4</c:v>
                </c:pt>
                <c:pt idx="1">
                  <c:v>201.9</c:v>
                </c:pt>
                <c:pt idx="2">
                  <c:v>363.5</c:v>
                </c:pt>
                <c:pt idx="3">
                  <c:v>397.9</c:v>
                </c:pt>
                <c:pt idx="4">
                  <c:v>487.8</c:v>
                </c:pt>
                <c:pt idx="5">
                  <c:v>857.3</c:v>
                </c:pt>
                <c:pt idx="6">
                  <c:v>1562.4</c:v>
                </c:pt>
                <c:pt idx="7">
                  <c:v>2481.5</c:v>
                </c:pt>
                <c:pt idx="8">
                  <c:v>3571</c:v>
                </c:pt>
                <c:pt idx="9">
                  <c:v>5251</c:v>
                </c:pt>
                <c:pt idx="10">
                  <c:v>6553</c:v>
                </c:pt>
                <c:pt idx="11">
                  <c:v>6758</c:v>
                </c:pt>
                <c:pt idx="12">
                  <c:v>6308</c:v>
                </c:pt>
                <c:pt idx="13">
                  <c:v>6127</c:v>
                </c:pt>
                <c:pt idx="14">
                  <c:v>6250</c:v>
                </c:pt>
                <c:pt idx="15">
                  <c:v>6375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51.3</c:v>
                </c:pt>
                <c:pt idx="1">
                  <c:v>52.2</c:v>
                </c:pt>
                <c:pt idx="2">
                  <c:v>52.8</c:v>
                </c:pt>
                <c:pt idx="3">
                  <c:v>49.7</c:v>
                </c:pt>
                <c:pt idx="4">
                  <c:v>51.6</c:v>
                </c:pt>
                <c:pt idx="5">
                  <c:v>54.3</c:v>
                </c:pt>
                <c:pt idx="6">
                  <c:v>57.2</c:v>
                </c:pt>
                <c:pt idx="7">
                  <c:v>54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37.8</c:v>
                </c:pt>
                <c:pt idx="1">
                  <c:v>38.6</c:v>
                </c:pt>
                <c:pt idx="2">
                  <c:v>41.6</c:v>
                </c:pt>
                <c:pt idx="3">
                  <c:v>38.5</c:v>
                </c:pt>
                <c:pt idx="4">
                  <c:v>40.8</c:v>
                </c:pt>
                <c:pt idx="5">
                  <c:v>44.2</c:v>
                </c:pt>
                <c:pt idx="6">
                  <c:v>48</c:v>
                </c:pt>
                <c:pt idx="7">
                  <c:v>48.1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31.4</c:v>
                </c:pt>
                <c:pt idx="1">
                  <c:v>32.5</c:v>
                </c:pt>
                <c:pt idx="2">
                  <c:v>35.7</c:v>
                </c:pt>
                <c:pt idx="3">
                  <c:v>31.3</c:v>
                </c:pt>
                <c:pt idx="4">
                  <c:v>33.6</c:v>
                </c:pt>
                <c:pt idx="5">
                  <c:v>39.5</c:v>
                </c:pt>
                <c:pt idx="6">
                  <c:v>44.2</c:v>
                </c:pt>
                <c:pt idx="7">
                  <c:v>44.6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30.6</c:v>
                </c:pt>
                <c:pt idx="1">
                  <c:v>31.9</c:v>
                </c:pt>
                <c:pt idx="2">
                  <c:v>32</c:v>
                </c:pt>
                <c:pt idx="3">
                  <c:v>29.7</c:v>
                </c:pt>
                <c:pt idx="4">
                  <c:v>33.7</c:v>
                </c:pt>
                <c:pt idx="5">
                  <c:v>37.7</c:v>
                </c:pt>
                <c:pt idx="6">
                  <c:v>41.3</c:v>
                </c:pt>
                <c:pt idx="7">
                  <c:v>39.1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54.8</c:v>
                </c:pt>
                <c:pt idx="1">
                  <c:v>17</c:v>
                </c:pt>
                <c:pt idx="2">
                  <c:v>29.1</c:v>
                </c:pt>
                <c:pt idx="3">
                  <c:v>83.3</c:v>
                </c:pt>
                <c:pt idx="4">
                  <c:v>74.4</c:v>
                </c:pt>
                <c:pt idx="5">
                  <c:v>45.3</c:v>
                </c:pt>
                <c:pt idx="6">
                  <c:v>40.8</c:v>
                </c:pt>
                <c:pt idx="7">
                  <c:v>-0.9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166</c:v>
                </c:pt>
                <c:pt idx="1">
                  <c:v>161</c:v>
                </c:pt>
                <c:pt idx="2">
                  <c:v>144</c:v>
                </c:pt>
                <c:pt idx="3">
                  <c:v>124</c:v>
                </c:pt>
                <c:pt idx="4">
                  <c:v>124</c:v>
                </c:pt>
                <c:pt idx="5">
                  <c:v>87</c:v>
                </c:pt>
                <c:pt idx="6">
                  <c:v>91</c:v>
                </c:pt>
                <c:pt idx="7">
                  <c:v>81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105</c:v>
                </c:pt>
                <c:pt idx="1">
                  <c:v>110</c:v>
                </c:pt>
                <c:pt idx="2">
                  <c:v>153</c:v>
                </c:pt>
                <c:pt idx="3">
                  <c:v>122</c:v>
                </c:pt>
                <c:pt idx="4">
                  <c:v>118</c:v>
                </c:pt>
                <c:pt idx="5">
                  <c:v>105</c:v>
                </c:pt>
                <c:pt idx="6">
                  <c:v>92</c:v>
                </c:pt>
                <c:pt idx="7">
                  <c:v>70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85</c:v>
                </c:pt>
                <c:pt idx="1">
                  <c:v>150</c:v>
                </c:pt>
                <c:pt idx="2">
                  <c:v>102</c:v>
                </c:pt>
                <c:pt idx="3">
                  <c:v>72</c:v>
                </c:pt>
                <c:pt idx="4">
                  <c:v>73</c:v>
                </c:pt>
                <c:pt idx="5">
                  <c:v>114</c:v>
                </c:pt>
                <c:pt idx="6">
                  <c:v>85</c:v>
                </c:pt>
                <c:pt idx="7">
                  <c:v>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83.7</c:v>
                </c:pt>
                <c:pt idx="1">
                  <c:v>28.100000000000023</c:v>
                </c:pt>
                <c:pt idx="2">
                  <c:v>106.6</c:v>
                </c:pt>
                <c:pt idx="3">
                  <c:v>243.39999999999998</c:v>
                </c:pt>
                <c:pt idx="4">
                  <c:v>350.1</c:v>
                </c:pt>
                <c:pt idx="5">
                  <c:v>695.4</c:v>
                </c:pt>
                <c:pt idx="6">
                  <c:v>809</c:v>
                </c:pt>
                <c:pt idx="7">
                  <c:v>1448.7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135.5</c:v>
                </c:pt>
                <c:pt idx="1">
                  <c:v>166.6</c:v>
                </c:pt>
                <c:pt idx="2">
                  <c:v>279.1</c:v>
                </c:pt>
                <c:pt idx="3">
                  <c:v>306.4</c:v>
                </c:pt>
                <c:pt idx="4">
                  <c:v>402.9</c:v>
                </c:pt>
                <c:pt idx="5">
                  <c:v>729.9</c:v>
                </c:pt>
                <c:pt idx="6">
                  <c:v>1343.5</c:v>
                </c:pt>
                <c:pt idx="7">
                  <c:v>2017.3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24.4</c:v>
                </c:pt>
                <c:pt idx="1">
                  <c:v>26.9</c:v>
                </c:pt>
                <c:pt idx="2">
                  <c:v>34.7</c:v>
                </c:pt>
                <c:pt idx="3">
                  <c:v>28.5</c:v>
                </c:pt>
                <c:pt idx="4">
                  <c:v>33.8</c:v>
                </c:pt>
                <c:pt idx="5">
                  <c:v>61.6</c:v>
                </c:pt>
                <c:pt idx="6">
                  <c:v>92</c:v>
                </c:pt>
                <c:pt idx="7">
                  <c:v>99.9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10.9</c:v>
                </c:pt>
                <c:pt idx="1">
                  <c:v>10.9</c:v>
                </c:pt>
                <c:pt idx="2">
                  <c:v>10.9</c:v>
                </c:pt>
                <c:pt idx="3">
                  <c:v>10.9</c:v>
                </c:pt>
                <c:pt idx="4">
                  <c:v>10.9</c:v>
                </c:pt>
                <c:pt idx="5">
                  <c:v>10.9</c:v>
                </c:pt>
                <c:pt idx="6">
                  <c:v>10.9</c:v>
                </c:pt>
                <c:pt idx="7">
                  <c:v>10.9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12.7</c:v>
                </c:pt>
                <c:pt idx="1">
                  <c:v>14.9</c:v>
                </c:pt>
                <c:pt idx="2">
                  <c:v>22</c:v>
                </c:pt>
                <c:pt idx="3">
                  <c:v>16.5</c:v>
                </c:pt>
                <c:pt idx="4">
                  <c:v>16.2</c:v>
                </c:pt>
                <c:pt idx="5">
                  <c:v>25.1</c:v>
                </c:pt>
                <c:pt idx="6">
                  <c:v>37.5</c:v>
                </c:pt>
                <c:pt idx="7">
                  <c:v>42.5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-3.42</c:v>
                </c:pt>
                <c:pt idx="1">
                  <c:v>-2.83</c:v>
                </c:pt>
                <c:pt idx="2">
                  <c:v>-1.09</c:v>
                </c:pt>
                <c:pt idx="3">
                  <c:v>-3.24</c:v>
                </c:pt>
                <c:pt idx="4">
                  <c:v>-3.18</c:v>
                </c:pt>
                <c:pt idx="5">
                  <c:v>-2.68</c:v>
                </c:pt>
                <c:pt idx="6">
                  <c:v>-1.49</c:v>
                </c:pt>
                <c:pt idx="7">
                  <c:v>-1.29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0</c:v>
                </c:pt>
                <c:pt idx="1">
                  <c:v>0</c:v>
                </c:pt>
                <c:pt idx="2">
                  <c:v>0</c:v>
                </c:pt>
                <c:pt idx="3">
                  <c:v>0</c:v>
                </c:pt>
                <c:pt idx="4">
                  <c:v>0</c:v>
                </c:pt>
                <c:pt idx="5">
                  <c:v>0</c:v>
                </c:pt>
                <c:pt idx="6">
                  <c:v>235.5</c:v>
                </c:pt>
                <c:pt idx="7">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59.5</c:v>
                </c:pt>
                <c:pt idx="1">
                  <c:v>71.3</c:v>
                </c:pt>
                <c:pt idx="2">
                  <c:v>79.8</c:v>
                </c:pt>
                <c:pt idx="3">
                  <c:v>130.3</c:v>
                </c:pt>
                <c:pt idx="4">
                  <c:v>157.1</c:v>
                </c:pt>
                <c:pt idx="5">
                  <c:v>197.6</c:v>
                </c:pt>
                <c:pt idx="6">
                  <c:v>673.6</c:v>
                </c:pt>
                <c:pt idx="7">
                  <c:v>667.3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0</c:v>
                </c:pt>
                <c:pt idx="2">
                  <c:v>0</c:v>
                </c:pt>
                <c:pt idx="3">
                  <c:v>0</c:v>
                </c:pt>
                <c:pt idx="4">
                  <c:v>0</c:v>
                </c:pt>
                <c:pt idx="5">
                  <c:v>0</c:v>
                </c:pt>
                <c:pt idx="6">
                  <c:v>0</c:v>
                </c:pt>
                <c:pt idx="7">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4</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Suzhou Tianfu Renhe Investment (controlada por Zou Zhinong y Ou Yang)</c:v>
                </c:pt>
                <c:pt idx="1">
                  <c:v>Zhu Guodong (cofundador)</c:v>
                </c:pt>
                <c:pt idx="2">
                  <c:v>HKSCC (inversores de Stock Connect)</c:v>
                </c:pt>
                <c:pt idx="3">
                  <c:v>Fondo cotizado Guotai CSI de equipos de comunicaciones</c:v>
                </c:pt>
              </c:strCache>
            </c:strRef>
          </c:cat>
          <c:val>
            <c:numRef>
              <c:f>Hoja1!$B$2:$B$5</c:f>
              <c:numCache>
                <c:formatCode>0.0"%"</c:formatCode>
                <c:ptCount val="4"/>
                <c:pt idx="0">
                  <c:v>37.47</c:v>
                </c:pt>
                <c:pt idx="1">
                  <c:v>6.97</c:v>
                </c:pt>
                <c:pt idx="2">
                  <c:v>3.39</c:v>
                </c:pt>
                <c:pt idx="3">
                  <c:v>1.13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-29.5</c:v>
                </c:pt>
                <c:pt idx="1">
                  <c:v>-30.1</c:v>
                </c:pt>
                <c:pt idx="2">
                  <c:v>9.9</c:v>
                </c:pt>
                <c:pt idx="3">
                  <c:v>60.6</c:v>
                </c:pt>
                <c:pt idx="4">
                  <c:v>40.6</c:v>
                </c:pt>
                <c:pt idx="5">
                  <c:v>25.1</c:v>
                </c:pt>
                <c:pt idx="6">
                  <c:v>-29.7</c:v>
                </c:pt>
                <c:pt idx="7">
                  <c:v>263.4</c:v>
                </c:pt>
                <c:pt idx="8">
                  <c:v>41.6</c:v>
                </c:pt>
                <c:pt idx="9">
                  <c:v>213.7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-9.7</c:v>
                </c:pt>
                <c:pt idx="1">
                  <c:v>23.4</c:v>
                </c:pt>
                <c:pt idx="2">
                  <c:v>-24.2</c:v>
                </c:pt>
                <c:pt idx="3">
                  <c:v>38.6</c:v>
                </c:pt>
                <c:pt idx="4">
                  <c:v>29.1</c:v>
                </c:pt>
                <c:pt idx="5">
                  <c:v>-4</c:v>
                </c:pt>
                <c:pt idx="6">
                  <c:v>-20.1</c:v>
                </c:pt>
                <c:pt idx="7">
                  <c:v>-9.8</c:v>
                </c:pt>
                <c:pt idx="8">
                  <c:v>17.4</c:v>
                </c:pt>
                <c:pt idx="9">
                  <c:v>20.8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25.3</c:v>
                </c:pt>
                <c:pt idx="1">
                  <c:v>34.8</c:v>
                </c:pt>
                <c:pt idx="2">
                  <c:v>28.1</c:v>
                </c:pt>
                <c:pt idx="3">
                  <c:v>32.8</c:v>
                </c:pt>
                <c:pt idx="4">
                  <c:v>17.3</c:v>
                </c:pt>
                <c:pt idx="5">
                  <c:v>39.7</c:v>
                </c:pt>
                <c:pt idx="6">
                  <c:v>30.9</c:v>
                </c:pt>
                <c:pt idx="7">
                  <c:v>62.3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31.9</c:v>
                </c:pt>
                <c:pt idx="1">
                  <c:v>31.9</c:v>
                </c:pt>
                <c:pt idx="2">
                  <c:v>31.9</c:v>
                </c:pt>
                <c:pt idx="3">
                  <c:v>31.9</c:v>
                </c:pt>
                <c:pt idx="4">
                  <c:v>31.9</c:v>
                </c:pt>
                <c:pt idx="5">
                  <c:v>31.9</c:v>
                </c:pt>
                <c:pt idx="6">
                  <c:v>31.9</c:v>
                </c:pt>
                <c:pt idx="7">
                  <c:v>31.9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2019</c:v>
                </c:pt>
                <c:pt idx="1">
                  <c:v>2963</c:v>
                </c:pt>
                <c:pt idx="2">
                  <c:v>4130</c:v>
                </c:pt>
                <c:pt idx="3">
                  <c:v>4681</c:v>
                </c:pt>
                <c:pt idx="4">
                  <c:v>4710</c:v>
                </c:pt>
                <c:pt idx="5">
                  <c:v>4563</c:v>
                </c:pt>
                <c:pt idx="6">
                  <c:v>4654</c:v>
                </c:pt>
                <c:pt idx="7">
                  <c:v>4747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21120</c:v>
                </c:pt>
                <c:pt idx="1">
                  <c:v>22994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203,30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23.32</c:v>
                </c:pt>
                <c:pt idx="1">
                  <c:v>42.86</c:v>
                </c:pt>
                <c:pt idx="2">
                  <c:v>52.58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203,30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(100,81 – 375,00)</c:v>
                </c:pt>
                <c:pt idx="1">
                  <c:v>Precio objetivo de los analistas (265,00 – 411,79)</c:v>
                </c:pt>
                <c:pt idx="2">
                  <c:v>Comparables: PER NTM (82,88 – 209,45)</c:v>
                </c:pt>
                <c:pt idx="3">
                  <c:v>DCF (WACC y g ± 0,5) (39,92 – 46,43)</c:v>
                </c:pt>
                <c:pt idx="4">
                  <c:v>Escenarios (bajista – alcista) (23,32 – 52,58)</c:v>
                </c:pt>
                <c:pt idx="5">
                  <c:v>DCF con la prima implícita del mercado (4,2 %)</c:v>
                </c:pt>
                <c:pt idx="6">
                  <c:v>Precio actual (203,30)</c:v>
                </c:pt>
              </c:strCache>
            </c:strRef>
          </c:cat>
          <c:val>
            <c:numRef>
              <c:f>Hoja1!$B$2:$B$8</c:f>
              <c:numCache>
                <c:formatCode>#,##0</c:formatCode>
                <c:ptCount val="7"/>
                <c:pt idx="0">
                  <c:v>100.81</c:v>
                </c:pt>
                <c:pt idx="1">
                  <c:v>265</c:v>
                </c:pt>
                <c:pt idx="2">
                  <c:v>82.88</c:v>
                </c:pt>
                <c:pt idx="3">
                  <c:v>39.92</c:v>
                </c:pt>
                <c:pt idx="4">
                  <c:v>23.32</c:v>
                </c:pt>
                <c:pt idx="5">
                  <c:v>49.84</c:v>
                </c:pt>
                <c:pt idx="6">
                  <c:v>202.28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(100,81 – 375,00)</c:v>
                </c:pt>
                <c:pt idx="1">
                  <c:v>Precio objetivo de los analistas (265,00 – 411,79)</c:v>
                </c:pt>
                <c:pt idx="2">
                  <c:v>Comparables: PER NTM (82,88 – 209,45)</c:v>
                </c:pt>
                <c:pt idx="3">
                  <c:v>DCF (WACC y g ± 0,5) (39,92 – 46,43)</c:v>
                </c:pt>
                <c:pt idx="4">
                  <c:v>Escenarios (bajista – alcista) (23,32 – 52,58)</c:v>
                </c:pt>
                <c:pt idx="5">
                  <c:v>DCF con la prima implícita del mercado (4,2 %)</c:v>
                </c:pt>
                <c:pt idx="6">
                  <c:v>Precio actual (203,30)</c:v>
                </c:pt>
              </c:strCache>
            </c:strRef>
          </c:cat>
          <c:val>
            <c:numRef>
              <c:f>Hoja1!$C$2:$C$8</c:f>
              <c:numCache>
                <c:formatCode>#,##0</c:formatCode>
                <c:ptCount val="7"/>
                <c:pt idx="0">
                  <c:v>274.19</c:v>
                </c:pt>
                <c:pt idx="1">
                  <c:v>146.79000000000002</c:v>
                </c:pt>
                <c:pt idx="2">
                  <c:v>126.57</c:v>
                </c:pt>
                <c:pt idx="3">
                  <c:v>6.509999999999998</c:v>
                </c:pt>
                <c:pt idx="4">
                  <c:v>29.259999999999998</c:v>
                </c:pt>
                <c:pt idx="5">
                  <c:v>6.409999999999997</c:v>
                </c:pt>
                <c:pt idx="6">
                  <c:v>2.039999999999992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