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Grand Canyon Education, Inc.</w:t>
      </w:r>
    </w:p>
    <w:p>
      <w:pPr>
        <w:spacing w:after="60"/>
        <w:rPr>
          <w:color w:val="52514E"/>
          <w:sz w:val="22"/>
          <w:szCs w:val="22"/>
        </w:rPr>
      </w:pPr>
      <w:r>
        <w:rPr>
          <w:color w:val="52514E"/>
          <w:sz w:val="22"/>
          <w:szCs w:val="22"/>
        </w:rPr>
        <w:t xml:space="preserve">LOPE · Nasdaq Global Select Market · ISIN US38526M1062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162,11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174,26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+7,5 % (base +12,5 %)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155,71 USD · mercado 174,26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4.226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Grand Canyon Education,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LOPE / US38526M1062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MidCap 400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Servicios de educación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Phoenix (Arizona) · 2008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https://www.gce.com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162,11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134,27 – 223,04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4.226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3.952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47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174,26 USD</w:t>
      </w:r>
      <w:r>
        <w:t xml:space="preserve"> frente a 162,11 · Rentabilidad a 12 meses </w:t>
      </w:r>
      <w:r>
        <w:rPr>
          <w:b/>
          <w:bCs/>
        </w:rPr>
        <w:t xml:space="preserve">+7,5 % (base +12,5 %)</w:t>
      </w:r>
      <w:r>
        <w:t xml:space="preserve"> · Valor intrínseco 155,71 USD · con la prima implícita del mercado: 174,26 (+7,5 %) · Alcista / bajista +7,2 % / -27,5 %</w:t>
      </w:r>
    </w:p>
    <w:p>
      <w:pPr>
        <w:spacing w:after="100"/>
      </w:pPr>
      <w:r>
        <w:rPr>
          <w:b/>
        </w:rPr>
        <w:t xml:space="preserve">La recomendación y por qué.</w:t>
      </w:r>
      <w:r>
        <w:t xml:space="preserve"> Mantener, con convicción baja. El objetivo a 12 meses es de 174,26 USD (nuestro BPA ajustado de 2028e × el PER de la regla común), un +7,5 % de rentabilidad ponderada y un +12,5 % en el caso base, frente a un precio de 162,11 USD (cierre del 19-oct-2026). El valor intrínseco (155,71 USD) queda un 3,9 % por debajo del precio y el objetivo medio de los analistas (194) un 20 % por encima. La razón principal: es un negocio excelente (ROIC del 52 %, sin deuda, guía cumplida cada año) que cotiza barato frente a su historia (14,6 veces el BPA de 2027e frente a una mediana de 16,3), pero el bajista de regulación e IA (−21 % a 12 meses) baja la ponderada por debajo del 15 % y el DCF, con un punto de prima por cliente único, no deja margen. La convicción es baja porque las reglas discrepan (con nuestro WACC el valor intrínseco queda por debajo del precio; con la prima del mercado, un 10 % por encima) y porque el bajista depende de una regla de ganancias que aún no se conoce; subiría la convicción una regla final que no toque a GCU o un precio más bajo. Compraríamos por debajo de 151,53 USD.</w:t>
      </w:r>
    </w:p>
    <w:p>
      <w:pPr>
        <w:spacing w:after="100"/>
      </w:pPr>
      <w:r>
        <w:rPr>
          <w:b/>
        </w:rPr>
        <w:t xml:space="preserve">El negocio.</w:t>
      </w:r>
      <w:r>
        <w:t xml:space="preserve"> GCE presta a universidades los servicios que no son dar clase: captación de alumnos, tecnología, plataforma en línea, apoyo académico y administrativo. Cobra el 60 % de la matrícula y tasas académicas de Grand Canyon University (GCU, 89 % de sus ingresos) y un porcentaje de los programas de enfermería acelerada de otros 19 socios (Orbis) [1, 4]. Ingresos de 1.106 M USD en 2025 y margen operativo ajustado del 28,3 %. ROIC del 51,9 % frente a un WACC del 10,39 %: calidad «Sí». Sostenibilidad del crecimiento «Sí»: proyectamos un 4,6 % anual, por debajo del 6,0 % histórico, casi sin capital.</w:t>
      </w:r>
    </w:p>
    <w:p>
      <w:pPr>
        <w:spacing w:after="100"/>
      </w:pPr>
      <w:r>
        <w:rPr>
          <w:b/>
        </w:rPr>
        <w:t xml:space="preserve">Finanzas.</w:t>
      </w:r>
      <w:r>
        <w:t xml:space="preserve"> El BPA ajustado creció un 8,7 % anual de 2019 a 2025 (de 5,48 a 9,08 USD) con ventas al 6,0 % y recompras que bajaron las acciones diluidas de 48,3 M a 28,0 M [1, 5]. Guía de 2026: 10,18-10,32 USD ajustado [3]. Sin deuda y 274,5 M de caja e inversiones a 30-jun-2026; flujo operativo de 273,5 M en 2025, casi todo a recompras (264,8 M) [1].</w:t>
      </w:r>
    </w:p>
    <w:p>
      <w:pPr>
        <w:spacing w:after="100"/>
      </w:pPr>
      <w:r>
        <w:rPr>
          <w:b/>
        </w:rPr>
        <w:t xml:space="preserve">Equipo y gobierno.</w:t>
      </w:r>
      <w:r>
        <w:t xml:space="preserve"> Brian Mueller dirige la empresa desde 2008 y preside a la vez GCU: alinea a los dos lados del contrato, pero es el principal conflicto de interés. La guía inicial se ha cumplido cada año de 2022 a 2025 [2]. Debilidad: el director financiero está de baja desde agosto de 2026 por una investigación del Gobierno sobre operaciones de un tercero [15]; ningún directivo ha comprado acciones en 12 meses [17].</w:t>
      </w:r>
    </w:p>
    <w:p>
      <w:pPr>
        <w:spacing w:after="100"/>
      </w:pPr>
      <w:r>
        <w:rPr>
          <w:b/>
        </w:rPr>
        <w:t xml:space="preserve">Valoración.</w:t>
      </w:r>
      <w:r>
        <w:t xml:space="preserve"> El DCF da 157,60 USD (−2,8 %) y el DCF inverso descuenta un 5,0 % de crecimiento anual frente al 4,4 % de nuestro base. Con la prima del mercado (4,2 %) el DCF sube a 178,82 USD. La regla a 12 meses lleva el PER de 14,6 a 15,4 veces y el bajista a 12,3; con la regla v2 de control (historia al cierre, mediana de 18,3 y PER de 14,3 / 14,6 / 17,7) la ponderada sube al 10,5 % y el base baja al 6,6 %: también Mantener. Con el BPA un 10 % menor, la ponderada v3 cae al −3,3 %: la compra robusta (v3 y v2 con el BPA −10 %) exige 136,43 USD.</w:t>
      </w:r>
    </w:p>
    <w:p>
      <w:pPr>
        <w:spacing w:after="100"/>
      </w:pPr>
      <w:r>
        <w:rPr>
          <w:b/>
        </w:rPr>
        <w:t xml:space="preserve">Riesgos y catalizadores.</w:t>
      </w:r>
      <w:r>
        <w:t xml:space="preserve"> El mayor riesgo es la dependencia de GCU y de las ayudas federales: los topes de préstamos de posgrado (desde julio de 2026) y la prueba de ganancias profesionales (desde julio de 2027) son el bajista. La IA es un riesgo medio: encarece la captación (ya lo dice la dirección) y abarata la formación en línea genérica, aunque no los títulos acreditados ni las prácticas de enfermería. Los grandes litigios con el Gobierno están cerrados; quedan demandas colectivas sin provisión. Catalizador: resultados del 3T26 el 4-nov-2026 (matrículas de otoño). Sentimiento dividido.</w:t>
      </w:r>
    </w:p>
    <w:p>
      <w:pPr>
        <w:spacing w:after="100"/>
      </w:pPr>
      <w:r>
        <w:rPr>
          <w:b/>
        </w:rPr>
        <w:t xml:space="preserve">Qué cambiaría la decisión.</w:t>
      </w:r>
      <w:r>
        <w:t xml:space="preserve"> Comprar por debajo de 151,53 USD; Mantener entre 151,53 y 193,62; vender por encima de 193,62. Unas matrículas nuevas en línea positivas en el 3T26 y una regla de ganancias que no afecte a GCU mejorarían el bajista; programas de GCU en la lista de bajo rendimiento, a peor.</w:t>
      </w:r>
    </w:p>
    <w:p>
      <w:r>
        <w:br w:type="page"/>
      </w:r>
    </w:p>
    <w:p>
      <w:pPr>
        <w:pStyle w:val="Heading1"/>
      </w:pPr>
      <w:r>
        <w:t xml:space="preserve">Resumen ejecutivo</w:t>
      </w:r>
    </w:p>
    <w:p>
      <w:pPr>
        <w:spacing w:after="100"/>
      </w:pPr>
      <w:r>
        <w:rPr>
          <w:b/>
          <w:bCs/>
        </w:rPr>
        <w:t xml:space="preserve">Recomendación: Mantener</w:t>
      </w:r>
      <w:r>
        <w:t xml:space="preserve"> · Convicción: Baja · Horizonte: 12 meses · Objetivo a 12 meses: </w:t>
      </w:r>
      <w:r>
        <w:rPr>
          <w:b/>
          <w:bCs/>
        </w:rPr>
        <w:t xml:space="preserve">174,26 USD</w:t>
      </w:r>
      <w:r>
        <w:t xml:space="preserve"> (rentabilidad +7,5 % (base +12,5 %)) · Valor intrínseco: 155,71 USD (-3,9 % sobre 162,11) · con la prima implícita del mercado: 174,26 (+7,5 %)</w:t>
      </w:r>
    </w:p>
    <w:p>
      <w:pPr>
        <w:spacing w:after="100"/>
      </w:pPr>
      <w:r>
        <w:t xml:space="preserve">GCE es la empresa de servicios que hay detrás de Grand Canyon University: capta a los alumnos, lleva la tecnología y la plataforma en línea y gestiona la administración, a cambio del 60 % de la matrícula. Desde que vendió la universidad en 2018 gana mucho sobre muy poco capital (ROIC del 52 %), sin deuda, y devuelve casi todo el flujo con recompras: las acciones han bajado de 48 a 26 millones en seis años [1].</w:t>
      </w:r>
    </w:p>
    <w:p>
      <w:pPr>
        <w:spacing w:after="100"/>
      </w:pPr>
      <w:r>
        <w:t xml:space="preserve">El precio (14,6 veces el BPA ajustado de 2027e) está por debajo de su historia (mediana de 16,3) porque el mercado descuenta dos riesgos reales: la regulación de las ayudas federales (topes de préstamos de posgrado y la prueba de ganancias profesionales) y la IA, que encarece la captación y abarata la formación en línea. La dependencia de GCU es total, aunque el MSA nuevo la blinda hasta 2041.</w:t>
      </w:r>
    </w:p>
    <w:p>
      <w:pPr>
        <w:spacing w:after="100"/>
      </w:pPr>
      <w:r>
        <w:t xml:space="preserve">Con la regla común el base gana un 12,5 % y el ponderado un 7,5 %: no llega al 15 %. Para comprar hay que creer que la regulación no toca a GCU o pagar menos (151,53 USD).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 × 10,47 = 128,78 · 15,4x × 11,84 = 182,34 · 16,3x × 12,49 = 203,59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 / 12,5 %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194,00 (nuestro base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155,71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 / -27,5 %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 frente a 10,4 % y 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174,26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151,53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151,53 y 193,62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193,62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151,53 USD: Comprar (ponderada ≥ 15 %, base ≥ 12 % y valor intrínseco por encima).</w:t>
      </w:r>
    </w:p>
    <w:p>
      <w:pPr>
        <w:pStyle w:val="ListParagraph"/>
        <w:numPr>
          <w:ilvl w:val="0"/>
          <w:numId w:val="2"/>
        </w:numPr>
        <w:spacing w:after="60"/>
      </w:pPr>
      <w:r>
        <w:t xml:space="preserve">Precio entre 151,53 y 193,62 USD: Mantener.</w:t>
      </w:r>
    </w:p>
    <w:p>
      <w:pPr>
        <w:pStyle w:val="ListParagraph"/>
        <w:numPr>
          <w:ilvl w:val="0"/>
          <w:numId w:val="2"/>
        </w:numPr>
        <w:spacing w:after="60"/>
      </w:pPr>
      <w:r>
        <w:t xml:space="preserve">Regla final de ganancias sin programas relevantes de GCU afectados: revisar al alza el bajista.</w:t>
      </w:r>
    </w:p>
    <w:p>
      <w:pPr>
        <w:pStyle w:val="ListParagraph"/>
        <w:numPr>
          <w:ilvl w:val="0"/>
          <w:numId w:val="2"/>
        </w:numPr>
        <w:spacing w:after="60"/>
      </w:pPr>
      <w:r>
        <w:t xml:space="preserve">Matrículas nuevas en línea negativas dos trimestres seguidos: revisar a la baja.</w:t>
      </w:r>
    </w:p>
    <w:p>
      <w:pPr>
        <w:pStyle w:val="ListParagraph"/>
        <w:numPr>
          <w:ilvl w:val="0"/>
          <w:numId w:val="2"/>
        </w:numPr>
        <w:spacing w:after="60"/>
      </w:pPr>
      <w:r>
        <w:t xml:space="preserve">Conflicto sobre el MSA o problemas de acreditación de GCU: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BPA crece un 10-11 % al año con recompras y que la regulación y la IA no rompen la captación; los tres analistas esperan ≈ 194 USD, un 20 % más.</w:t>
      </w:r>
    </w:p>
    <w:p>
      <w:pPr>
        <w:keepNext/>
        <w:spacing w:after="100"/>
      </w:pPr>
      <w:r>
        <w:rPr>
          <w:b/>
          <w:bCs/>
        </w:rPr>
        <w:t xml:space="preserve">Lo que creemos nosotros.</w:t>
      </w:r>
    </w:p>
    <w:p>
      <w:pPr>
        <w:spacing w:after="100"/>
      </w:pPr>
      <w:r>
        <w:t xml:space="preserve">Coincidimos en el BPA de 2026 y quedamos un 2 % por debajo en 2027 por no contar recompras no anunciadas. Discrepamos en el riesgo: el bajista de regulación e IA es más probable de lo que reflejan los objetivos de los analistas.</w:t>
      </w:r>
    </w:p>
    <w:p>
      <w:pPr>
        <w:keepNext/>
        <w:spacing w:after="100"/>
      </w:pPr>
      <w:r>
        <w:rPr>
          <w:b/>
          <w:bCs/>
        </w:rPr>
        <w:t xml:space="preserve">Por qué podemos tener razón.</w:t>
      </w:r>
    </w:p>
    <w:p>
      <w:pPr>
        <w:spacing w:after="100"/>
      </w:pPr>
      <w:r>
        <w:t xml:space="preserve">Un cliente da el 89 % de los ingresos y depende de ayudas federales cuya regla de ganancias aún no se conoce; la propia empresa reconoce que la IA ya baja la eficiencia del marketing.</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62,1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ROIC del 52 %</w:t>
      </w:r>
      <w:r>
        <w:t xml:space="preserve"> sin deuda: ≈ 41 puntos sobre el WACC.</w:t>
      </w:r>
    </w:p>
    <w:p>
      <w:pPr>
        <w:pStyle w:val="ListParagraph"/>
        <w:numPr>
          <w:ilvl w:val="0"/>
          <w:numId w:val="2"/>
        </w:numPr>
        <w:spacing w:after="60"/>
      </w:pPr>
      <w:r>
        <w:rPr>
          <w:b/>
        </w:rPr>
        <w:t xml:space="preserve">MSA hasta 2041</w:t>
      </w:r>
      <w:r>
        <w:t xml:space="preserve"> sin rescisión por conveniencia y GCU reconocida sin ánimo de lucro.</w:t>
      </w:r>
    </w:p>
    <w:p>
      <w:pPr>
        <w:pStyle w:val="ListParagraph"/>
        <w:numPr>
          <w:ilvl w:val="0"/>
          <w:numId w:val="2"/>
        </w:numPr>
        <w:spacing w:after="60"/>
      </w:pPr>
      <w:r>
        <w:rPr>
          <w:b/>
        </w:rPr>
        <w:t xml:space="preserve">Guía cumplida</w:t>
      </w:r>
      <w:r>
        <w:t xml:space="preserve"> cada año de 2022 a 2025; 2026: 10,18-10,32 USD.</w:t>
      </w:r>
    </w:p>
    <w:p>
      <w:pPr>
        <w:pStyle w:val="ListParagraph"/>
        <w:numPr>
          <w:ilvl w:val="0"/>
          <w:numId w:val="2"/>
        </w:numPr>
        <w:spacing w:after="60"/>
      </w:pPr>
      <w:r>
        <w:rPr>
          <w:b/>
        </w:rPr>
        <w:t xml:space="preserve">Recompras</w:t>
      </w:r>
      <w:r>
        <w:t xml:space="preserve"> constantes: −46 % de acciones desde 2019.</w:t>
      </w:r>
    </w:p>
    <w:p>
      <w:pPr>
        <w:pStyle w:val="ListParagraph"/>
        <w:numPr>
          <w:ilvl w:val="0"/>
          <w:numId w:val="2"/>
        </w:numPr>
        <w:spacing w:after="60"/>
      </w:pPr>
      <w:r>
        <w:rPr>
          <w:b/>
        </w:rPr>
        <w:t xml:space="preserve">Barata frente a su historia</w:t>
      </w:r>
      <w:r>
        <w:t xml:space="preserve">: 14,6 veces frente a una mediana de 16,3.</w:t>
      </w:r>
    </w:p>
    <w:p>
      <w:pPr>
        <w:pStyle w:val="Heading2"/>
      </w:pPr>
      <w:r>
        <w:t xml:space="preserve">En contra</w:t>
      </w:r>
    </w:p>
    <w:p>
      <w:pPr>
        <w:pStyle w:val="ListParagraph"/>
        <w:numPr>
          <w:ilvl w:val="0"/>
          <w:numId w:val="2"/>
        </w:numPr>
        <w:spacing w:after="60"/>
      </w:pPr>
      <w:r>
        <w:rPr>
          <w:b/>
        </w:rPr>
        <w:t xml:space="preserve">Un solo cliente</w:t>
      </w:r>
      <w:r>
        <w:t xml:space="preserve">: GCU es el 89 % de los ingresos.</w:t>
      </w:r>
    </w:p>
    <w:p>
      <w:pPr>
        <w:pStyle w:val="ListParagraph"/>
        <w:numPr>
          <w:ilvl w:val="0"/>
          <w:numId w:val="2"/>
        </w:numPr>
        <w:spacing w:after="60"/>
      </w:pPr>
      <w:r>
        <w:rPr>
          <w:b/>
        </w:rPr>
        <w:t xml:space="preserve">Regulación</w:t>
      </w:r>
      <w:r>
        <w:t xml:space="preserve">: topes de préstamos de posgrado y prueba «Do No Harm» desde julio de 2027.</w:t>
      </w:r>
    </w:p>
    <w:p>
      <w:pPr>
        <w:pStyle w:val="ListParagraph"/>
        <w:numPr>
          <w:ilvl w:val="0"/>
          <w:numId w:val="2"/>
        </w:numPr>
        <w:spacing w:after="60"/>
      </w:pPr>
      <w:r>
        <w:rPr>
          <w:b/>
        </w:rPr>
        <w:t xml:space="preserve">IA</w:t>
      </w:r>
      <w:r>
        <w:t xml:space="preserve">: captación más cara y formación en línea más barata.</w:t>
      </w:r>
    </w:p>
    <w:p>
      <w:pPr>
        <w:pStyle w:val="ListParagraph"/>
        <w:numPr>
          <w:ilvl w:val="0"/>
          <w:numId w:val="2"/>
        </w:numPr>
        <w:spacing w:after="60"/>
      </w:pPr>
      <w:r>
        <w:rPr>
          <w:b/>
        </w:rPr>
        <w:t xml:space="preserve">Gobierno</w:t>
      </w:r>
      <w:r>
        <w:t xml:space="preserve">: el consejero delegado preside GCU; director financiero de baja por una investigación.</w:t>
      </w:r>
    </w:p>
    <w:p>
      <w:pPr>
        <w:pStyle w:val="ListParagraph"/>
        <w:numPr>
          <w:ilvl w:val="0"/>
          <w:numId w:val="2"/>
        </w:numPr>
        <w:spacing w:after="60"/>
      </w:pPr>
      <w:r>
        <w:rPr>
          <w:b/>
        </w:rPr>
        <w:t xml:space="preserve">Litigios</w:t>
      </w:r>
      <w:r>
        <w:t xml:space="preserve">: demandas colectivas abiertas sin provisión.</w:t>
      </w:r>
    </w:p>
    <w:p>
      <w:pPr>
        <w:pStyle w:val="Heading2"/>
      </w:pPr>
      <w:r>
        <w:t xml:space="preserve">Qué tiene que pasar para que la tesis funcione</w:t>
      </w:r>
    </w:p>
    <w:p>
      <w:pPr>
        <w:spacing w:after="100"/>
      </w:pPr>
      <w:r>
        <w:t xml:space="preserve">La tesis depende de que GCU siga creciendo en matrículas (en línea al menos plano, híbrido y campus al alza) y de que la prueba de ganancias no deje fuera programas relevantes. Señales en contra: matrículas nuevas en línea negativas, margen operativo de 2027 por debajo del de 2026 o programas de GCU en la lista de bajo rendimiento.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Matrículas de los socios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136.239 en 2025 (+7,1 %)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 los ingresos.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Matrículas nuevas en línea de GCU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de un dígito bajo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efecto de la IA y la regulación.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28,0-28,2 %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Captación más cara.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10,18-10,32 USD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10,18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objetivo.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Acciones diluidas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M (guía 4T26)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26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recompras explican la mitad del crecimiento del BPA.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19,6x / 14,6x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 · -0,8x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Grand Canyon College nace en 1949 como universidad cristiana en Arizona; en 2004 la compran inversores privados (Significant Education), que la convierten en universidad con ánimo de lucro con fuerte negocio en línea, y en noviembre de 2008 sale a bolsa como Grand Canyon Education (LOPE), con Brian Mueller de consejero delegado [1]. El 1-jul-2018 vende la universidad a una entidad sin ánimo de lucro (Gazelle University, hoy GCU) y pasa a ser su proveedor de servicios (captación, tecnología, apoyo académico y administrativo) a cambio del 60 % de la matrícula, con un contrato maestro (MSA) a largo plazo [1]. En 2019 compra Orbis Education (361 M USD), servicios de enfermería acelerada para otras universidades [1]. GCU devolvió en 2021 el préstamo con que pagó la compra y GCE recompró ≈ 1.400 M USD de acciones en 2021-2022 [1]. Desde 2021 vive en litigio con el Gobierno: el Departamento de Educación (ED) negó a GCU el estatus sin ánimo de lucro y la multó con 37,7 M en 2023; la FTC la demandó por publicidad engañosa. Todo se ha ido cerrando: la multa se anuló en mayo de 2025, la FTC archivó en agosto de 2025, el qui tam se pactó en 35 M y el ED reconoció a GCU como sin ánimo de lucro el 15-dic-2025 [7, 10]. En julio de 2026 GCU y GCE firman un MSA nuevo hasta 2041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Grand Canyon College en Arizona.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por inversores privados (Significant Education); paso a universidad con ánimo de lucro.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(LOPE); Brian Mueller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universidad a GCU (sin ánimo de lucro); GCE pasa a ser su proveedor de servicios con el 60 % de la matrícula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Orbis Education (enfermería acelerada para otras universidades) por 361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GCU devuelve el préstamo de la compra; recompras de ≈ 1.400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Multa de 37,7 M USD del ED y demanda de la FTC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Multa anulada, FTC archivada, qui tam pactado en 35 M y GCU reconocida sin ánimo de lucro por el ED [7,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MSA modificado hasta 2041 sin rescisión por conveniencia; director financiero de baja; línea de crédito para recompras [4, 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Grand Canyon Education (GCE) es una empresa de servicios para universidades: hace por ellas el marketing, la captación y asesoría de alumnos, la gestión de las ayudas federales, la tecnología (plataforma Halo), el apoyo académico, la contratación de profesores y la operación de aulas y laboratorios [1]. Su gran cliente es Grand Canyon University (GCU), la universidad cristiana de Phoenix que GCE poseía hasta 2018 y vendió a una entidad sin ánimo de lucro: 121.921 alumnos en junio de 2026, 113.011 en línea [3]. Además presta servicios a 19 universidades, sobre todo en enfermería acelerada en 47 sedes híbridas con laboratorios cerca de hospitales [3, 9]. ≈ 2.700 empleados en su sede de Phoenix [1].</w:t>
      </w:r>
    </w:p>
    <w:p>
      <w:pPr>
        <w:pStyle w:val="Heading2"/>
      </w:pPr>
      <w:r>
        <w:t xml:space="preserve">Cómo gana dinero</w:t>
      </w:r>
    </w:p>
    <w:p>
      <w:pPr>
        <w:spacing w:after="100"/>
      </w:pPr>
      <w:r>
        <w:t xml:space="preserve">Cobra el 60 % de la matrícula y tasas académicas de GCU (desde julio de 2026, sin vivienda, comida ni deporte) y un porcentaje mayor en los programas de enfermería de los otros socios, cuyo ingreso por alumno es más de tres veces el de un alumno en línea de GCU [4, 9]. Los ingresos dependen del número de alumnos (+7,6 % en el 2T26) y apenas del precio: GCU congela matrículas y el ingreso por alumno baja algo por la mezcla [3]. Los costes son sobre todo personal de asesoría (88 M USD en el 2T26), marketing (60 M) y tecnología y servicios académicos (46 M), en buena parte fijos: el margen sube en el 1T y el 4T, con el campus lleno, y baja en verano (22 % en el 2T26 frente al 37 % previsto para el 4T) [3, 12]. Las sedes híbridas pierden dinero hasta llenarse y dan márgenes de más del 20 % llenas [9].</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a GCU</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socios (enfermería en sedes híbridas y programas en línea)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a GCU</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socios (enfermería en sedes híbridas y programas en línea)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extrema: GCU es el 89,5 % de los ingresos de 2025 y el 89,4 % del primer semestre de 2026; los otros 19 socios suman el 10 % [1, 4]. El MSA modificado y reformulado (firmado el 29-jul-2026, vigente desde el 1-jul) dura hasta el 30-jun-2041 con tres prórrogas automáticas de cinco años, quita a GCU el derecho a rescindir por conveniencia (antes, desde julio de 2025, pagando un año de comisiones), calcula la comisión como el 60 % de la matrícula y tasas académicas (sin vivienda, comida, deporte ni hotel), elimina el reembolso de costes académicos que pagaba la empresa y sustituye la indemnización por no renovar (el 50 % de un año) por 18 meses más de servicio [4]. Efecto: ≈ 20 M USD menos de ingresos al año y casi nada en el resultado [4]. El poder de precios no es de GCE sino de GCU, que congela la matrícula de grado presencial desde hace años; la comisión del 60 % es fija por contrato.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Alumnos de los socios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127.155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136.239 (dic-25)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126.231 en junio de 2026 (+7,6 %)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Alumnos en línea de GCU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104.856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113.011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matrículas en línea a un dígito bajo en el 2T26 [3,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Alumnos presenciales de GCU (verano)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8.579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semestre de primavera tuvo algo menos de alumnos tradicionales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Alumnos de las sedes híbridas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4.991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5.829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 sedes, al 60 % de capacidad [3,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GCU en los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89,4 % en el primer semestre de 2026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Acciones diluidas medias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26,1 M en circulación el 28-jul-2026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la educación superior en línea e híbrida de EE. UU. financiada en buena parte con ayudas federales (Title IV), donde GCE presta servicios a universidades a cambio de un porcentaje de la matrícula [1]. Se mide en alumnos: en otoño de 2021, ≈ 4,4 millones de alumnos de grado y ≈ 1,3 millones de posgrado estudiaban solo a distancia [11]. GCU, con 113.011 alumnos en línea en junio de 2026, tendría ≈ 2 % de ese total (estimación propia) [3]. No hay una cifra gratuita fiable en dólares del negocio de servicios a universidades (OPM): el 10-K solo dice que hay «docenas» de empresas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5,7 millones de alumnos de educación superior solo a distancia en EE. UU. (otoño de 2021: 4,4 M de grado y 1,3 M de posgrado) [11]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alumnos solo a distancia (otoñ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Adultos que estudian a distancia (posgrado, enfermería, educación)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40 % de los alumnos de posgrado estudiaba solo a distancia en 2021, frente al 33 % en 2019 [11]; GCU en línea +7,8 % en un año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Ayudas federales y límites de préstamos (OBBBA)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julio de 2026, límite de 100.000 USD de préstamo de posgrado y fin de los préstamos Grad PLUS para nuevos alumnos [1]; GCE dice que sus matrículas están por debajo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enfermeras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Sedes híbridas +16,8 % de alumnos; ingreso por alumno de enfermería más de tres veces el de uno en línea [3,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captar alumnos (búsqueda 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Mueller, el paso de las búsquedas a la IA reduce la eficiencia del marketing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Empleo y ciclo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matrícula de adultos sube cuando el paro sube; GCE creció en 2020 (+8,4 % de ingresos)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Universidades públicas con programas en línea baratos (Western Governors, Southern New Hampshire, Arizona State) y empresas de servicios; 2U quebró en 2024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GCU es el 89,5 % de los ingresos y renegoció el MSA en 2026 [4].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Plataformas de anuncios (Google, Meta) y personal; los costes de captación suben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regulatorias (Title IV, acreditación, retribución de captadores) y de escala; la IA abarata crear cursos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Certificados cortos, aprendizaje con IA y formación de empresas sustituyen parte de los títulos; Chegg ha perdido el 51 % de las ventas en un año [12].</w:t>
            </w:r>
          </w:p>
        </w:tc>
      </w:tr>
    </w:tbl>
    <w:p>
      <w:pPr>
        <w:spacing w:after="160" w:before="0"/>
      </w:pPr>
    </w:p>
    <w:p>
      <w:pPr>
        <w:pStyle w:val="Heading2"/>
      </w:pPr>
      <w:r>
        <w:t xml:space="preserve">Ciclo</w:t>
      </w:r>
    </w:p>
    <w:p>
      <w:pPr>
        <w:spacing w:after="100"/>
      </w:pPr>
      <w:r>
        <w:t xml:space="preserve">La educación de adultos es contracíclica: sube con el paro (2009, 2020) y frena con el pleno empleo. Con un paro bajo, GCU en línea crece un 7-8 % en alumnos, pero las nuevas matrículas en línea solo a un dígito bajo en el 2T26 [3, 9]. Lo que mueve el sector hoy es la regulación (OBBBA desde julio de 2026, prueba de ingresos de los titulados desde julio de 2027) más que el ciclo [1].</w:t>
      </w:r>
    </w:p>
    <w:p>
      <w:pPr>
        <w:pStyle w:val="Heading2"/>
      </w:pPr>
      <w:r>
        <w:t xml:space="preserve">Regulación</w:t>
      </w:r>
    </w:p>
    <w:p>
      <w:pPr>
        <w:spacing w:after="100"/>
      </w:pPr>
      <w:r>
        <w:t xml:space="preserve">La ley OBBBA (4-jul-2025) fija desde julio de 2026 límites de préstamo de posgrado (100.000 USD acumulados; 200.000 en profesionales), elimina el Grad PLUS para nuevos alumnos y crea la prueba «Do No Harm»: un programa pierde los préstamos federales si en dos de tres años sus titulados ganan menos que la mediana de referencia [1]. El comité de enero de 2026 acordó sustituir las reglas de empleo remunerado por esa prueba; si la norma final sale antes del 1-nov-2026, se aplicará desde el 1-jul-2027 [1]. El 15-dic-2025 el Departamento de Educación reconoció a GCU como entidad sin ánimo de lucro, con lo que deja de aplicarle la regla 90/10 [1, 10]. La prohibición de retribuir a los captadores por matrícula sigue en vigor; el reparto de ingresos con proveedores de servicios se permite por la excepción de servicios agrupados de 2011 [1].</w:t>
      </w:r>
    </w:p>
    <w:p>
      <w:pPr>
        <w:pStyle w:val="Heading2"/>
      </w:pPr>
      <w:r>
        <w:t xml:space="preserve">Tendencias y disrupción</w:t>
      </w:r>
    </w:p>
    <w:p>
      <w:pPr>
        <w:spacing w:after="100"/>
      </w:pPr>
      <w:r>
        <w:t xml:space="preserve">La educación en línea madura y se abarata: universidades públicas grandes ofrecen títulos en línea a bajo precio y la IA permite tutores y contenidos casi gratis. Los proveedores de servicios que vivían de captar alumnos con anuncios han sufrido (2U en quiebra en 2024; Coursera y Chegg hundidas por la IA) [1, 12]. GCE gana con la enfermería presencial (sedes híbridas con laboratorios), que la IA no sustituye, y con su propio equipo de captación; pierde si la IA reduce el valor percibido de un máster en línea en educación o empresa [9].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Proveedor de servicios de la mayor universidad cristiana privada de EE. UU. (GCU, ≈ 2 % de los alumnos solo a distancia, estimación propia) y de 19 socios en enfermería acelerada [3,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Strategic Education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Strategic Education (Capella, Strayer): universidades con ánimo de lucro en línea; crecimiento del 4-5 %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Perdoceo Education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PRDO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Perdoceo (Colorado Tech, AIU): en línea con ánimo de lucro; mucha caja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American Public Education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American Public Education (APUS, Rasmussen enfermería): competidor directo en enfermería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Laureate Education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LAUR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Laureate: universidades en México y Perú; no compite en EE. UU.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Western Governors y Southern New Hampshire University (sin ánimo de lucro)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mayores rivales en línea por número de alumnos, con matrículas bajas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Academic Partnerships / Wiley University Services, Noodle, Keypath (privadas)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Proveedores de servicios a universidades (OPM) que nombra el 10-K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Antiguos alumnos y empleadores (distritos escolares, hospitales) refieren alumnos, sin red propiamente dicha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GCU depende de la plataforma, el personal y los sistemas de GCE; el MSA llega a 2041 sin rescisión por conveniencia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marca es de GCU, no de GCE; la acreditación y el Title IV son de la universidad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del 28,3 % frente al 19 % de margen EBITDA de Strategic Education; escala de 136.000 alumnos [7,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fragmentado con rivales públicos baratos [1].</w:t>
            </w:r>
          </w:p>
        </w:tc>
      </w:tr>
    </w:tbl>
    <w:p>
      <w:pPr>
        <w:spacing w:after="160" w:before="0"/>
      </w:pPr>
    </w:p>
    <w:p>
      <w:pPr>
        <w:pStyle w:val="Heading2"/>
      </w:pPr>
      <w:r>
        <w:t xml:space="preserve">Amenazas</w:t>
      </w:r>
    </w:p>
    <w:p>
      <w:pPr>
        <w:spacing w:after="100"/>
      </w:pPr>
      <w:r>
        <w:t xml:space="preserve">Lo que más puede erosionarlo: (1) un deterioro de GCU (reputación, litigios de consumo sobre doctorados, prueba de ingresos de los titulados), porque GCE no tiene otro cliente de tamaño; (2) la IA, que abarata los títulos en línea y encarece la captación por búsqueda; (3) universidades públicas con títulos en línea a bajo precio; (4) la regulación de los proveedores de servicios (reparto de ingresos, retribución de captadores), que hoy es favorable pero ha cambiado con cada Gobierno [1, 9].</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2019-2025: ingresos </w:t>
      </w:r>
      <w:r>
        <w:rPr>
          <w:b/>
          <w:bCs/>
        </w:rPr>
        <w:t xml:space="preserve">6,0 %</w:t>
      </w:r>
      <w:r>
        <w:t xml:space="preserve">, EBITDA </w:t>
      </w:r>
      <w:r>
        <w:rPr>
          <w:b/>
          <w:bCs/>
        </w:rPr>
        <w:t xml:space="preserve">2,8 %</w:t>
      </w:r>
      <w:r>
        <w:t xml:space="preserve">, BPA </w:t>
      </w:r>
      <w:r>
        <w:rPr>
          <w:b/>
          <w:bCs/>
        </w:rPr>
        <w:t xml:space="preserve">6,2 %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por servicios pasaron de 778,6 M USD en 2019 a 1.106,1 M en 2025 (TCAC del 6,0 %), casi todo orgánico: matrículas de los socios +7,1 % en 2025 (136.239 alumnos) con ingreso por alumno plano [2]. GCU dio el 89,5 % de los ingresos en 2025 y el 89,4 % en el primer semestre de 2026 [1, 4]. El margen operativo cayó del 34,1 % de 2019 al 24,0 % de 2025 (28,3 % ajustado), por tres causas: desde 2022 ya no hay intereses del préstamo a GCU (49-56 M al año hasta 2021, que van debajo del resultado operativo), más gasto en captación y en las sedes híbridas de enfermería, que aún maduran, y en 2025 el acuerdo de 35 M del qui tam [2, 5, 7]. En 2026 la guía da un margen operativo del 28,0-28,2 % con ingresos de 1.165,3-1.172,3 M [3]. Años no comparables: 2019 (compra de Orbis) y 2025 (acuerdo judicial).</w:t>
      </w:r>
    </w:p>
    <w:p>
      <w:pPr>
        <w:pStyle w:val="Heading2"/>
      </w:pPr>
      <w:r>
        <w:t xml:space="preserve">Ajustes y partidas no recurrentes</w:t>
      </w:r>
    </w:p>
    <w:p>
      <w:pPr>
        <w:spacing w:after="100"/>
      </w:pPr>
      <w:r>
        <w:t xml:space="preserve">El BPA ajustado de la empresa excluye la amortización de intangibles de Orbis (0,23 USD por acción en 2025), el acuerdo del qui tam (35 M USD, 1,03 USD por acción, con un efecto fiscal del 17,4 % por partes no deducibles), arrendamientos y deterioros (2,4 M), indemnizaciones y pérdidas en bajas: 9,08 USD en 2025 frente a 7,71 GAAP, y 8,04 frente a 7,73 en 2024 [2]. El EBITDA ajustado (368,6 M en 2025) excluye además los pagos en acciones (13,6 M), las aportaciones a fundaciones escolares de Arizona en lugar del impuesto estatal (5,0 M) y los costes legales (40,5 M con el acuerdo) [2]. En este informe el EBITDA es EBIT + amortizaciones, con el acuerdo y los deterioros como no recurrentes, y los pagos en acciones como coste.</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EBITDA ajustado y BPA ajustado de la empresa [2, 3, 6]. En el 2T26 (30-jul-2026) los ingresos subieron un 6,7 % (264,0 M USD) con las matrículas de los socios +7,6 % (126.231) y el BPA ajustado fue de 1,81 USD, 0,14 por encima del consenso; el 1T26 dio 2,86 frente a 2,78 [3, 9]. La guía del 3T (BPA ajustado 1,74-1,78) quedó por debajo de los 1,83 que esperaba el mercado y la acción cayó un 5,8 % al día siguiente; la de 2026 es de 10,18-10,32 USD con ingresos de 1.165,3-1.172,3 M, ya con el MSA modificado (≈ 20 M menos de ingresos al año y efecto mínimo en el resultado) [3, 4]. En la conferencia, Mueller dijo que las nuevas matrículas en línea crecieron «a un dígito bajo» frente a una base exigente, que el segundo semestre irá «a un dígito medio-alto», que los nuevos límites de préstamos a posgrado «no han afectado a ninguno de nuestros programas» porque las matrículas están muy por debajo de lo que se puede pedir, y que el paso de las búsquedas a la IA «reduce la eficiencia del gasto en marketing»; la respuesta es captar con su propio equipo, que ya hace una parte creciente de los inicios [9]. Sedes híbridas: 47, al 60 % de capacidad, objetivo de 80, y 3-5 nuevas en 2027; facultad de Derecho en otoño de 2027 [9]. Los analistas preguntaron por el volumen de interesados con la IA generativa, los límites de préstamos y el margen de las sedes [9].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86"/>
        <w:gridCol w:w="1472"/>
        <w:gridCol w:w="1338"/>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(2019: Compra de Orbis Education (enero de 2019, 361 M USD): entran los programas de enfermería acelerada en sedes externas y 360 M de fondo de comercio e intangibles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de caja neta y casi sin capital circulante: cuentas a cobrar de 84,3 M USD al cierre de 2025 (34,2 M en junio, por la estacionalidad) y proveedores de 24,3 M [1, 3]. El patrimonio bajó de 1.574 M en 2020 a 670 M en junio de 2026 porque la empresa recompra acciones con todo el flujo libre y con la caja que devolvió GCU al cancelar su préstamo en 2021: 2.497 M USD de autocartera, 28,0 M de acciones [3]. Con la nueva línea de 100 M la empresa puede endeudarse por primera vez desde 2021 para seguir recomprando [8].</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1.724</w:t>
      </w:r>
      <w:r>
        <w:t xml:space="preserve">, conversión </w:t>
      </w:r>
      <w:r>
        <w:rPr>
          <w:b/>
          <w:bCs/>
        </w:rPr>
        <w:t xml:space="preserve">107 %</w:t>
      </w:r>
      <w:r>
        <w:t xml:space="preserve"> del beneficio neto; adquisiciones 361, dividendos 0, recompras 2.161.</w:t>
      </w:r>
    </w:p>
    <w:p>
      <w:pPr>
        <w:spacing w:after="100"/>
      </w:pPr>
      <w:r>
        <w:t xml:space="preserve">La conversión es alta: flujo operativo de 273,5 M USD en 2025 (290,0 en 2024) frente a un beneficio neto de 216,2 M, con un capex de 34,8 M (3,1 % de las ventas) [2]. El capex de mantenimiento es pequeño (tecnología y el edificio de Phoenix); el de crecimiento son las sedes híbridas de enfermería, que la empresa desarrolla y amueblan (3-5 sedes nuevas en 2027) [9]. Usos de la caja: recompras de 264,8 M en 2025, 173,2 M en 2024 y 803,8 M en 2021, tras cobrar el préstamo a GCU; ningún dividendo [1, 2]. En el primer semestre de 2026, 196,9 M de flujo operativo y 203,2 M de recompras [3].</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2025, también sobre el control interno; asunto clave de auditoría: los ingresos dependen de la información de matrícula y tasas de los socios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sencillas: un solo segmento, ingresos como porcentaje de la matrícula de los socios, sin deuda ni existencias [1]. Lo delicado es que los ingresos se calculan con datos de GCU (asunto clave de auditoría) y que el auditor revisa a la empresa, no a GCU [1]. El BPA ajustado excluye solo amortización de Orbis y partidas sueltas; los pagos en acciones (13,6 M USD, 1,2 % de las ventas) sí cuentan en el BPA ajustado [2]. El 21-ago-2026 el consejo apartó con sueldo al director financiero por una investigación del Gobierno sobre operaciones con acciones de la empresa de un tercero no empleado; la empresa dice que no hay problemas en sus cuentas y que no es el objetivo de la investigación [1]. Altman, Piotroski y Beneish se leen con normalidad: caja neta, recompras y crecimiento estable.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Director financiero apartado (investigación de operaciones de un tercero)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Daniel Bachus de baja con sueldo desde el 21-ago-2026; interina la directora de contabilidad, en la empresa desde 2008. Según la empresa, sin relación con las cuentas.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calculados con datos de un socio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89,5 % de los ingresos sale de la matrícula de GCU; el auditor lo trata como asunto clave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de consumo sobre los doctorados de GCU</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demandas abiertas sin provisión ni estimación de pérdida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Acuerdo del qui tam (35 M USD)</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Cerrado en 2025; el Departamento de Educación aceptó que el plan de retribución actual de los asesores de matrícula es legal [7].</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161 M en 2025 (el 35 % del capital invertido medio); ha subido más de un 5 % en 0 de 6 años: sin compras. ROIC publicado 51,9 %; sin fondo de comercio, 80,5 %. Sin compras relevantes: el publicado ya es el ROIC del negocio.</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10,4 %.</w:t>
      </w:r>
    </w:p>
    <w:p>
      <w:pPr>
        <w:spacing w:after="100"/>
      </w:pPr>
      <w:r>
        <w:t xml:space="preserve">El ROIC es muy alto y sube: 51,9 % en 2025 (NOPAT de 235 M sobre 453 M de capital invertido sin caja) y 80,5 % sin el fondo de comercio de Orbis, frente a un WACC del 10,39 %: ≈ +41 puntos. En 2019-2020 era del 15 % porque el capital incluía el préstamo a GCU (≈ 1.000 M); al cobrarlo y recomprar acciones, el capital bajó a menos de la mitad mientras el resultado operativo se mantenía [1]. Lo mueve el modelo de negocio: GCE no necesita aulas ni licencias propias (son de GCU), cobra un porcentaje de la matrícula y reinvierte poco (capex del 3-4 % de las ventas, circulante pequeño). La contrapartida es que el capital no es la barrera: la barrera es el contrato con GCU y su capacidad de captar alumnos con ayudas federales. Calidad: «Sí» (ROIC − WACC muy por encima de 5 puntos), con el matiz de que el rendimiento depende de un solo cliente.</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sin restricciones de 274,5 M USD a 30-jun-2026 (300,1 M a 31-dic-2025), sin deuda financiera [3]. El 28-sep-2026 firmó una línea revolving garantizada de 100 M USD a cinco años (SOFR + 1,50-2,00 %), ampliable a 200 M, para financiar recompras; covenants: deuda ≤ 2 veces el EBITDA, cobertura de cargos fijos ≥ 1,10 e inversión ≤ 50 M al año; es causa de vencimiento anticipado un cambio o incumplimiento del MSA con GCU que suponga un cambio material adverso [8].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Arrendamientos operativos de 104,2 M USD a 30-jun-2026 (sedes híbridas y oficinas), fuera del puente por US GAAP [3]. Litigios abiertos sin provisión: dos demandas colectivas (Smith y Wang, RICO y consumo, con petición de certificación de clase; Ogdon, RICO y consumo en Nueva York, que incluye al consejero delegado, al director de operaciones y al director financiero) y la demanda de ≈ 300 alumnos de Valerio en Arizona, todas sobre la información del coste y la duración de los doctorados de GCU [4]. El qui tam de Mackillop se cerró con un pago de 35 M USD en 2025 [7]. Sin pensiones ni deuda asimilada.</w:t>
      </w:r>
    </w:p>
    <w:p>
      <w:pPr>
        <w:pStyle w:val="Heading1"/>
      </w:pPr>
      <w:r>
        <w:t xml:space="preserve">12. Asignación de capital</w:t>
      </w:r>
    </w:p>
    <w:p>
      <w:pPr>
        <w:pStyle w:val="Confianza"/>
        <w:spacing w:after="100"/>
      </w:pPr>
      <w:r>
        <w:t xml:space="preserve">Confianza: Alta</w:t>
      </w:r>
    </w:p>
    <w:p>
      <w:pPr>
        <w:spacing w:after="100"/>
      </w:pPr>
      <w:r>
        <w:t xml:space="preserve">Sin dividendo. Toda la caja libre va a recompras: 2.545 M USD autorizados desde el inicio del programa (300 M más en diciembre de 2025, vigentes hasta el 1-mar-2027), 148,7 M disponibles a 30-jun-2026 y 124,1 M el 30-jul-2026 [4, 9, 10]. El consejo dice que la acción está «materialmente infravalorada» y en septiembre firmó una línea de 100 M para seguir recomprando [8, 9]. Prioridades: abrir sedes híbridas (objetivo 80), servicios a nuevos socios y la facultad de Derecho de GCU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Orbis Education (programas de enfermería acelerada con universidades en sedes externas)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línea de crédito (devuelta en 2021)</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las 47 sedes híbridas; el ingreso por alumno de enfermería es más de tres veces el de un alumno en línea, pero las sedes aún están al 60 % [1,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la universidad (GCU) a una entidad sin ánimo de lucro y MSA de servicios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Préstamo garantizado a GCU, cobrado en 2021</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Convirtió a la empresa en proveedora de servicios con el 60 % de los ingresos de GCU; el préstamo cobrado pagó 1.400 M de recompras en 2021-2022 [5].</w:t>
            </w:r>
          </w:p>
        </w:tc>
      </w:tr>
    </w:tbl>
    <w:p>
      <w:pPr>
        <w:spacing w:after="160" w:before="0"/>
      </w:pPr>
    </w:p>
    <w:p>
      <w:pPr>
        <w:spacing w:after="100"/>
      </w:pPr>
      <w:r>
        <w:t xml:space="preserve">Asignación disciplinada y concentrada en recompras: las acciones diluidas bajaron de 48,3 M en 2019 a 28,0 M en 2025 (−8,7 % al año) y a 26,2 M en el 2T26, con lo que el BPA ajustado creció un 8,6 % anual (5,48 a 9,08 USD) con un beneficio casi plano [2, 3, 5]. El único gran uso alternativo fue Orbis (361 M en 2019), que ha crecido pero aún no da el margen del resto. El riesgo de esta política es que se recompra a cualquier precio: en 2021-2022 se pagaron 1.400 M a 85-105 USD por acción, y ahora la empresa empieza a endeudarse para recomprar [8].</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E. Mueller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consejero delegado (y presidente de GCU)</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2008 y presidente del consejo desde 2017; antes presidió Apollo (University of Phoenix). Llevó a GCU de ≈ 1.000 alumnos presenciales a 121.921 alumnos y diseñó la venta de 2018; es a la vez presidente de GCU, lo que el 10-K señala como riesgo [13].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Lori Browning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interina (directora de contabilidad)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2008 y directora de contabilidad desde 2019; interina desde el 21-ago-2026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E. Bachus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 baja administrativa con sueldo desde el 21-ago-2026)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2008; apartado por una investigación del Gobierno sobre operaciones con acciones de la empresa de un tercero no empleado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 Stan Meyer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las operaciones de servicios; demandado junto a Mueller y Bachus en el caso Ogdon [4, 13].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Dilek Marsh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de sistemas y de tecnología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de tecnología desde 2021; asume sistemas en febrero de 2026 tras la salida de Kathy Claypatch [18].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905-930 M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911,3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939-965 M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960,9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7,39-7,91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8,43-8,82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9,08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9,79-10,40 USD (feb-26); 10,18-10,32 (jul-26)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(4,69 en el primer semestre)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muy estable y creíble en cifras: ha cumplido o superado la guía anual en 2022-2025 [2]. El punto débil es la persona clave: Mueller dirige a la vez GCE y GCU (su gran cliente), lo que crea un conflicto que el 10-K reconoce y una dependencia de un consejero delegado de 70 años sin sucesor anunciado [13]. En 2025-2026 se han movido piezas: salida de la directora de sistemas (octubre de 2025), dimisión del presidente de la comisión de auditoría (junio de 2026) y baja del director financiero por una investigación ajena a las cuentas (agosto de 2026) [15, 16, 18].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E. Mueller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Sara R. Ward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coordinadora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Lisa Graham Keegan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Chevy Humphrey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(presidenta de Auditoría desde junio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Kevin F. Warren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(presidente de Remuneración desde junio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(presidente)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2025, también sobre el control interno; asunto clave de auditoría: los ingresos dependen de la información de matrícula y tasas de los socios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0,10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Proxy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Proxy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Riverbridge Partners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Proxy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(9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Mueller 1,1 %; ventas de 0,1 M USD en 12 meses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28,0 M de 54,3 M de acciones emitidas a 30-jun-2026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1"/>
        <w:gridCol w:w="3381"/>
        <w:gridCol w:w="1521"/>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Chevy Humphrey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0,48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es baja para el tamaño: el consejero delegado cobró 2,02 M USD en 2025, 32,5 veces el empleado mediano (62.115 USD) [13]. El variable anual se fija con objetivos de ingresos y EBITDA ajustado (50 % cada uno) y objetivos personales; Mueller cobró 0,48 M de bonus [13]. No hay métricas de rentabilidad del capital ni de rentabilidad para el accionista en el variable. Cláusula de recuperación conforme a la norma 10D-1 desde 2023 [13]. En la junta de 2026 la remuneración tuvo un 97,2 % a favor; se aprobó un nuevo plan de acciones de 2026 [14].</w:t>
      </w:r>
    </w:p>
    <w:p>
      <w:pPr>
        <w:pStyle w:val="Heading2"/>
      </w:pPr>
      <w:r>
        <w:t xml:space="preserve">Operaciones vinculadas, estructura de control y defensas</w:t>
      </w:r>
    </w:p>
    <w:p>
      <w:pPr>
        <w:spacing w:after="100"/>
      </w:pPr>
      <w:r>
        <w:t xml:space="preserve">Sin accionista de control: los mayores son BlackRock (9,7 %), Fidelity (6,7 %) y Riverbridge (5,4 %) [13]. Una acción, un voto; consejo de cinco miembros elegido cada año, cuatro independientes, con consejero coordinador [13, 14]. La operación vinculada que importa es la relación con GCU: Mueller es a la vez consejero delegado de GCE y presidente de GCU, la universidad que paga el 89,5 % de los ingresos y que acaba de renegociar el MSA; el consejo de GCU es independiente de GCE [13].</w:t>
      </w:r>
    </w:p>
    <w:p>
      <w:pPr>
        <w:pStyle w:val="Heading2"/>
      </w:pPr>
      <w:r>
        <w:t xml:space="preserve">Señales de alerta</w:t>
      </w:r>
    </w:p>
    <w:p>
      <w:pPr>
        <w:pStyle w:val="ListParagraph"/>
        <w:numPr>
          <w:ilvl w:val="0"/>
          <w:numId w:val="2"/>
        </w:numPr>
        <w:spacing w:after="60"/>
      </w:pPr>
      <w:r>
        <w:t xml:space="preserve">Director financiero de baja administrativa desde el 21-ago-2026 por una investigación del Gobierno sobre operaciones con acciones de la empresa de un tercero no empleado; la empresa dice que no es el objetivo y que no afecta a sus cuentas [15].</w:t>
      </w:r>
    </w:p>
    <w:p>
      <w:pPr>
        <w:pStyle w:val="ListParagraph"/>
        <w:numPr>
          <w:ilvl w:val="0"/>
          <w:numId w:val="2"/>
        </w:numPr>
        <w:spacing w:after="60"/>
      </w:pPr>
      <w:r>
        <w:t xml:space="preserve">Mueller preside GCU y es consejero delegado de GCE: conflicto de intereses en la negociación del MSA (renegociado en julio de 2026) [13].</w:t>
      </w:r>
    </w:p>
    <w:p>
      <w:pPr>
        <w:pStyle w:val="ListParagraph"/>
        <w:numPr>
          <w:ilvl w:val="0"/>
          <w:numId w:val="2"/>
        </w:numPr>
        <w:spacing w:after="60"/>
      </w:pPr>
      <w:r>
        <w:t xml:space="preserve">Dimisión del presidente de la comisión de auditoría (Jack Henry, consejero desde 2008) en junio de 2026 [16].</w:t>
      </w:r>
    </w:p>
    <w:p>
      <w:pPr>
        <w:pStyle w:val="ListParagraph"/>
        <w:numPr>
          <w:ilvl w:val="0"/>
          <w:numId w:val="2"/>
        </w:numPr>
        <w:spacing w:after="60"/>
      </w:pPr>
      <w:r>
        <w:t xml:space="preserve">Demandas colectivas y de ≈ 300 alumnos por la información de los doctorados de GCU, sin provisión; la FTC archivó la suya en agosto de 2025 [4, 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(30-jul-2026, con el MSA modificado): ingresos de 1.165,3-1.172,3 M USD, margen operativo del 28,0-28,2 %, tipo del 23,2 %, 26,1 M de acciones y BPA ajustado de 10,18-10,32 USD (GAAP 9,93-10,07); 3T: ingresos 268,5-270,5 M y BPA ajustado 1,74-1,78; 4T: 324,0-329,0 M y 3,75-3,85 [3]. La guía inicial de febrero era de 9,79-10,40 USD con ingresos de 1.167,5-1.189,0 M [2]. La empresa no da objetivos a medio plazo; Mueller habla de un crecimiento en línea del 6-7 % anual y de sedes híbridas creciendo «a dos dígitos»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3 analistas [20]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3 analistas [20]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194,00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182,00 – 200,00</w:t>
            </w:r>
          </w:p>
        </w:tc>
      </w:tr>
    </w:tbl>
    <w:p>
      <w:pPr>
        <w:spacing w:after="160" w:before="0"/>
      </w:pPr>
    </w:p>
    <w:p>
      <w:pPr>
        <w:pStyle w:val="Heading2"/>
      </w:pPr>
      <w:r>
        <w:t xml:space="preserve">Revisiones de estimaciones</w:t>
      </w:r>
    </w:p>
    <w:p>
      <w:pPr>
        <w:spacing w:after="100"/>
      </w:pPr>
      <w:r>
        <w:t xml:space="preserve">Cobertura escasa: tres analistas en Yahoo, los tres con compra [20]. El BPA de 2026 del consenso subió de 10,07 USD hace 90 días a 10,21 y el de 2027 de 11,16 a 11,31, tras batir en el 2T [20]. Los objetivos bajan: BMO de 198 a 185 USD en julio y a 182 el 17-oct-2026; objetivo medio de 194 USD (182-200) [20, 23, 26]. El consenso del 3T (1,76 USD) quedó en la guía tras recortar desde 1,82-1,83 [9, 20]. Sin consenso gratuito de 2028.</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bl>
    <w:p>
      <w:pPr>
        <w:spacing w:after="160" w:before="0"/>
      </w:pPr>
    </w:p>
    <w:p>
      <w:pPr>
        <w:spacing w:after="100"/>
      </w:pPr>
      <w:r>
        <w:t xml:space="preserve">La acción se ha quedado atrás del índice en uno y tres años: −23,8 % en 12 meses frente al +15,4 % del S&amp;P 500, y +11,8 % anual en tres años frente al +23,6 % [19]. Cayó un 38 % entre el máximo de octubre de 2025 (223 USD) y el mínimo de julio de 2026 (134 USD) con el BPA ajustado creciendo un 12-14 %: el ajuste es de múltiplo, del ≈ 22 veces el BPA adelantado a ≈ 15 [19, 20]. La causa: el acuerdo del qui tam y una guía de 2026 que crecía menos, el MSA modificado con GCU (menos ingresos) y, sobre todo, el miedo a que la IA y los límites de préstamo frenen la educación en línea, que ha arrastrado a todo el sector (Stride a 8,7 veces, Strategic Education a 9,6) [20, 24, 25]. Beta baja (0,65 mensual a cinco años; 0,77 ajustada) y volatilidad del 32 %.</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 / +17,2 % / -7,2 % / -22,2 %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-26,5 % / +18,6 %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oct-nov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31-oct-2025 (−8,9 %), tras el 8-K que anunció el acuerdo de 35 M USD del qui tam, y el 6-nov (−6,3 %), tras unos resultados del 3T con el beneficio GAAP hundido por el acuerdo y una guía del 4T moderada [7,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Caídas del 3-feb (−6,1 %) y del 11-feb (−5,5 %) con el sector de educación y software por el miedo a la IA (causa concreta de LOPE no encontrada en tres búsquedas), y del 19-feb (−7,9 %) por la guía de 2026 (ingresos +5,6-7,5 %, con el 1T por debajo de lo esperado) [2,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Carta de intenciones para modificar el MSA con GCU (3-jun): 10 M USD menos de ingresos en el segundo semestre y fin de la indemnización por rescisión; y caída del sector de educación del 15-jul [24,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desde el mínimo del 22-jul (134,27 USD) ante los resultados del 2T; el 30-jul cayó un 5,8 % por la guía del 3T por debajo del consenso (1,74-1,78 frente a 1,83) [3, 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de tres meses pese a la baja del director financiero (21-ago): recompras, la línea de 100 M para recomprar (1-oct) y artículos que defienden que los fundamentales «calman» el miedo a la IA [8, 15,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BMO baja el objetivo a 182 USD (desde 185) y mantiene la recomendación de compra; objetivo medio de tres analistas de 194 USD [20,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Línea revolving de 100 M USD a cinco años para recompras; vence anticipadamente si un cambio o incumplimiento del MSA con GCU supone un cambio material adverso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 baja administrativa por una investigación del Gobierno sobre operaciones con acciones de la empresa de un tercero no empleado; la empresa dice que no es el objetivo ni afecta a las cuentas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MSA modificado y reformulado con GCU hasta 2041, sin rescisión por conveniencia y ≈ 20 M USD menos de ingresos al año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Entran en vigor los límites de préstamo de posgrado de la OBBBA; la prueba de ingresos de los titulados se aplicaría desde el 1-jul-2027 si la norma final sale antes del 1-nov-2026 [9].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Departamento de Educación reconoce a GCU como entidad sin ánimo de lucro; la FTC había archivado su demanda en agosto de 2025 y el Departamento retiró la multa de 37,7 M a GCU en mayo de 2025 [7].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Única operación de directivos en 12 meses: venta de 0,1 M USD de una consejera; ninguna compra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2026-11-04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y perspectivas el 4-nov-2026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un 26,5 % por debajo de su máximo de 52 semanas y un 18,6 % por encima del mínimo de julio, en tendencia lateral (2,5 % sobre la media de 200 sesiones); no salta ningún aviso P de la herramienta. Las caídas tienen causas conocidas (acuerdo judicial, guía, MSA, miedo sectorial a la IA) que el informe recoge en los escenarios; solo las de principios de febrero no tienen una causa propia encontrada. No hay colocaciones, ampliaciones ni decisiones judiciales o regulatorias con fecha que puedan mover el precio más de un 5 % en contra: la norma final de la prueba de ingresos no tiene fecha y los litigios no tienen juicio fijado. La investigación que afecta al director financiero no tiene fecha y la empresa dice no ser el objetivo. Los resultados del 4-nov no retrasan nada (regla 11).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Precio de cierre de cada año de Yahoo [19]. Con el BPA ajustado del año siguiente (la base de la regla a 12 meses), el PER adelantado osciló entre 14,4 veces (cierre de 2021, con la duda del estatus de GCU y la FTC) y 18,0 (cierre de 2024); hoy está en ≈ 15 con nuestro BPA de 2027. El mercado ha bajado el múltiplo a todo el sector por la IA y los límites de préstamo: Strategic Education cotiza a 9,6 veces, Perdoceo a 10,2 y Stride a 8,7 [20]. La prima de LOPE sobre ellos se apoya en su margen y en la ausencia de riesgo regulatorio directo (no participa en el Title IV), pero su dependencia de GCU es mayor.</w:t>
      </w:r>
    </w:p>
    <w:p>
      <w:pPr>
        <w:pStyle w:val="Heading1"/>
      </w:pPr>
      <w:r>
        <w:t xml:space="preserve">18. Comparables cotizados</w:t>
      </w:r>
    </w:p>
    <w:p>
      <w:pPr>
        <w:pStyle w:val="Confianza"/>
        <w:spacing w:after="100"/>
      </w:pPr>
      <w:r>
        <w:t xml:space="preserve">Confianza: Media</w:t>
      </w:r>
    </w:p>
    <w:p>
      <w:pPr>
        <w:spacing w:after="100"/>
      </w:pPr>
      <w:r>
        <w:t xml:space="preserve">Cotizadas de educación superior y técnica de EE. UU. con beneficio: Strategic Education, Perdoceo y American Public Education (universidades en línea con ánimo de lucro), Universal Technical y Lincoln (formación técnica), Stride (escuelas en línea), Laureate (universidades en Latinoamérica) y Graham (Kaplan) [20]. Ninguna es un proveedor de servicios puro como GCE: 2U quebró en 2024 y las demás OPM no cotizan. Fuera Coursera y Chegg (sin beneficio o con el negocio hundido por la IA) y Adtalem (Yahoo no dio datos). La mediana mezcla negocios desrateados (8-10 veces) con técnicos en auge (21-22 veces).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Grand Canyon Education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Strategic Education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Perdoceo Education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American Public Education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Laureate Education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Stride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Universal Technical Institute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Graham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Lincoln Educational Services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 / 9,1x / 12,1x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 / 14,6x / 18,8x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 / 1,4x / 1,6x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81,17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-54,6 %</w:t>
            </w:r>
          </w:p>
        </w:tc>
      </w:tr>
    </w:tbl>
    <w:p>
      <w:pPr>
        <w:spacing w:after="160" w:before="0"/>
      </w:pPr>
    </w:p>
    <w:p>
      <w:pPr>
        <w:spacing w:after="100"/>
      </w:pPr>
      <w:r>
        <w:t xml:space="preserve">GCE cotiza a 14,3 veces el BPA de 2027 del consenso (Yahoo), por encima de la mediana de los comparables (14,7) y muy por encima de las universidades en línea con ánimo de lucro (Strategic Education 9,6, Perdoceo 10,2) [20]. La prima se explica por el margen (EBITDA del 31 % frente al 19-29 %), el crecimiento de alumnos (7 %) y porque GCE no arriesga directamente el Title IV; el descuento frente a las técnicas (UTI, Lincoln: 21-22 veces) refleja que esas crecen al 7-22 % con la demanda de oficios que la IA no sustituye. Múltiplo de referencia: la mediana, que el motor usa en el alcista.</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7"/>
        <w:gridCol w:w="1780"/>
        <w:gridCol w:w="1676"/>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2019-01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Orbis Education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Canyon Education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 en caja del estado de flujos de 2019; sin EBITDA publicado [19].</w:t>
            </w:r>
          </w:p>
        </w:tc>
      </w:tr>
    </w:tbl>
    <w:p>
      <w:pPr>
        <w:spacing w:after="160" w:before="0"/>
      </w:pPr>
    </w:p>
    <w:p>
      <w:pPr>
        <w:spacing w:after="160" w:before="0"/>
      </w:pPr>
    </w:p>
    <w:p>
      <w:pPr>
        <w:spacing w:after="100"/>
      </w:pPr>
      <w:r>
        <w:t xml:space="preserve">No hay transacciones comparables con múltiplos publicados en fuente primaria: las compras del sector de servicios a universidades (Wiley University Services por Academic Partnerships en 2023, edX y Trilogy por 2U) se hicieron con cifras parciales y 2U acabó en quiebra. Con 4.200 M USD de capitalización, caja neta y sin accionista de control, GCE podría interesar a un fondo, pero la dependencia de GCU (que tendría que aceptar al nuevo dueño en la práctica) hace poco probable una oferta.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(+5,7 %, fijo) es el centro de la guía (1.165,3-1.172,3 M [3]), ya con medio año del MSA nuevo (≈ −20 M de ingresos al año sin efecto en el resultado operativo [4]). Después +5,5 % en 2027e-2028e (consenso de 2027: +6,1 % [20]) y descenso hasta el 3,0 % en 2033e: por debajo del 6,0 % anual de 2019-2025 porque las nuevas matrículas en línea crecen ya a un dígito bajo [9], el MSA resta un punto en 2027 y los topes de préstamos de posgrado (OBBBA) frenan los programas caros. Lo empujan las sedes híbridas de enfermería (47 al 60 % de capacidad, objetivo 80 %, 3-5 nuevas en 2027) y la facultad de Derecho en 2027 [9].</w:t>
      </w:r>
    </w:p>
    <w:p>
      <w:pPr>
        <w:keepNext/>
        <w:spacing w:after="100"/>
      </w:pPr>
      <w:r>
        <w:rPr>
          <w:b/>
          <w:bCs/>
        </w:rPr>
        <w:t xml:space="preserve">Márgenes.</w:t>
      </w:r>
    </w:p>
    <w:p>
      <w:pPr>
        <w:spacing w:after="100"/>
      </w:pPr>
      <w:r>
        <w:t xml:space="preserve">Margen EBITDA (con pagos en acciones como coste y sin acuerdos judiciales) del 31,7 % en 2026e, calibrado con la guía de margen operativo GAAP (28,0-28,2 %) [3], hasta el 33,0 % en 2030e. La subida (1,3 puntos) es menor que la diferencia con 2019 (37 % de EBITDA) y viene del MSA (menos ingresos sin menos resultado), de la maduración de las sedes híbridas y del apalancamiento de costes fijos; la eficiencia del marketing empeora por la IA y la limita [9].</w:t>
      </w:r>
    </w:p>
    <w:p>
      <w:pPr>
        <w:keepNext/>
        <w:spacing w:after="100"/>
      </w:pPr>
      <w:r>
        <w:rPr>
          <w:b/>
          <w:bCs/>
        </w:rPr>
        <w:t xml:space="preserve">Inversión y circulante.</w:t>
      </w:r>
    </w:p>
    <w:p>
      <w:pPr>
        <w:spacing w:after="100"/>
      </w:pPr>
      <w:r>
        <w:t xml:space="preserve">Inversión del 3,3-3,6 % de las ventas (34,8 M en 2025 = 3,1 % [1]): sedes híbridas y tecnología; amortización del 3,6 % (39,6 M en 2025, con 8,4 M de Orbis). Circulante del 5,4 % de las ventas (clientes − proveedores; con los demás pasivos corrientes sería ≈ −1 %): prudente. No hay compras previstas.</w:t>
      </w:r>
    </w:p>
    <w:p>
      <w:pPr>
        <w:keepNext/>
        <w:spacing w:after="100"/>
      </w:pPr>
      <w:r>
        <w:rPr>
          <w:b/>
          <w:bCs/>
        </w:rPr>
        <w:t xml:space="preserve">Coste del capital.</w:t>
      </w:r>
    </w:p>
    <w:p>
      <w:pPr>
        <w:spacing w:after="100"/>
      </w:pPr>
      <w:r>
        <w:t xml:space="preserve">Tasa libre del 5,15 % (Tesoro a 10 años, 19-oct-2026 [21]); beta de 0,77 (mensual ajustada a 5 años [19]); prima del 5,5 % y 1 punto de prima adicional por el riesgo que la beta no ve: un cliente da el 89 % de los ingresos y todo depende de las ayudas federales al estudio. Sin deuda. WACC del 10,39 %. Con la prima implícita del mercado (4,2 % [22]) y la misma prima adicional, el WACC baja al 9,38 % y el DCF sube a 178,82 USD.</w:t>
      </w:r>
    </w:p>
    <w:p>
      <w:pPr>
        <w:keepNext/>
        <w:spacing w:after="100"/>
      </w:pPr>
      <w:r>
        <w:rPr>
          <w:b/>
          <w:bCs/>
        </w:rPr>
        <w:t xml:space="preserve">Valor terminal.</w:t>
      </w:r>
    </w:p>
    <w:p>
      <w:pPr>
        <w:spacing w:after="100"/>
      </w:pPr>
      <w:r>
        <w:t xml:space="preserve">Crecimiento a perpetuidad del 2,5 %, por debajo de la inflación más el crecimiento de la población adulta que estudia: es un negocio maduro en una regulación que puede cambiar. El múltiplo implícito (8,8 veces el EBITDA) queda por debajo de las 11,1 veces a las que cotiza hoy. El valor terminal pesa el 59 %.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151,14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184,71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M (1 %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 (reinvierte el 17 %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frente al 4,6 %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16 M, el 1 % del NOPAT, con un capex bruto medio del 3,5 % de las ventas). En un negocio de activos ligeros, el crecimiento medio del 4,6 %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Matrículas de los socios +6-7 % (GCU en línea, Orbis), precio casi plano (GCU no sube la matrícula del campus desde 2008) y −1,3 puntos del MSA nuevo desde julio (comisiones solo sobre matrícula y tasas académicas, sin reembolso académico) [3,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+5,5 % (sedes híbridas, Derecho, en línea a un dígito bajo); el MSA resta otro medio punto al cumplir el año completo.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+5 % y precio +0,5 %; primer año completo de las reglas de ganancias profesionales («Do No Harm»).</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+4,5 %: madurez de las sedes abiertas en 2025-2027.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+4 %, convergiendo con el crecimiento de los adultos que estudian a distancia.</w:t>
            </w:r>
          </w:p>
        </w:tc>
      </w:tr>
    </w:tbl>
    <w:p>
      <w:pPr>
        <w:spacing w:after="160" w:before="0"/>
      </w:pPr>
    </w:p>
    <w:p>
      <w:pPr>
        <w:spacing w:after="100"/>
      </w:pPr>
      <w:r>
        <w:t xml:space="preserve">El crecimiento proyectado (4,6 % medio en 2026e-2033e) está por debajo del histórico (6,0 % en 2019-2025) y casi no necesita capital: el ROIC (51,9 %) permite financiar un 8,7 % anual con la reinversión actual, y el motor da también «Sí». No hay tamaño en dólares del mercado (los datos del NCES están en alumnos: ≈ 5,7 millones solo a distancia en 2021 [11]); con ≈ 2 % de cuota estimada, crecer al 4-5 % no exige ganar cuota de forma visible. El riesgo para el crecimiento no es de capital sino de regulación y de captación: un cambio en las ayudas federales o en las reglas de ganancias, o un coste de captación que sube con la IA, lo recoge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 (base: 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33,9 % (base: 33,0 %)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 (WACC: 10,4 %)</w:t>
            </w:r>
          </w:p>
        </w:tc>
      </w:tr>
    </w:tbl>
    <w:p>
      <w:pPr>
        <w:spacing w:after="160" w:before="0"/>
      </w:pPr>
    </w:p>
    <w:p>
      <w:pPr>
        <w:spacing w:after="100"/>
      </w:pPr>
      <w:r>
        <w:t xml:space="preserve">El DCF da 157,60 USD por acción, un 2,8 % por debajo del precio, con un WACC del 10,39 % y un valor terminal del 59 %. El DCF inverso dice que el precio descuenta un crecimiento del 5,0 % anual con nuestros márgenes, frente al 4,4 % de nuestro caso base: el mercado espera algo más de lo que proyectamos. Con la prima de riesgo que pide hoy el mercado (4,2 %) vale 178,82 USD (+10,3 %); la diferencia la hace la prima adicional de un punto por el riesgo de cliente único y regulación, que mantenemos en los dos cálculos. El bajista (crecimiento −3 puntos y margen −2 puntos: menos alumnos por regulación o IA) vale 117,61 USD (−27,5 %).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topes de préstamos de posgrado y las reglas de ganancias profesionales recortan programas caros de GCU (doctorados, máster de educación); la IA abarata la educación en línea y encarece la captación de alumnos; una demanda colectiva o un nuevo frente regulatorio pesa sobre la marca. Crecimiento 3 puntos menor y margen 2 puntos menor; WACC +0,5.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5-5,5 % con sedes híbridas, enfermería y Derecho, margen EBITDA que sube del 31,7 % al 33 % y el MSA hasta 2041 sin cambios.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173,77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sedes híbridas llegan al 80 % de capacidad, GCU sin ánimo de lucro capta más alumnos y Orbis suma socios: 1,5 puntos más de crecimiento y 0,8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USD) · precio actual 162,1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151,65 USD (-6,5 %).</w:t>
      </w:r>
    </w:p>
    <w:p>
      <w:pPr>
        <w:spacing w:after="100"/>
      </w:pPr>
      <w:r>
        <w:t xml:space="preserve">La asimetría del DCF es desfavorable: el alcista vale 173,77 USD (+7,2 %) y el bajista 117,61 (−27,5 %). El margen ya es alto y la prima adicional del WACC ya recoge el riesgo, pero el bajista de regulación tiene más recorrido que el alcista de ejecución. Ponderado: 151,65 USD, un 6,5 % por debajo del precio.</w:t>
      </w:r>
    </w:p>
    <w:p>
      <w:pPr>
        <w:pStyle w:val="Heading1"/>
      </w:pPr>
      <w:r>
        <w:t xml:space="preserve">22. Suma de partes</w:t>
      </w:r>
    </w:p>
    <w:p>
      <w:pPr>
        <w:pStyle w:val="Confianza"/>
        <w:spacing w:after="100"/>
      </w:pPr>
      <w:r>
        <w:t xml:space="preserve">Confianza: Alta</w:t>
      </w:r>
    </w:p>
    <w:p>
      <w:pPr>
        <w:spacing w:after="100"/>
      </w:pPr>
      <w:r>
        <w:t xml:space="preserve">No aplica: un solo segmento (servicios de educación a universidades socias), con GCU como el 89 % de los ingresos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USD) · precio actual 162,1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162,92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155,71 USD (-3,9 % sobre 162,11).</w:t>
      </w:r>
    </w:p>
    <w:p>
      <w:pPr>
        <w:spacing w:after="100"/>
      </w:pPr>
      <w:r>
        <w:t xml:space="preserve">Pesos: DCF 50 %, escenarios 40 % y comparables 10 %. El DCF es el método más fiable para un negocio sin deuda con flujo estable, pero depende de la prima por cliente único. Los comparables pesan poco porque ninguno tiene el mismo modelo (universidades propias con ánimo de lucro, colegios en línea, escuelas técnicas) y la mediana de su PER (14,7 veces) es muy parecida a la de LOPE (14,6). Las transacciones no pesan: la única es la propia compra de Orbis (2019). El valor objetivo de la síntesis es de 155,71 USD (−3,9 %); el rango del DCF con ± 0,5 puntos de WACC y de crecimiento (144-175) contiene 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(14.6x) a mitad de camino hacia la mediana de 5 años (16.3x)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203,59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+25,6 %</w:t>
            </w:r>
          </w:p>
        </w:tc>
      </w:tr>
    </w:tbl>
    <w:p>
      <w:pPr>
        <w:spacing w:after="160" w:before="0"/>
      </w:pPr>
    </w:p>
    <w:p>
      <w:pPr>
        <w:spacing w:after="100"/>
      </w:pPr>
      <w:r>
        <w:rPr>
          <w:b/>
          <w:bCs/>
        </w:rPr>
        <w:t xml:space="preserve">Objetivo a 12 meses (ponderado):</w:t>
      </w:r>
      <w:r>
        <w:t xml:space="preserve"> 174,26 USD · rentabilidad +7,5 % (base +12,5 %) · señal Mantener.</w:t>
      </w:r>
    </w:p>
    <w:p>
      <w:pPr>
        <w:spacing w:after="100"/>
      </w:pPr>
      <w:r>
        <w:t xml:space="preserve">Para comparar, con la regla v2 (historia al cierre, mismo precio): 14,3x / 14,6x / 17,7x, 10,5 %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ajustado de 2026e (10,20 USD) coincide con el consenso (10,21) y con la guía (10,18-10,32) [3, 20]; el de 2027e (11,10) queda un 1,9 % por debajo del consenso (11,31) porque no incluimos recompras no anunciadas (quedan 124 M de autorización hasta el 1-mar-2027 y una línea de 100 M para recomprar [4, 8]; cada 100 M recomprados a este precio suman ≈ 2,4 % al BPA). La distancia con el objetivo medio de los tres analistas (194 USD, todos con compra) está en el múltiplo y en las recompras: a 16-17 veces el BPA de 2027 con recompras se llega a 190-195.</w:t>
      </w:r>
    </w:p>
    <w:p>
      <w:pPr>
        <w:keepNext/>
        <w:spacing w:after="100"/>
      </w:pPr>
      <w:r>
        <w:rPr>
          <w:b/>
          <w:bCs/>
        </w:rPr>
        <w:t xml:space="preserve">Del valor intrínseco al objetivo a 12 meses.</w:t>
      </w:r>
    </w:p>
    <w:p>
      <w:pPr>
        <w:spacing w:after="100"/>
      </w:pPr>
      <w:r>
        <w:t xml:space="preserve">El objetivo a 12 meses (174,26 USD, ponderado) da un +7,5 % y el base (182,34) un +12,5 % (sin dividendo). El base lleva el PER de 14,6 a 15,4 veces (a mitad de camino de la mediana adelantada de 16,3) sobre un BPA que crece un 9,3 % anual; el bajista (128,78, −20,6 %) es lo que baja la ponderada. Crecimiento del BPA base del 9,3 % anual desde el ajustado de 2025 (el motor lo mide desde el GAAP de 7,71, que incluye el acuerdo de 35 M). Para comprar haría falta un precio de 151,53 USD (−6,5 %): ahí la ponderada pasa del 15 % y el valor intrínseco (155,71) queda por encima del precio. Para vender (ponderada ≤ −10 %), un precio por encima de 193,62 USD.</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Matrículas de otoño de GCU en línea y en el campus; guía del 4T (3,75-3,85 USD ajustado)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límite de la regla final de ganancias profesionales («Do No Harm») para aplicarse el 1-jul-2027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programas de GCU quedan expuestos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el MSA nuevo todo el año; frente a 11,31 USD de consenso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2027-03-01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 la autorización de recompra (124 M a 30-jul)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autorización probable; línea de 100 M disponible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o sustitución definitiva del director financiero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la incertidumbre de la investigación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Apertura de la facultad de Derecho y 3-5 sedes híbridas nuevas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matrículas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Demandas colectivas (Smith y Wang, Ogdon, Valerio)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Posibles cargos sin provisión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GCU: 89 % de los ingresos y del flujo; un problema de GCU (acreditación, ayudas federales, reputación) es un problema de GCE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o más si el contrato se rompe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MSA hasta 2041 sin rescisión por conveniencia, con 18 meses de servicio si no se renueva; GCU ya reconocida sin ánimo de lucro [4,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matrículas de GCU, cambio de dirección en GCU o disputa sobre el MSA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Ayudas federales y reglas de ganancias profesionales: topes a los préstamos de posgrado desde jul-2026 y prueba «Do No Harm» desde jul-2027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−25 %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dice que los topes no han afectado a ningún programa; precios bajos de GCU frente a otras privadas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Programas de GCU en la lista de bajo rendimiento o menos matrículas de posgrado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Inteligencia artificial: abarata o sustituye títulos en línea y encarece la captación (los buscadores con IA responden sin llevar tráfico)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−15 %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parte presencial e híbrida (campus de Phoenix, enfermería con prácticas clínicas) no se sustituye y los títulos acreditados con ayudas federales no los sustituye un chatbot</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captación por alumno al alza y matrículas nuevas en línea planas o negativas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y Gobierno: demandas colectivas sin provisión; nuevo frente del ED o la FTC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Litigios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frentes (multa del ED, FTC, qui tam) están cerrados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Certificación de una demanda colectiva o nueva investigación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corporativo: el consejero delegado preside también GCU; director financiero de baja por una investigación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Señal, −2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mayoritariamente independiente; la investigación es sobre operaciones de un tercero [15]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 la investigación alcance a la empresa o retrasos en la presentación de cuentas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Captación de alumnos más cara (marketing digital, competencia de universidades públicas en línea)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 GCU y precios congelados en el campus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operativo de 2027 por debajo de 2026</w:t>
            </w:r>
          </w:p>
        </w:tc>
      </w:tr>
    </w:tbl>
    <w:p>
      <w:pPr>
        <w:spacing w:after="160" w:before="0"/>
      </w:pPr>
    </w:p>
    <w:p>
      <w:pPr>
        <w:pStyle w:val="Heading2"/>
      </w:pPr>
      <w:r>
        <w:t xml:space="preserve">Pre-mortem</w:t>
      </w:r>
    </w:p>
    <w:p>
      <w:pPr>
        <w:spacing w:after="100"/>
      </w:pPr>
      <w:r>
        <w:t xml:space="preserve">Octubre de 2028: la acción ha perdido un 35 %. La regla «Do No Harm» dejó fuera de las ayudas federales a varios programas de posgrado de GCU (doctorados de educación y psicología) en su primera lista de 2028, y los topes de préstamos de posgrado cortaron la matrícula en los másteres caros. A la vez, la IA hizo que el coste de captar un alumno en línea subiera un 30 %: los buscadores respondían sin llevar tráfico y los alumnos de adultos probaban certificados baratos. GCU creció un 1 % en línea y GCE, que cobra un 60 % de la matrícula, vio cómo su margen bajaba 3 puntos. Una demanda colectiva certificada y la salida definitiva del director financiero remataron la confianza; el mercado pagó 11-12 veces. La señal temprana: matrículas nuevas en línea negativas en el 3T26 o el 4T26 y una lista de programas de bajo rendimiento con nombres de GCU.</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Negativo · </w:t>
      </w:r>
      <w:r>
        <w:rPr>
          <w:b/>
          <w:bCs/>
        </w:rPr>
        <w:t xml:space="preserve">Efecto en valor (3-5 años):</w:t>
      </w:r>
      <w:r>
        <w:t xml:space="preserve"> −5 a −15 % a 3-5 años</w:t>
      </w:r>
    </w:p>
    <w:p>
      <w:pPr>
        <w:spacing w:after="100"/>
      </w:pPr>
      <w:r>
        <w:t xml:space="preserve">La IA toca dos piezas del negocio. La captación: GCE gana dinero llevando alumnos a GCU, y la propia dirección reconoce que el paso a búsquedas con IA baja la eficiencia del marketing [9]; si cada alumno cuesta más, el 60 % de la matrícula deja menos margen. El producto: la parte de la formación en línea que es contenido y tutoría (cursos generales, programas de grado y máster genéricos) es la que la IA abarata más; casos como Chegg (ayuda al estudio hundida por los chatbots) y la presión sobre Coursera muestran que el contenido en línea sin credencial ni práctica se vuelve barato. Lo que protege es lo que la IA no da: títulos acreditados financiables con ayudas federales, prácticas clínicas de enfermería (Orbis, sedes híbridas), campus presencial en Phoenix y el componente religioso de GCU. Del lado positivo, la IA puede bajar el coste de tutoría y servicios al alumno que presta GCE. Neto: negativo moderado. Señal: matrículas nuevas en línea por debajo de cero y gasto en captación por alumno al alza [24, 28].</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la protección del alumno: publicidad y captación (la FTC y el ED la acusaron de engañar sobre el coste de los doctorados), resultados de empleo y deuda de los egresados (reglas de ganancias profesionales de la OBBBA desde julio de 2027), y el gobierno corporativo de una empresa cuyo consejero delegado es también presidente de su cliente principal [1, 13]. Ambiental, poco relevante: oficinas y centros de datos en Phoenix.</w:t>
      </w:r>
    </w:p>
    <w:p>
      <w:pPr>
        <w:pStyle w:val="Heading2"/>
      </w:pPr>
      <w:r>
        <w:t xml:space="preserve">Controversias</w:t>
      </w:r>
    </w:p>
    <w:p>
      <w:pPr>
        <w:spacing w:after="100"/>
      </w:pPr>
      <w:r>
        <w:t xml:space="preserve">Litigios con el Gobierno por la conversión de GCU en entidad sin ánimo de lucro (2021-2025, ya cerrados a favor de GCU), demanda de la FTC archivada en 2025, qui tam pactado en 35 M USD y demandas colectivas abiertas sin provisión (Smith y Wang, Ogdon, Valerio) [4, 7]. Doble papel de Brian Mueller (presidente de GCU y consejero delegado y presidente del consejo de GCE). Director financiero de baja desde agosto de 2026 por una investigación del Gobierno sobre operaciones de un tercero [15]. Calificaciones de MSCI o Sustainalytics no comprobadas en fuente primaria: no se dan.</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Reglas de ganancias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programas de GCU (y cuántos alumnos e ingresos) quedarían por debajo de la prueba «Do No Harm» con los datos de egresados disponibles hoy?</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escenario bajista y no está cuantificado en ninguna fuente pública.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captación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ha subido el coste de captación por alumno nuevo en línea en 2025-2026 y qué parte del tráfico llega ya desde buscadores con 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riesgo de IA en el margen antes que en las matrículas.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pasa con los 18 meses de servicio y el pago de salida si GCU no renueva en 2041, y qué cláusulas permiten a GCU rescindir por incumplimiento?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GCU es el 89 % de los ingresos; la línea de crédito declara impago si el MSA cambia con efecto adverso material.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Director financiero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alcance tiene la investigación del Gobierno sobre las operaciones de un tercero y cuándo se resolverá la baja de Dan Bachus?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problema en la función financiera retrasa cuentas y recompras.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piensa recomprar en 2027 y con qué uso de la línea de 100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diferencia con el consenso de BPA de 2027 son las recompras.</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($LOPE)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debate: alertas de opciones, resúmenes de resultados y algunos bajistas tras la guía de febrero («por debajo de 150»); en septiembre, un mensaje sobre las reglas de la OBBBA que recortan préstamos federales y otro que la llama empresa bien gestionada; en marzo se la mencionaba junto a Duolingo y Chegg como víctima de la IA [27].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Alcistas que ven una caja estable castigada por el miedo a la IA («los fundamentales calman los miedos») frente a otros que no ven margen de valoración («crecimiento impresionante, sin ventaja de valoración») [28].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Simply Wall St y Yahoo (artículos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Preocupación por la baja del director financiero y argumentos de que es un negocio de caja «ignorado» en un mercado especulativo [29].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¿sustituye la educación en línea?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nuevas matrículas en línea de GCU crecieron solo a un dígito bajo en el 2T26 y la dirección admite que la IA encarece la captación; pero el total de alumnos sube un 7,6 % y la enfermería presencial un 16,8 % [27, 28].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Límites de préstamos federales (OBBBA)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dice que no afectan a ningún programa porque las matrículas de GCU están muy por debajo de los límites; la prueba de ingresos de los titulados (desde julio de 2027) es el riesgo real [27].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Director financiero apartado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Investigación sobre operaciones de un tercero; la empresa dice que no afecta a las cuentas. Sin novedades desde agosto [29].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y valoración baja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crece un 12-14 % con recompras del 4-7 % de las acciones al año y el PER adelantado está en la parte baja de su historia [28].</w:t>
            </w:r>
          </w:p>
        </w:tc>
      </w:tr>
    </w:tbl>
    <w:p>
      <w:pPr>
        <w:spacing w:after="160" w:before="0"/>
      </w:pPr>
    </w:p>
    <w:p>
      <w:pPr>
        <w:spacing w:after="100"/>
      </w:pPr>
      <w:r>
        <w:t xml:space="preserve">El sentimiento es dividido y algo mejor que en primavera: tras caer un 38 %, los alcistas ven una caja estable castigada por el miedo a la IA y los bajistas, un sector en retirada y una empresa de un solo cliente con el director financiero apartado. No hay euforia; hay una mezcla de capitulación sectorial y de dudas concretas que el informe recoge (IA, regulación, GCU). No aporta ningún riesgo que el informe no tuviera. Opiniones, no datos: ninguna cifra sale de aquí.</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30 (17 primarias); citas distintas en el texto: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5,4 % frente a 5,4 % real: genera una variación de circulante de 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fuentes (17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Propia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interanual de 4T24-3T25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cada trimestre (dan el crecimiento del semestre o del año, no siempre el del trimestre); 2) 10-Q del periodo (no descargados); 3) cálculo con trimestres de 2024 que no están en las notas descargadas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en dólares del mercado de servicios a universidades y serie de 5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GCE (solo describe a los competidores); 2) NCES (alumnos a distancia hasta 2021, sin dólares); 3) informes de mercado de OPM de pago, sin fuente gratuita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mide en alumnos (NCES 2021); serie omitida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fija y en acciones del consejero delegado en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tabla resumen del proxy 2026 (el texto extraído no separa las columnas); 2) tabla de bonus (0,48 M) y ratio salarial (total 2,02 M); 3) proxy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total y bonus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3-5 transacciones del sector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8-K de GCE (solo Orbis, sin EBITDA); 2) notas de 2U y Wiley (operaciones sin EBITDA publicado); 3) prensa sectorial (cifras sin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(solo Orbis, sin múltiplo)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2028e y EBITDA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quoteSummary (dos ejercicios, sin EBITDA); 2) MarketBeat (solo el año en curso y el siguiente); 3) MarketScreener no abre sin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causa de las caídas del 3 y 11-feb-2026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de la empresa (ninguno esos días); 2) titulares de Seeking Alpha (RSS); 3) búsqueda en prensa (Barchart no abre; solo notas del sector)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explica como caída del sector por la IA, sin causa propia</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2025: cuentas, nota de concentración (GCU 89,5 % de los ingresos), MSA, regulación, litigios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 Canyon Education,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https://www.sec.gov/Archives/edgar/data/1434588/000110465926017047/lope-20251231x10k.htm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 Canyon Education Reports Fourth Quarter 2025 Results (conciliaciones no GAAP de 2025 y 2024;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 Canyon Education,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https://www.sec.gov/Archives/edgar/data/1434588/000110465926017038/lope-20260218xex99d1.htm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Canyon Education Reports Second Quarter 2026 Results (cuentas del 2T26, guía 3T, 4T 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Canyon Education,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https://www.sec.gov/Archives/edgar/data/1434588/000110465926088669/lope-20260730xex99d1.htm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2T26 (30-jun-2026): MSA modificado y reformulado con GCU, litigios, recompras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Canyon Education,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https://www.sec.gov/Archives/edgar/data/1434588/000110465926088674/lope-20260630x10q.htm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anuales 2020-2024 (BPA ajustado, EBITDA ajustado, caja e inversiones, guías)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Canyon Education,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https://www.sec.gov/Archives/edgar/data/1434588/000155837025001146/lope-20250219xex99d1.htm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del 2T25, 3T25 y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Canyon Education,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https://www.sec.gov/Archives/edgar/data/1434588/000110465926052881/lope-20260430xex99d1.htm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(7.01): resumen de los litigios con el Gobierno y acuerdo de 35 M USD del qui tam Mackillop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Canyon Education,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https://www.sec.gov/Archives/edgar/data/1434588/000110465925104492/lope-20251030x8k.htm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línea de crédito revolving de 100 M USD (Zions) para recompras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Canyon Education,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https://www.sec.gov/Archives/edgar/data/1434588/000110465926112835/lope-20260928x8k.htm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Canyon Education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(vía Mitrade)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https://www.mitrade.com/insights/news/live-news/article-8-1948973-20260731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(7.01 y 8.01): ED reconoce a GCU como entidad sin ánimo de lucro; ampliación de recompras en 300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Canyon Education,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https://www.sec.gov/Archives/edgar/data/1434588/000110465925120898/lope-20251210x8k.htm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Fast Facts: Distance learning (alumnos de educación superior a distancia, otoño de 2019-2021)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Center for Education Statistics (NCES)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https://nces.ed.gov/fastfacts/display.asp?id=80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cotizadas de educación (Strategic Education, Perdoceo, American Public Education, Laureate, Stride, Universal Technical, Graham, Lincoln, Coursera, Chegg)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remuneración 2025,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Canyon Education,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https://www.sec.gov/Archives/edgar/data/1434588/000110465926047719/lope-20260610xdef14a.htm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(5.07): resultados de la junta del 10-jun-2026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Canyon Education,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https://www.sec.gov/Archives/edgar/data/1434588/000110465926072325/lope-20260610x8k.htm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(5.02): baja administrativa del director financiero y nombramiento de Lori Browning como interina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Canyon Education,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https://www.sec.gov/Archives/edgar/data/1434588/000110465926100299/lope-20260821x8k.htm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(5.02): dimisión del consejero Jack A. Henry y cambios en las comisiones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Canyon Education,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https://www.sec.gov/Archives/edgar/data/1434588/000110465926077768/lope-20260622x8k.htm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y consejeros (20-oct-2025 a 20-oct-2026), herramienta 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https://www.sec.gov/cgi-bin/browse-edgar?action=getcompany&amp;CIK=0001434588&amp;type=4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(5.02): Dilek Marsh directora de sistemas; salida de Kathy Claypatch (oct-2025)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Canyon Education,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https://www.sec.gov/Archives/edgar/data/1434588/000110465926014301/lope-20260209x8k.htm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LOPE, SPY y XLY (precio, rango, rentabilidades, beta, cierres de ejercicio):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https://finance.yahoo.com/quote/LOPE/history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LOPE y comparables (estimaciones de BPA y ventas, objetivos, recomendaciones):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https://finance.yahoo.com/quote/LOPE/analysis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5,15 % el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Rastreador de noticias de 12 meses (noticias.mjs): BMO baja el objetivo a 182 USD (17-oct-2026), resultados del 3T el 4-nov-2026, línea de crédito, director financiero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Google Noticias, Yahoo Finance, SEC (agregado)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https://news.google.com/search?q=%22Grand%20Canyon%20Education%22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Seeking Alpha sobre LOPE (RSS, oct-2025 a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https://seekingalpha.com/api/sa/combined/LOPE.xml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(7.01): carta de intenciones para modificar el MSA con GCU (3-jun-2026)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Canyon Education,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https://www.sec.gov/Archives/edgar/data/1434588/000110465926069570/lope-20260602x8k.htm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Canyon Education: price target cut to 185 USD from 198 at BMO (6-jul-2026) y página de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https://benzinga.com/quote/lope/analyst-ratings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$LOPE (feb-oct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https://api.stocktwits.com/api/2/streams/symbol/LOPE.json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artículos sobre LOPE («Strong Fundamentals Quell AI Fears», 22-sep-2026; «Impressive Growth, But No Valuation Edge», 9-jul-2026; «The A Student That Got Punished For A C», 15-abr-2026; «Same Story, Lower Price», 4-feb-2026)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https://seekingalpha.com/symbol/LOPE/analysis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y Yahoo: «How Interim CFO Appointment Amid Trading Probe Will Impact…» (1-sep-2026) y «A Steady Cash-Generating Business Ignored in a Speculative Market» (1-sep-2026)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https://finance.yahoo.com/quote/LOPE/news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Cálculos propios con las cuentas XBRL de la SEC (10-K 2016-2025) y la guía de 2026: BPA ajustado proyectado, PER adelantado e histórico, ROIC exigente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(informes/grand-canyon-2026-10-20/notas/propio.mjs)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informes/grand-canyon-2026-10-20/notas/propio.mjs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86,8 %</w:t>
      </w:r>
      <w:r>
        <w:t xml:space="preserve"> · Secciones con menos del 60 % de campos cubiertos: </w:t>
      </w:r>
      <w:r>
        <w:rPr>
          <w:b/>
          <w:bCs/>
        </w:rPr>
        <w:t xml:space="preserve">ninguna</w:t>
      </w:r>
      <w:r>
        <w:t xml:space="preserve"> · Generado el 20 oct 2026.</w:t>
      </w:r>
    </w:p>
    <w:p>
      <w:pPr>
        <w:pStyle w:val="Nota"/>
        <w:spacing w:after="100"/>
      </w:pPr>
      <w:r>
        <w:t xml:space="preserve">Cifras en millones de USD, ejercicio a 31 de diciembre. Último trimestre publicado: 2T26 (30-jun-2026); el LTM es jul-25 a jun-26 y el 3T26 se publica el 4-nov-2026. Precio: cierre del 19-oct-2026 (162,11 USD); la decisión se comprueba con el precio del día en las pruebas de robustez. El BPA de la regla a 12 meses y su historia están en la base AJUSTADA de la empresa (sin la amortización de los intangibles de Orbis ni acuerdos judiciales o deterioros; con los pagos en acciones como coste), la misma que el consenso; el DCF no suma de vuelta ni los pagos en acciones ni las aportaciones a fundaciones escolares de Arizona. Los ingresos dependen de datos de matrícula de GCU, que el auditor no audita directamente (asunto clave de auditoría) [1]. No hay ficha sectorial de educación en el repositorio: el perímetro del sector (alumnos a distancia, NCES) no tiene tamaño en dólares, por eso no hay mercado final en la prueba de sostenibilidad. Calificaciones ESG no comprobadas en fuente primaria. Una acción ≈ 139 EUR (≈ 1,16 USD por EUR), un 0,5 % de una cartera de 30.000 EUR.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Grand Canyon Education, Inc. (LOPE)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162,11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(134,27 – 223,04)</c:v>
                </c:pt>
                <c:pt idx="1">
                  <c:v>Precio objetivo de los analistas (182,00 – 200,00)</c:v>
                </c:pt>
                <c:pt idx="2">
                  <c:v>Comparables: PER NTM (111,49 – 208,27)</c:v>
                </c:pt>
                <c:pt idx="3">
                  <c:v>DCF (WACC y g ± 0,5) (144,12 – 174,91)</c:v>
                </c:pt>
                <c:pt idx="4">
                  <c:v>Escenarios (bajista – alcista) (117,61 – 173,77)</c:v>
                </c:pt>
                <c:pt idx="5">
                  <c:v>DCF con la prima implícita del mercado (4,2 %)</c:v>
                </c:pt>
                <c:pt idx="6">
                  <c:v>Precio actual (162,11)</c:v>
                </c:pt>
              </c:strCache>
            </c:strRef>
          </c:cat>
          <c:val>
            <c:numRef>
              <c:f>Hoja1!$B$2:$B$8</c:f>
              <c:numCache>
                <c:formatCode>#,##0</c:formatCode>
                <c:ptCount val="7"/>
                <c:pt idx="0">
                  <c:v>134.27</c:v>
                </c:pt>
                <c:pt idx="1">
                  <c:v>182</c:v>
                </c:pt>
                <c:pt idx="2">
                  <c:v>111.49</c:v>
                </c:pt>
                <c:pt idx="3">
                  <c:v>144.12</c:v>
                </c:pt>
                <c:pt idx="4">
                  <c:v>117.61</c:v>
                </c:pt>
                <c:pt idx="5">
                  <c:v>167.5</c:v>
                </c:pt>
                <c:pt idx="6">
                  <c:v>161.3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(134,27 – 223,04)</c:v>
                </c:pt>
                <c:pt idx="1">
                  <c:v>Precio objetivo de los analistas (182,00 – 200,00)</c:v>
                </c:pt>
                <c:pt idx="2">
                  <c:v>Comparables: PER NTM (111,49 – 208,27)</c:v>
                </c:pt>
                <c:pt idx="3">
                  <c:v>DCF (WACC y g ± 0,5) (144,12 – 174,91)</c:v>
                </c:pt>
                <c:pt idx="4">
                  <c:v>Escenarios (bajista – alcista) (117,61 – 173,77)</c:v>
                </c:pt>
                <c:pt idx="5">
                  <c:v>DCF con la prima implícita del mercado (4,2 %)</c:v>
                </c:pt>
                <c:pt idx="6">
                  <c:v>Precio actual (162,11)</c:v>
                </c:pt>
              </c:strCache>
            </c:strRef>
          </c:cat>
          <c:val>
            <c:numRef>
              <c:f>Hoja1!$C$2:$C$8</c:f>
              <c:numCache>
                <c:formatCode>#,##0</c:formatCode>
                <c:ptCount val="7"/>
                <c:pt idx="0">
                  <c:v>88.76999999999998</c:v>
                </c:pt>
                <c:pt idx="1">
                  <c:v>18</c:v>
                </c:pt>
                <c:pt idx="2">
                  <c:v>96.78000000000002</c:v>
                </c:pt>
                <c:pt idx="3">
                  <c:v>30.789999999999992</c:v>
                </c:pt>
                <c:pt idx="4">
                  <c:v>56.16000000000001</c:v>
                </c:pt>
                <c:pt idx="5">
                  <c:v>24.430000000000007</c:v>
                </c:pt>
                <c:pt idx="6">
                  <c:v>1.6199999999999761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Servicios a GCU</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918.3</c:v>
                </c:pt>
                <c:pt idx="1">
                  <c:v>990</c:v>
                </c:pt>
              </c:numCache>
            </c:numRef>
          </c:val>
        </c:ser>
        <c:ser>
          <c:idx val="1"/>
          <c:order val="1"/>
          <c:tx>
            <c:strRef>
              <c:f>Hoja1!$C$1</c:f>
              <c:strCache>
                <c:ptCount val="1"/>
                <c:pt idx="0">
                  <c:v>Otros socios (enfermería en sedes híbridas y programas en línea)</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114.7</c:v>
                </c:pt>
                <c:pt idx="1">
                  <c:v>116.1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Servicios a GCU</c:v>
                </c:pt>
                <c:pt idx="1">
                  <c:v>Otros socios (enfermería en sedes híbridas y programas en línea)</c:v>
                </c:pt>
              </c:strCache>
            </c:strRef>
          </c:cat>
          <c:val>
            <c:numRef>
              <c:f>Hoja1!$B$2:$B$3</c:f>
              <c:numCache>
                <c:formatCode>General</c:formatCode>
                <c:ptCount val="2"/>
                <c:pt idx="0">
                  <c:v>89.5</c:v>
                </c:pt>
                <c:pt idx="1">
                  <c:v>10.5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Estados Unidos</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alumnos solo a distancia (otoño))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2019</c:v>
                </c:pt>
                <c:pt idx="1">
                  <c:v>2021</c:v>
                </c:pt>
              </c:strCache>
            </c:strRef>
          </c:cat>
          <c:val>
            <c:numRef>
              <c:f>Hoja1!$B$2:$B$3</c:f>
              <c:numCache>
                <c:formatCode>#,##0</c:formatCode>
                <c:ptCount val="2"/>
                <c:pt idx="1">
                  <c:v>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5</c:v>
                </c:pt>
                <c:pt idx="2">
                  <c:v>2</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Grand Canyon Education</c:v>
                </c:pt>
                <c:pt idx="1">
                  <c:v>Strategic Education</c:v>
                </c:pt>
                <c:pt idx="2">
                  <c:v>Perdoceo Education</c:v>
                </c:pt>
                <c:pt idx="3">
                  <c:v>American Public Education</c:v>
                </c:pt>
                <c:pt idx="4">
                  <c:v>Laureate Education</c:v>
                </c:pt>
                <c:pt idx="5">
                  <c:v>Western Governors y Southern New Hampshire University (sin ánimo de lucro)</c:v>
                </c:pt>
                <c:pt idx="6">
                  <c:v>Academic Partnerships / Wiley University Services, Noodle, Keypath (privadas)</c:v>
                </c:pt>
              </c:strCache>
            </c:strRef>
          </c:cat>
          <c:val>
            <c:numRef>
              <c:f>Hoja1!$B$2:$B$8</c:f>
              <c:numCache>
                <c:formatCode>0.0"%"</c:formatCode>
                <c:ptCount val="7"/>
                <c:pt idx="0">
                  <c:v>27.5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2</c:v>
                </c:pt>
                <c:pt idx="3">
                  <c:v>3</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Hoja1!$B$2:$B$16</c:f>
              <c:numCache>
                <c:formatCode>#,##0</c:formatCode>
                <c:ptCount val="15"/>
                <c:pt idx="0">
                  <c:v>778.6</c:v>
                </c:pt>
                <c:pt idx="1">
                  <c:v>844.1</c:v>
                </c:pt>
                <c:pt idx="2">
                  <c:v>896.6</c:v>
                </c:pt>
                <c:pt idx="3">
                  <c:v>911.3</c:v>
                </c:pt>
                <c:pt idx="4">
                  <c:v>960.9</c:v>
                </c:pt>
                <c:pt idx="5">
                  <c:v>1033</c:v>
                </c:pt>
                <c:pt idx="6">
                  <c:v>1106.1</c:v>
                </c:pt>
                <c:pt idx="7">
                  <c:v>1169</c:v>
                </c:pt>
                <c:pt idx="8">
                  <c:v>1233</c:v>
                </c:pt>
                <c:pt idx="9">
                  <c:v>1301</c:v>
                </c:pt>
                <c:pt idx="10">
                  <c:v>1366</c:v>
                </c:pt>
                <c:pt idx="11">
                  <c:v>1428</c:v>
                </c:pt>
                <c:pt idx="12">
                  <c:v>1485</c:v>
                </c:pt>
                <c:pt idx="13">
                  <c:v>1537</c:v>
                </c:pt>
                <c:pt idx="14">
                  <c:v>1583</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strCache>
            </c:strRef>
          </c:cat>
          <c:val>
            <c:numRef>
              <c:f>Hoja1!$C$2:$C$16</c:f>
              <c:numCache>
                <c:formatCode>#,##0</c:formatCode>
                <c:ptCount val="15"/>
                <c:pt idx="0">
                  <c:v>291.9</c:v>
                </c:pt>
                <c:pt idx="1">
                  <c:v>306.6</c:v>
                </c:pt>
                <c:pt idx="2">
                  <c:v>312</c:v>
                </c:pt>
                <c:pt idx="3">
                  <c:v>268</c:v>
                </c:pt>
                <c:pt idx="4">
                  <c:v>280.8</c:v>
                </c:pt>
                <c:pt idx="5">
                  <c:v>314.70000000000005</c:v>
                </c:pt>
                <c:pt idx="6">
                  <c:v>344.1</c:v>
                </c:pt>
                <c:pt idx="7">
                  <c:v>371</c:v>
                </c:pt>
                <c:pt idx="8">
                  <c:v>395</c:v>
                </c:pt>
                <c:pt idx="9">
                  <c:v>422</c:v>
                </c:pt>
                <c:pt idx="10">
                  <c:v>447</c:v>
                </c:pt>
                <c:pt idx="11">
                  <c:v>471</c:v>
                </c:pt>
                <c:pt idx="12">
                  <c:v>490</c:v>
                </c:pt>
                <c:pt idx="13">
                  <c:v>507</c:v>
                </c:pt>
                <c:pt idx="14">
                  <c:v>522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37.5</c:v>
                </c:pt>
                <c:pt idx="1">
                  <c:v>36.3</c:v>
                </c:pt>
                <c:pt idx="2">
                  <c:v>34.8</c:v>
                </c:pt>
                <c:pt idx="3">
                  <c:v>29.4</c:v>
                </c:pt>
                <c:pt idx="4">
                  <c:v>29.2</c:v>
                </c:pt>
                <c:pt idx="5">
                  <c:v>30.5</c:v>
                </c:pt>
                <c:pt idx="6">
                  <c:v>31.1</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34</c:v>
                </c:pt>
                <c:pt idx="1">
                  <c:v>32.9</c:v>
                </c:pt>
                <c:pt idx="2">
                  <c:v>31.5</c:v>
                </c:pt>
                <c:pt idx="3">
                  <c:v>26.1</c:v>
                </c:pt>
                <c:pt idx="4">
                  <c:v>25.9</c:v>
                </c:pt>
                <c:pt idx="5">
                  <c:v>27</c:v>
                </c:pt>
                <c:pt idx="6">
                  <c:v>27.5</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33.3</c:v>
                </c:pt>
                <c:pt idx="1">
                  <c:v>30.5</c:v>
                </c:pt>
                <c:pt idx="2">
                  <c:v>29</c:v>
                </c:pt>
                <c:pt idx="3">
                  <c:v>20.3</c:v>
                </c:pt>
                <c:pt idx="4">
                  <c:v>21.3</c:v>
                </c:pt>
                <c:pt idx="5">
                  <c:v>21.9</c:v>
                </c:pt>
                <c:pt idx="6">
                  <c:v>19.5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Hoja1!$B$2:$B$8</c:f>
              <c:numCache>
                <c:formatCode>0.0"%"</c:formatCode>
                <c:ptCount val="7"/>
                <c:pt idx="4">
                  <c:v>5.3</c:v>
                </c:pt>
                <c:pt idx="5">
                  <c:v>6.7</c:v>
                </c:pt>
                <c:pt idx="6">
                  <c:v>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23</c:v>
                </c:pt>
                <c:pt idx="1">
                  <c:v>27</c:v>
                </c:pt>
                <c:pt idx="2">
                  <c:v>29</c:v>
                </c:pt>
                <c:pt idx="3">
                  <c:v>31</c:v>
                </c:pt>
                <c:pt idx="4">
                  <c:v>30</c:v>
                </c:pt>
                <c:pt idx="5">
                  <c:v>29</c:v>
                </c:pt>
                <c:pt idx="6">
                  <c:v>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283.90000000000003</c:v>
                </c:pt>
                <c:pt idx="1">
                  <c:v>279.40000000000003</c:v>
                </c:pt>
                <c:pt idx="2">
                  <c:v>284.20000000000005</c:v>
                </c:pt>
                <c:pt idx="3">
                  <c:v>185.60000000000002</c:v>
                </c:pt>
                <c:pt idx="4">
                  <c:v>199.2</c:v>
                </c:pt>
                <c:pt idx="5">
                  <c:v>252.8</c:v>
                </c:pt>
                <c:pt idx="6">
                  <c:v>238.7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259.2</c:v>
                </c:pt>
                <c:pt idx="1">
                  <c:v>257.2</c:v>
                </c:pt>
                <c:pt idx="2">
                  <c:v>260.3</c:v>
                </c:pt>
                <c:pt idx="3">
                  <c:v>184.7</c:v>
                </c:pt>
                <c:pt idx="4">
                  <c:v>205</c:v>
                </c:pt>
                <c:pt idx="5">
                  <c:v>226.2</c:v>
                </c:pt>
                <c:pt idx="6">
                  <c:v>216.2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15</c:v>
                </c:pt>
                <c:pt idx="1">
                  <c:v>14.9</c:v>
                </c:pt>
                <c:pt idx="2">
                  <c:v>23.7</c:v>
                </c:pt>
                <c:pt idx="3">
                  <c:v>40.6</c:v>
                </c:pt>
                <c:pt idx="4">
                  <c:v>42.3</c:v>
                </c:pt>
                <c:pt idx="5">
                  <c:v>46.4</c:v>
                </c:pt>
                <c:pt idx="6">
                  <c:v>51.9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10.4</c:v>
                </c:pt>
                <c:pt idx="1">
                  <c:v>10.4</c:v>
                </c:pt>
                <c:pt idx="2">
                  <c:v>10.4</c:v>
                </c:pt>
                <c:pt idx="3">
                  <c:v>10.4</c:v>
                </c:pt>
                <c:pt idx="4">
                  <c:v>10.4</c:v>
                </c:pt>
                <c:pt idx="5">
                  <c:v>10.4</c:v>
                </c:pt>
                <c:pt idx="6">
                  <c:v>10.4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18</c:v>
                </c:pt>
                <c:pt idx="1">
                  <c:v>17</c:v>
                </c:pt>
                <c:pt idx="2">
                  <c:v>19.9</c:v>
                </c:pt>
                <c:pt idx="3">
                  <c:v>22</c:v>
                </c:pt>
                <c:pt idx="4">
                  <c:v>30.2</c:v>
                </c:pt>
                <c:pt idx="5">
                  <c:v>30.1</c:v>
                </c:pt>
                <c:pt idx="6">
                  <c:v>28.2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-0.01</c:v>
                </c:pt>
                <c:pt idx="1">
                  <c:v>-0.49</c:v>
                </c:pt>
                <c:pt idx="2">
                  <c:v>-1.93</c:v>
                </c:pt>
                <c:pt idx="3">
                  <c:v>-0.68</c:v>
                </c:pt>
                <c:pt idx="4">
                  <c:v>-0.87</c:v>
                </c:pt>
                <c:pt idx="5">
                  <c:v>-1.03</c:v>
                </c:pt>
                <c:pt idx="6">
                  <c:v>-0.87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361.2</c:v>
                </c:pt>
                <c:pt idx="1">
                  <c:v>0</c:v>
                </c:pt>
                <c:pt idx="2">
                  <c:v>0</c:v>
                </c:pt>
                <c:pt idx="3">
                  <c:v>0</c:v>
                </c:pt>
                <c:pt idx="4">
                  <c:v>0</c:v>
                </c:pt>
                <c:pt idx="5">
                  <c:v>0</c:v>
                </c:pt>
                <c:pt idx="6">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0</c:v>
                </c:pt>
                <c:pt idx="1">
                  <c:v>0</c:v>
                </c:pt>
                <c:pt idx="2">
                  <c:v>0</c:v>
                </c:pt>
                <c:pt idx="3">
                  <c:v>0</c:v>
                </c:pt>
                <c:pt idx="4">
                  <c:v>0</c:v>
                </c:pt>
                <c:pt idx="5">
                  <c:v>0</c:v>
                </c:pt>
                <c:pt idx="6">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43.9</c:v>
                </c:pt>
                <c:pt idx="1">
                  <c:v>134</c:v>
                </c:pt>
                <c:pt idx="2">
                  <c:v>803.8</c:v>
                </c:pt>
                <c:pt idx="3">
                  <c:v>604.2</c:v>
                </c:pt>
                <c:pt idx="4">
                  <c:v>137.1</c:v>
                </c:pt>
                <c:pt idx="5">
                  <c:v>173.2</c:v>
                </c:pt>
                <c:pt idx="6">
                  <c:v>264.8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BlackRock</c:v>
                </c:pt>
                <c:pt idx="1">
                  <c:v>FMR (Fidelity)</c:v>
                </c:pt>
                <c:pt idx="2">
                  <c:v>Riverbridge Partners</c:v>
                </c:pt>
                <c:pt idx="3">
                  <c:v>Consejeros y directivos (9 personas)</c:v>
                </c:pt>
                <c:pt idx="4">
                  <c:v>Autocartera</c:v>
                </c:pt>
              </c:strCache>
            </c:strRef>
          </c:cat>
          <c:val>
            <c:numRef>
              <c:f>Hoja1!$B$2:$B$6</c:f>
              <c:numCache>
                <c:formatCode>0.0"%"</c:formatCode>
                <c:ptCount val="5"/>
                <c:pt idx="0">
                  <c:v>9.7</c:v>
                </c:pt>
                <c:pt idx="1">
                  <c:v>6.7</c:v>
                </c:pt>
                <c:pt idx="2">
                  <c:v>5.4</c:v>
                </c:pt>
                <c:pt idx="3">
                  <c:v>2.1</c:v>
                </c:pt>
                <c:pt idx="4">
                  <c:v>51.7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45.7</c:v>
                </c:pt>
                <c:pt idx="1">
                  <c:v>53.2</c:v>
                </c:pt>
                <c:pt idx="2">
                  <c:v>7.4</c:v>
                </c:pt>
                <c:pt idx="3">
                  <c:v>-0.4</c:v>
                </c:pt>
                <c:pt idx="4">
                  <c:v>-2.8</c:v>
                </c:pt>
                <c:pt idx="5">
                  <c:v>-7.9</c:v>
                </c:pt>
                <c:pt idx="6">
                  <c:v>23.3</c:v>
                </c:pt>
                <c:pt idx="7">
                  <c:v>25</c:v>
                </c:pt>
                <c:pt idx="8">
                  <c:v>24.1</c:v>
                </c:pt>
                <c:pt idx="9">
                  <c:v>1.5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15.8</c:v>
                </c:pt>
                <c:pt idx="1">
                  <c:v>13.8</c:v>
                </c:pt>
                <c:pt idx="2">
                  <c:v>10.2</c:v>
                </c:pt>
                <c:pt idx="3">
                  <c:v>12</c:v>
                </c:pt>
                <c:pt idx="4">
                  <c:v>13.3</c:v>
                </c:pt>
                <c:pt idx="5">
                  <c:v>14.2</c:v>
                </c:pt>
                <c:pt idx="6">
                  <c:v>12.7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13.3</c:v>
                </c:pt>
                <c:pt idx="1">
                  <c:v>13.3</c:v>
                </c:pt>
                <c:pt idx="2">
                  <c:v>13.3</c:v>
                </c:pt>
                <c:pt idx="3">
                  <c:v>13.3</c:v>
                </c:pt>
                <c:pt idx="4">
                  <c:v>13.3</c:v>
                </c:pt>
                <c:pt idx="5">
                  <c:v>13.3</c:v>
                </c:pt>
                <c:pt idx="6">
                  <c:v>13.3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252</c:v>
                </c:pt>
                <c:pt idx="1">
                  <c:v>266</c:v>
                </c:pt>
                <c:pt idx="2">
                  <c:v>284</c:v>
                </c:pt>
                <c:pt idx="3">
                  <c:v>302</c:v>
                </c:pt>
                <c:pt idx="4">
                  <c:v>319</c:v>
                </c:pt>
                <c:pt idx="5">
                  <c:v>332</c:v>
                </c:pt>
                <c:pt idx="6">
                  <c:v>344</c:v>
                </c:pt>
                <c:pt idx="7">
                  <c:v>354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1577</c:v>
                </c:pt>
                <c:pt idx="1">
                  <c:v>2257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162,11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117.61</c:v>
                </c:pt>
                <c:pt idx="1">
                  <c:v>157.6</c:v>
                </c:pt>
                <c:pt idx="2">
                  <c:v>173.77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162,11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(134,27 – 223,04)</c:v>
                </c:pt>
                <c:pt idx="1">
                  <c:v>Precio objetivo de los analistas (182,00 – 200,00)</c:v>
                </c:pt>
                <c:pt idx="2">
                  <c:v>Comparables: PER NTM (111,49 – 208,27)</c:v>
                </c:pt>
                <c:pt idx="3">
                  <c:v>DCF (WACC y g ± 0,5) (144,12 – 174,91)</c:v>
                </c:pt>
                <c:pt idx="4">
                  <c:v>Escenarios (bajista – alcista) (117,61 – 173,77)</c:v>
                </c:pt>
                <c:pt idx="5">
                  <c:v>DCF con la prima implícita del mercado (4,2 %)</c:v>
                </c:pt>
                <c:pt idx="6">
                  <c:v>Precio actual (162,11)</c:v>
                </c:pt>
              </c:strCache>
            </c:strRef>
          </c:cat>
          <c:val>
            <c:numRef>
              <c:f>Hoja1!$B$2:$B$8</c:f>
              <c:numCache>
                <c:formatCode>#,##0</c:formatCode>
                <c:ptCount val="7"/>
                <c:pt idx="0">
                  <c:v>134.27</c:v>
                </c:pt>
                <c:pt idx="1">
                  <c:v>182</c:v>
                </c:pt>
                <c:pt idx="2">
                  <c:v>111.49</c:v>
                </c:pt>
                <c:pt idx="3">
                  <c:v>144.12</c:v>
                </c:pt>
                <c:pt idx="4">
                  <c:v>117.61</c:v>
                </c:pt>
                <c:pt idx="5">
                  <c:v>167.5</c:v>
                </c:pt>
                <c:pt idx="6">
                  <c:v>161.3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(134,27 – 223,04)</c:v>
                </c:pt>
                <c:pt idx="1">
                  <c:v>Precio objetivo de los analistas (182,00 – 200,00)</c:v>
                </c:pt>
                <c:pt idx="2">
                  <c:v>Comparables: PER NTM (111,49 – 208,27)</c:v>
                </c:pt>
                <c:pt idx="3">
                  <c:v>DCF (WACC y g ± 0,5) (144,12 – 174,91)</c:v>
                </c:pt>
                <c:pt idx="4">
                  <c:v>Escenarios (bajista – alcista) (117,61 – 173,77)</c:v>
                </c:pt>
                <c:pt idx="5">
                  <c:v>DCF con la prima implícita del mercado (4,2 %)</c:v>
                </c:pt>
                <c:pt idx="6">
                  <c:v>Precio actual (162,11)</c:v>
                </c:pt>
              </c:strCache>
            </c:strRef>
          </c:cat>
          <c:val>
            <c:numRef>
              <c:f>Hoja1!$C$2:$C$8</c:f>
              <c:numCache>
                <c:formatCode>#,##0</c:formatCode>
                <c:ptCount val="7"/>
                <c:pt idx="0">
                  <c:v>88.76999999999998</c:v>
                </c:pt>
                <c:pt idx="1">
                  <c:v>18</c:v>
                </c:pt>
                <c:pt idx="2">
                  <c:v>96.78000000000002</c:v>
                </c:pt>
                <c:pt idx="3">
                  <c:v>30.789999999999992</c:v>
                </c:pt>
                <c:pt idx="4">
                  <c:v>56.16000000000001</c:v>
                </c:pt>
                <c:pt idx="5">
                  <c:v>24.430000000000007</c:v>
                </c:pt>
                <c:pt idx="6">
                  <c:v>1.6199999999999761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