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59f0b1a479b3bb4b1b0d668d472de96a8b3b606"/>
    <w:p>
      <w:pPr>
        <w:pStyle w:val="Heading1"/>
      </w:pPr>
      <w:r>
        <w:t xml:space="preserve">Celestica (CLS):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Vender (no comprar)</w:t>
      </w:r>
      <w:r>
        <w:t xml:space="preserve"> </w:t>
      </w:r>
      <w:r>
        <w:t xml:space="preserve">· Puntuación 66,2/100 · Señales de cambio de tendencia 3/8 · EV/beneficio bruto 13,8x</w:t>
      </w:r>
      <w:r>
        <w:t xml:space="preserve"> </w:t>
      </w:r>
      <w:r>
        <w:t xml:space="preserve">Precio 357,44 USD (cierre del 13-oct) · Objetivo 12 m 263,6 USD (ponderada −26,2 %, base −24,4 %, bajista −63,3 %, alcista +7,1 %) · Compra hasta 251,1 USD</w:t>
      </w:r>
      <w:r>
        <w:t xml:space="preserve"> </w:t>
      </w:r>
      <w:r>
        <w:t xml:space="preserve">Peso orientativo: no entra · Por qué: ponderada ≤ −10 %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 y EV/EBITDA NTM, porque Celestica gana dinero de forma estable. Las ventas salen de la regla mecánica: 30.865 M USD en el base, 22.587 M en el bajista y 34.535 M en el alcista, para los 12 meses a jun-2028. El múltiplo de hoy (16,5x) baja con la rebaja máxima por desaceleración (11,8x / 7,1x / 15,4x).</w:t>
      </w:r>
      <w:r>
        <w:t xml:space="preserve"> </w:t>
      </w:r>
      <w:r>
        <w:rPr>
          <w:bCs/>
          <w:b/>
        </w:rPr>
        <w:t xml:space="preserve">Ojo: la regla mide mal este caso.</w:t>
      </w:r>
      <w:r>
        <w:t xml:space="preserve"> </w:t>
      </w:r>
      <w:r>
        <w:t xml:space="preserve">La proyección mecánica queda por debajo de la guía de la propia empresa para 2027, y la ampliación de capital de agosto se cuenta dos veces. La sección 9 da las variantes y la sección final, la mejora propuesta. Aun así, ninguna variante prudente da una compra clara.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Celestica diseña y fabrica para los hiperescaladores (Google, Meta, OpenAI, AMD…) los switches Ethernet de 400G, 800G y ya 1,6T de sus centros de datos de IA. También integra racks de cómputo de IA. Es el «fabricante a medida» de la red de la IA, con un margen bruto del ~11 % y un margen operativo del ~8 %.</w:t>
      </w:r>
    </w:p>
    <w:p>
      <w:pPr>
        <w:numPr>
          <w:ilvl w:val="0"/>
          <w:numId w:val="1001"/>
        </w:numPr>
        <w:pStyle w:val="Compact"/>
      </w:pPr>
      <w:r>
        <w:t xml:space="preserve">El crecimiento se acelera: +62 % en el 2T26, +47 % en 12 meses y una guía de 20.500 M USD en 2026 (+65 %). La empresa dice que 2027 crecerá aún más. Lleva ocho trimestres seguidos superando la guía y subiéndola.</w:t>
      </w:r>
    </w:p>
    <w:p>
      <w:pPr>
        <w:numPr>
          <w:ilvl w:val="0"/>
          <w:numId w:val="1001"/>
        </w:numPr>
        <w:pStyle w:val="Compact"/>
      </w:pPr>
      <w:r>
        <w:t xml:space="preserve">El mercado ya lo sabe. La acción vale 9 veces lo que valía en oct-2023, y el EV/EBITDA NTM es de ~16,5x, por encima de Jabil, Flex o Sanmina. Hubo además una ampliación de 3.390 M USD a 310 USD en agosto (+10 % de acciones), y el consejero delegado ha vendido ~130 M USD desde junio.</w:t>
      </w:r>
    </w:p>
    <w:p>
      <w:pPr>
        <w:numPr>
          <w:ilvl w:val="0"/>
          <w:numId w:val="1001"/>
        </w:numPr>
        <w:pStyle w:val="Compact"/>
      </w:pPr>
      <w:r>
        <w:t xml:space="preserve">La regla mecánica proyecta ~30.900 M de ventas a jun-2028 y les aplica un múltiplo un 30 % menor por la desaceleración. Sale una ponderada del −26 %. Con ventas en línea con la guía y sin contar dos veces la dilución, el base queda en torno al 0 %:</w:t>
      </w:r>
      <w:r>
        <w:t xml:space="preserve"> </w:t>
      </w:r>
      <w:r>
        <w:rPr>
          <w:bCs/>
          <w:b/>
        </w:rPr>
        <w:t xml:space="preserve">el precio ya descuenta el crecimiento prometido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Conclusión: un negocio excelente en su ciclo y bien gestionado, pero cíclico, con poco margen y muy concentrado en clientes. A este precio no deja margen de seguridad. No comprar. Se revisa tras los resultados del 26-oct y el Día del Inversor del 27-oct, o por debajo de ~250 USD.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Celestica (Toronto; cotiza en la NYSE y la TSX y desde 2025 presenta 10-K/10-Q como emisor doméstico de EE. UU.) tiene dos segmentos [1][3]: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CCS (Connectivity &amp; Cloud Solutions), ~81 % de las ventas</w:t>
      </w:r>
      <w:r>
        <w:t xml:space="preserve">: comunicaciones y</w:t>
      </w:r>
      <w:r>
        <w:t xml:space="preserve"> </w:t>
      </w:r>
      <w:r>
        <w:rPr>
          <w:iCs/>
          <w:i/>
        </w:rPr>
        <w:t xml:space="preserve">enterprise</w:t>
      </w:r>
      <w:r>
        <w:t xml:space="preserve"> </w:t>
      </w:r>
      <w:r>
        <w:t xml:space="preserve">(servidores y almacenamiento) para hiperescaladores. Dentro está</w:t>
      </w:r>
      <w:r>
        <w:t xml:space="preserve"> </w:t>
      </w:r>
      <w:r>
        <w:rPr>
          <w:bCs/>
          <w:b/>
        </w:rPr>
        <w:t xml:space="preserve">HPS (Hardware Platform Solutions)</w:t>
      </w:r>
      <w:r>
        <w:t xml:space="preserve">, el negocio de diseño propio (ODM): switches Ethernet de caja blanca diseñados por Celestica, con software abierto. En los 12 meses a junio, HPS vendió 6.400 M (+66 %) y en el 2T26, ~1.900 M (+58 %). CCS creció un 84 % en el 2T26, con un margen del segmento del 8,7 %.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ATS (Advanced Technology Solutions), ~19 %</w:t>
      </w:r>
      <w:r>
        <w:t xml:space="preserve">: aeroespacial y defensa, industrial, salud y equipos de semiconductores. Es la fabricación por encargo (EMS) clásica. Creció un 8 % en el 2T26, con un margen del 6,3 %.</w:t>
      </w:r>
    </w:p>
    <w:p>
      <w:pPr>
        <w:pStyle w:val="FirstParagraph"/>
      </w:pPr>
      <w:r>
        <w:rPr>
          <w:bCs/>
          <w:b/>
        </w:rPr>
        <w:t xml:space="preserve">Lo nuevo</w:t>
      </w:r>
      <w:r>
        <w:t xml:space="preserve">: 1) los switches de 1,6T, que empiezan a fabricarse este año. Hay un acuerdo con AMD para el switch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de 1,6T de su plataforma de racks Helios y un programa de 1,6T con óptica coempaquetada (CPO) para un hiperescalador [3]. 2) la integración de racks completos de IA: Google (TPU), OpenAI y AMD son clientes nombrados [9].</w:t>
      </w:r>
    </w:p>
    <w:p>
      <w:pPr>
        <w:pStyle w:val="BodyText"/>
      </w:pPr>
      <w:r>
        <w:rPr>
          <w:bCs/>
          <w:b/>
        </w:rPr>
        <w:t xml:space="preserve">Tecnología: 3/5.</w:t>
      </w:r>
      <w:r>
        <w:t xml:space="preserve"> </w:t>
      </w:r>
      <w:r>
        <w:t xml:space="preserve">El diseño de switches de alta velocidad y la integración a escala son difíciles, pero hay alternativas reales: Accton, Arista o Nvidia (Spectrum-X) en switches, y Foxconn, Quanta, Wiwynn, Jabil o Flex en racks. No hay patentes ni efectos de red que blinden el negocio.</w:t>
      </w:r>
      <w:r>
        <w:t xml:space="preserve"> </w:t>
      </w:r>
      <w:r>
        <w:rPr>
          <w:bCs/>
          <w:b/>
        </w:rPr>
        <w:t xml:space="preserve">Posición: 4/5.</w:t>
      </w:r>
      <w:r>
        <w:t xml:space="preserve"> </w:t>
      </w:r>
      <w:r>
        <w:t xml:space="preserve">Es el líder en switches de caja blanca para hiperescaladores en Norteamérica, con cuota creciente, pero no es el mayor del sector de fabricación.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(GAAP)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+52,8 %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4.698,6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5.250-5.550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+64-74 %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[1][2]. El margen bruto GAAP incluye las ganancias del</w:t>
      </w:r>
      <w:r>
        <w:t xml:space="preserve"> </w:t>
      </w:r>
      <w:r>
        <w:rPr>
          <w:iCs/>
          <w:i/>
        </w:rPr>
        <w:t xml:space="preserve">swap</w:t>
      </w:r>
      <w:r>
        <w:t xml:space="preserve"> </w:t>
      </w:r>
      <w:r>
        <w:t xml:space="preserve">sobre acciones propias (TRS). El ajustado es del 11,5 % en el 2T26 y del 11,4 % en el 1S26.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+21,2 %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 de la empresa)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(empresa: «más del 65 %»; consenso)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≥33.800; consenso ~35.450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+65 %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 15.594,5 M USD,</w:t>
      </w:r>
      <w:r>
        <w:t xml:space="preserve"> </w:t>
      </w:r>
      <w:r>
        <w:rPr>
          <w:bCs/>
          <w:b/>
        </w:rPr>
        <w:t xml:space="preserve">+47,3 %</w:t>
      </w:r>
      <w:r>
        <w:t xml:space="preserve"> </w:t>
      </w:r>
      <w:r>
        <w:t xml:space="preserve">sobre los 10.587,2 M de un año antes.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33,2 %</w:t>
      </w:r>
      <w:r>
        <w:t xml:space="preserve"> </w:t>
      </w:r>
      <w:r>
        <w:t xml:space="preserve">(8.784,6 M en los 12 meses a jun-2024).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2T26 creció un 62,4 %, frente a una media del 36,3 % en los cuatro trimestres anteriores:</w:t>
      </w:r>
      <w:r>
        <w:t xml:space="preserve"> </w:t>
      </w:r>
      <w:r>
        <w:rPr>
          <w:bCs/>
          <w:b/>
        </w:rPr>
        <w:t xml:space="preserve">+26,1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(fabricación por programas, no suscripción).</w:t>
      </w:r>
      <w:r>
        <w:t xml:space="preserve"> 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 </w:t>
      </w:r>
      <w:r>
        <w:t xml:space="preserve">(27-jul): 3T26 de 5.250-5.550 M y BPA ajustado de 2,88-3,08 USD; 2026 de 20.500 M (antes 19.000), BPA de 11,30 (antes 10,15), margen operativo ajustado del 8,4 % y FCF de 600 M. En 2027, crecimiento superior al 65 % y un BPA que crecerá más que las ventas [1].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</w:t>
      </w:r>
      <w:r>
        <w:t xml:space="preserve">:</w:t>
      </w:r>
      <w:r>
        <w:t xml:space="preserve"> </w:t>
      </w:r>
      <w:r>
        <w:rPr>
          <w:bCs/>
          <w:b/>
        </w:rPr>
        <w:t xml:space="preserve">~250.000 M USD en 2028</w:t>
      </w:r>
      <w:r>
        <w:t xml:space="preserve">, estimación propia [14]. Suma switches Ethernet de centros de datos (Dell’Oro/650 Group: ~163.000 M USD de switches de alta velocidad en 2030, citado en el folleto [3]), la integración de racks y servidores de IA que los hiperescaladores subcontratan, y el mercado de ATS. El dato es incierto: el gasto en TI de centros de datos (~3,1 billones USD en 2030 según el folleto) es mucho mayor, pero Celestica solo captura la parte de fabricación.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Penetración</w:t>
      </w:r>
      <w:r>
        <w:t xml:space="preserve">: 15.594,5 / 250.000 =</w:t>
      </w:r>
      <w:r>
        <w:t xml:space="preserve"> </w:t>
      </w:r>
      <w:r>
        <w:rPr>
          <w:bCs/>
          <w:b/>
        </w:rPr>
        <w:t xml:space="preserve">6,2 %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Rivales</w:t>
      </w:r>
      <w:r>
        <w:t xml:space="preserve">: en switches, Accton, Arista, Nvidia y Cisco (marca propia); en racks y servidores, Foxconn (FII), Quanta, Wiwynn, Jabil, Flex y Sanmina (que compró ZT Systems a AMD).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ingeniería propia de switches (HPS), relación de años con los hiperescaladores, entrega a tiempo y a escala, y un ROIC ajustado del 55 % [1]. El riesgo es que es un negocio de programas: cada generación se vuelve a licitar.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27-jul: segunda subida de la guía de 2026 (ventas de 19.000 a 20.500 M; BPA de 10,15 a 11,30) y anuncio de aceleración en 2027. El consenso de ventas de 2027 (~35.450 M) supera la guía. Recomendaciones: Hold de 1 a 0 desde mayo. En contra: Barclays recorta el objetivo de 430 a 406 por la dilución.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357,44 USD frente a una media de ~333 USD que sube (~329 hace un mes). Cálculo propio.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−2,2 % desde el 13-abr frente a ~+10 % del S&amp;P 500; −24 % desde el máximo de 472,40 USD (2-jun).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de ~16,5x frente a un mínimo de ~14,4x a finales de agosto: +15 %, por debajo del +20 %. Hace un año estaba en ~20x.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era rentable. El margen operativo ajustado sube 0,8 pp (7,4 % → 8,2 %); la señal pide primer beneficio o +5 pp.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Mixto: dilución y «momentum fatigue» en la prensa, compras de los analistas y minoristas alcistas pero nerviosos. Sin giro claro.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[8]-[11]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compra. Ventas del consejero delegado (~346.000 acciones, ~130 M USD, jun-sep), del CFO saliente y de otro directivo.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26-oct y Día del Inversor el 27-oct (objetivos a largo plazo); programas de 1,6T con AMD y CPO.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[1][3][12]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Subida en 12 meses del +36,9 % (de 261,06 a 357,44 USD) y EV/beneficio bruto de 13,8x, lejos del veto (≥ 150 % con &gt; 20x). La euforia estuvo antes: +146 % en los 12 meses hasta febrero de 2026 (TIKR) [9] y máximo en junio.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11,4 %</w:t>
      </w:r>
      <w:r>
        <w:t xml:space="preserve"> </w:t>
      </w:r>
      <w:r>
        <w:t xml:space="preserve">ajustado (sin pagos en acciones ni ganancias del TRS) en el 1S26; GAAP de 12,0 % en 12 meses [1][2]. Es el de un fabricante: en el método puntúa 0 de 5. Por eso el tope relevante no es el EV/beneficio bruto (13,8x, holgado) sino el múltiplo de EBITDA.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operativo</w:t>
      </w:r>
      <w:r>
        <w:t xml:space="preserve">: ajustado del 8,2 % en el 2T26 (récord), GAAP del 9,8 %. Guía del 8,4 % para 2026, y la empresa espera que suba en 2027.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</w:t>
      </w:r>
      <w:r>
        <w:t xml:space="preserve">: ~530 M USD en 12 meses (</w:t>
      </w:r>
      <w:r>
        <w:rPr>
          <w:bCs/>
          <w:b/>
        </w:rPr>
        <w:t xml:space="preserve">3,4 %</w:t>
      </w:r>
      <w:r>
        <w:t xml:space="preserve"> </w:t>
      </w:r>
      <w:r>
        <w:t xml:space="preserve">de las ventas, +37 %) [3]. Guía de 600 M para 2026, después de invertir ~625 M en 12 meses (cinco veces lo de hace un año). El capital circulante absorbe caja: las existencias suben 1.214 M en el semestre, compensadas por proveedores (+2.097 M) [1].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47,3 + 3,4 =</w:t>
      </w:r>
      <w:r>
        <w:t xml:space="preserve"> </w:t>
      </w:r>
      <w:r>
        <w:rPr>
          <w:bCs/>
          <w:b/>
        </w:rPr>
        <w:t xml:space="preserve">50,7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el gasto comercial y de administración ajustado baja del 3,0 % al 2,2 % de las ventas; el ROIC ajustado sube del 35,5 % al 55,5 %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: 535,7 M USD a 30-jun, más ~3.390 M netos de la ampliación de agosto:</w:t>
      </w:r>
      <w:r>
        <w:t xml:space="preserve"> </w:t>
      </w:r>
      <w:r>
        <w:rPr>
          <w:bCs/>
          <w:b/>
        </w:rPr>
        <w:t xml:space="preserve">~3.926 M pro forma</w:t>
      </w:r>
      <w:r>
        <w:t xml:space="preserve">. Sin contar el FCF del 3T [1][3].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Deuda</w:t>
      </w:r>
      <w:r>
        <w:t xml:space="preserve">: préstamos de la línea de crédito y arrendamientos financieros por</w:t>
      </w:r>
      <w:r>
        <w:t xml:space="preserve"> </w:t>
      </w:r>
      <w:r>
        <w:rPr>
          <w:bCs/>
          <w:b/>
        </w:rPr>
        <w:t xml:space="preserve">810,4 M</w:t>
      </w:r>
      <w:r>
        <w:t xml:space="preserve"> </w:t>
      </w:r>
      <w:r>
        <w:t xml:space="preserve">(26,4 a corto y 784,0 a largo plazo). Caja neta pro forma de ~3.100 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positivo; no hay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</w:t>
      </w:r>
      <w:r>
        <w:t xml:space="preserve"> </w:t>
      </w:r>
      <w:r>
        <w:rPr>
          <w:bCs/>
          <w:b/>
        </w:rPr>
        <w:t xml:space="preserve">+10,1 % en 12 meses</w:t>
      </w:r>
      <w:r>
        <w:t xml:space="preserve">. La ampliación de agosto colocó 11,13 M acciones a 310 USD, un 14,5 % por debajo del cierre anterior (362,76 USD). Hay 126,1 M acciones más ~1,5 M en derechos de acciones (RSU/PSU): ~127,7 M diluidas, frente a ~115,9 M un año antes [3]. Hasta 2025, la empresa recompraba acciones. Es la primera ampliación grande en años, para financiar capacidad y capital circulante.</w:t>
      </w:r>
      <w:r>
        <w:t xml:space="preserve"> </w:t>
      </w:r>
      <w:r>
        <w:rPr>
          <w:bCs/>
          <w:b/>
        </w:rPr>
        <w:t xml:space="preserve">En rojo</w:t>
      </w:r>
      <w:r>
        <w:t xml:space="preserve"> </w:t>
      </w:r>
      <w:r>
        <w:t xml:space="preserve">según el método (bloque E: 0 de 5 en dilución).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~80 M USD en 12 meses,</w:t>
      </w:r>
      <w:r>
        <w:t xml:space="preserve"> </w:t>
      </w:r>
      <w:r>
        <w:rPr>
          <w:bCs/>
          <w:b/>
        </w:rPr>
        <w:t xml:space="preserve">0,5 % de las ventas</w:t>
      </w:r>
      <w:r>
        <w:t xml:space="preserve"> </w:t>
      </w:r>
      <w:r>
        <w:t xml:space="preserve">[2]. Irrelevantes.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supera la parte alta de la guía de ventas y de BPA trimestre tras trimestre (2T26: 4.700 M frente a 4.150-4.450; BPA 2,54 frente a 2,14-2,34). Ha subido la guía anual dos veces en 2026 (17.000 → 19.000 → 20.500 M) [1][6].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(3/5)</w:t>
      </w:r>
      <w:r>
        <w:t xml:space="preserve">: Rob Mionis es consejero delegado desde 2015 (de memoria) y preside el consejo. Llevó a la empresa de un fabricante genérico al líder en switches para hiperescaladores. La asignación de capital ha sido buena: recompras a precios bajos y un ROIC del 55 %. Le restan tres cosas: 1) vendió ~346.000 acciones (~130 M USD) entre junio y septiembre, incluidas ~150.000 el 4 y 5-ago, justo antes de que la empresa colocara acciones a 310 USD (plan 10b5-1) [7]; 2) la ampliación con un descuento del 14,5 %; 3) cambios en la cúpula: nuevo CFO desde el 1-oct (Todd Ankenmann; Chawla pasa a presidente de mercados globales) y nuevo presidente de CCS en julio [12]. La participación de los directivos es pequeña (~0,75 %).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jun-2028, dos años después de los 12 meses a jun-2026, como en el backtest.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EV/EBITDA NTM, porque Celestica es rentable de forma estable. Con la proyección mecánica, el código saca el margen EBITDA implícito de los dos múltiplos (9,6 %).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357,44 × 127,7 + 810 − 3.926 =</w:t>
      </w:r>
      <w:r>
        <w:t xml:space="preserve"> </w:t>
      </w:r>
      <w:r>
        <w:rPr>
          <w:bCs/>
          <w:b/>
        </w:rPr>
        <w:t xml:space="preserve">42.533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 </w:t>
      </w:r>
      <w:r>
        <w:t xml:space="preserve">(3T26-2T27):</w:t>
      </w:r>
      <w:r>
        <w:t xml:space="preserve"> </w:t>
      </w:r>
      <w:r>
        <w:rPr>
          <w:bCs/>
          <w:b/>
        </w:rPr>
        <w:t xml:space="preserve">~27.050 M</w:t>
      </w:r>
      <w:r>
        <w:t xml:space="preserve"> </w:t>
      </w:r>
      <w:r>
        <w:t xml:space="preserve">(+73 %). Suman la guía del 3T (5.400), el 4T implícito en la guía anual (6.350) y un 1S27 de ~15.300, coherente con el «más del 65 %» de 2027 [15].</w:t>
      </w:r>
      <w:r>
        <w:t xml:space="preserve"> </w:t>
      </w:r>
      <w:r>
        <w:rPr>
          <w:bCs/>
          <w:b/>
        </w:rPr>
        <w:t xml:space="preserve">EV/ventas NTM 1,6x</w:t>
      </w:r>
      <w:r>
        <w:t xml:space="preserve">;</w:t>
      </w:r>
      <w:r>
        <w:t xml:space="preserve"> </w:t>
      </w:r>
      <w:r>
        <w:rPr>
          <w:bCs/>
          <w:b/>
        </w:rPr>
        <w:t xml:space="preserve">EV/EBITDA NTM ~16,5x</w:t>
      </w:r>
      <w:r>
        <w:t xml:space="preserve"> </w:t>
      </w:r>
      <w:r>
        <w:t xml:space="preserve">(EBITDA ~2.580 M);</w:t>
      </w:r>
      <w:r>
        <w:t xml:space="preserve"> </w:t>
      </w:r>
      <w:r>
        <w:rPr>
          <w:bCs/>
          <w:b/>
        </w:rPr>
        <w:t xml:space="preserve">EV/beneficio bruto NTM 13,8x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Mediana de 3 años: ~12x NTM</w:t>
      </w:r>
      <w:r>
        <w:t xml:space="preserve">;</w:t>
      </w:r>
      <w:r>
        <w:t xml:space="preserve"> </w:t>
      </w:r>
      <w:r>
        <w:rPr>
          <w:bCs/>
          <w:b/>
        </w:rPr>
        <w:t xml:space="preserve">mínimo ~5,5x</w:t>
      </w:r>
      <w:r>
        <w:t xml:space="preserve"> </w:t>
      </w:r>
      <w:r>
        <w:t xml:space="preserve">(oct-2023). Son estimaciones de memoria [16]: la acción pasó de ~6x a ~20-22x en 2025-2026.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Comparables: ~14x NTM</w:t>
      </w:r>
      <w:r>
        <w:t xml:space="preserve"> </w:t>
      </w:r>
      <w:r>
        <w:t xml:space="preserve">(estimado a partir de los múltiplos de 12 meses pasados [13]): Jabil ~12x, Flex ~16x, Sanmina ~11x, Fabrinet ~20x. Celestica crece mucho más que todos ellos.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73 % frente al 37,5 % del año objetivo en la regla → factor de 0,72 (casi el tope del −30 %).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a jun-2028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 (regla 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mitad del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−63,3 %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+44,1 % y +37,5 % (media del pasado y el CAGR propio, con decaimiento)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×1,2 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263,6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−26,2 %</w:t>
            </w:r>
          </w:p>
        </w:tc>
      </w:tr>
    </w:tbl>
    <w:p>
      <w:pPr>
        <w:pStyle w:val="BodyText"/>
      </w:pPr>
      <w:r>
        <w:t xml:space="preserve">Sin dividendo (Celestica no reparte). Acciones dentro de 12 meses: 140,6 M (la regla repite el +10,1 % de dilución).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0,1.</w:t>
      </w:r>
      <w:r>
        <w:t xml:space="preserve"> </w:t>
      </w:r>
      <w:r>
        <w:rPr>
          <w:bCs/>
          <w:b/>
        </w:rPr>
        <w:t xml:space="preserve">Precio máximo de compra: 251,1 USD</w:t>
      </w:r>
      <w:r>
        <w:t xml:space="preserve"> </w:t>
      </w:r>
      <w:r>
        <w:t xml:space="preserve">(−30 %). Lo fija la condición de base ≥ 0 % y ponderada ≥ 5 %; el tope de 35x el beneficio bruto quedaría muy por encima.</w:t>
      </w:r>
    </w:p>
    <w:p>
      <w:pPr>
        <w:pStyle w:val="BodyText"/>
      </w:pPr>
      <w:r>
        <w:rPr>
          <w:bCs/>
          <w:b/>
        </w:rPr>
        <w:t xml:space="preserve">Contraste y sensibilidad</w:t>
      </w:r>
      <w:r>
        <w:t xml:space="preserve"> </w:t>
      </w:r>
      <w:r>
        <w:t xml:space="preserve">(cuentas nuestras con el mismo código, sin cambiarlo):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 del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Vigente (la que manda)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Dilución futura del 0,5 % (la ampliación ya está en caja)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de 38.000 M a jun-2028 (coherentes con la guía de 2027), múltiplo 11,8x, dilución 0,5 % (cálculo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Igual, pero sin rebaja del múltiplo (16,5x)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 de la regla, sin rebaja del múltiplo, dilución 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Lectura</w:t>
      </w:r>
      <w:r>
        <w:t xml:space="preserve">: la conclusión depende sobre todo del múltiplo. Si el EV/EBITDA se mantiene en ~16,5x dentro de un año y las ventas cumplen la guía, la acción puede subir un 30-40 %. Si el múltiplo vuelve a su mediana de 3 años (~12x), como pasa al bajar la tasa de crecimiento de un fabricante, el precio de hoy ya descuenta todo lo prometido para 2027.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precio objetivo medio de ~474 USD (+33 %, 22 analistas, de 375 a 550) [6]. Ventas de 2027 de ~35.450 M y BPA de ~19,7 USD: a 357 USD, un PER 2027 de ~18x.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WACC del 10 %, margen FCF que sube del 3,4 % al 5 % y crecimiento terminal del 3 %. El precio descuenta un</w:t>
      </w:r>
      <w:r>
        <w:t xml:space="preserve"> </w:t>
      </w:r>
      <w:r>
        <w:rPr>
          <w:bCs/>
          <w:b/>
        </w:rPr>
        <w:t xml:space="preserve">~21 % anual durante 10 años</w:t>
      </w:r>
      <w:r>
        <w:t xml:space="preserve">, es decir, ~105.000 M USD de ventas en 2036. Es exigente para un fabricante cíclico, aunque 2026-2027 vayan muy por encima.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casi todos en Comprar (22 de 22). En octubre mantienen sus objetivos CIBC (500) y Bernstein (520). El tono de la prensa cambió en agosto con la ampliación: «Celestica drops 13 % as a $3 billion stock sale dilutes the AI darling» (Kalkine); Invezz (25-ago) recomienda vender hasta que se absorba la dilución [6][9].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en 2026 alterna Buy y Hold. Los títulos recientes son «Celestica Suffers From Outsized Growth Prospects And Momentum Fatigue» y, en sentido contrario, «The AI Infrastructure Titan Ready To Explode» [8].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 ($CLS, 13 y 14-oct)</w:t>
      </w:r>
      <w:r>
        <w:t xml:space="preserve">: alcista pero nervioso. «9 more trading days until earnings! They will BEAT and RAISE», «frustrating to hold», «right now, I am a bag holder, averaging down». Hoy se comenta una caída generalizada de la infraestructura de IA (CLS −6,9 % a media sesión; Flex, Fabrinet y Jabil −6/−8 %) y el temor a moratorias de centros de datos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r/investing) y foros en castellano (Rankia, Investing ES)</w:t>
      </w:r>
      <w:r>
        <w:t xml:space="preserve">: las búsquedas no devolvieron hilos recientes indexados.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podemos decir qué se dice ahí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va mejor que nunca (ventas +62 %, guía subida dos veces), pero la acción lleva cuatro meses lateral o a la baja. Pesan la dilución, las ventas del consejero delegado y el miedo a un pico del gasto en IA. No es euforia ni miedo extremo: es una acción muy seguida y con el consenso ya muy alcista, así que una sorpresa positiva tiene menos efecto.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del gasto en IA de los hiperescaladores</w:t>
      </w:r>
      <w:r>
        <w:t xml:space="preserve">: es el riesgo principal. Más del 60 % de las ventas viene de tres clientes [9]. Si recortan inversiones o cambian de proveedor en una generación (800G → 1,6T), las ventas caen rápido y el múltiplo con ellas. Las moratorias de centros de datos (Nueva York, jul-2026) y la falta de energía son síntomas de ese riesgo.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Margen fino</w:t>
      </w:r>
      <w:r>
        <w:t xml:space="preserve">: con un margen bruto del 11 %, cualquier presión de precios de los hiperescaladores o un problema de ejecución en los programas de 1,6T se come el beneficio.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Dilución y gobierno</w:t>
      </w:r>
      <w:r>
        <w:t xml:space="preserve">: la ampliación del 10 % y las ventas del consejero delegado justo antes de colocarla. No se puede descartar otra ampliación si la inversión en capacidad sigue creciendo.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Componentes y aranceles</w:t>
      </w:r>
      <w:r>
        <w:t xml:space="preserve">: en 2026 la escasez de memoria frenó entregas, y los aranceles de EE. UU. (fabricación en México, Tailandia y Malasia) son un riesgo si no se trasladan al cliente.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Competencia</w:t>
      </w:r>
      <w:r>
        <w:t xml:space="preserve">: Accton, Foxconn y Quanta en switches y racks; Nvidia vende su propia red completa.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ya cayó un 37 % entre junio y agosto con el negocio intacto. En el bajista de la regla (7x EBITDA) quedaría otro −63 %.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Ventas del 3T por debajo de 5.250 M o guía del 4T que no confirme ~20.500 M en 2026.</w:t>
      </w:r>
      <w:r>
        <w:t xml:space="preserve"> </w:t>
      </w:r>
      <w:r>
        <w:t xml:space="preserve">- La empresa retira o rebaja el «más del 65 %» de 2027 en el Día del Inversor.</w:t>
      </w:r>
      <w:r>
        <w:t xml:space="preserve"> </w:t>
      </w:r>
      <w:r>
        <w:t xml:space="preserve">- Pérdida de un programa de 1,6T o de uno de los tres grandes clientes.</w:t>
      </w:r>
      <w:r>
        <w:t xml:space="preserve"> </w:t>
      </w:r>
      <w:r>
        <w:t xml:space="preserve">- Margen operativo ajustado por debajo del 7,5 % dos trimestres seguidos.</w:t>
      </w:r>
    </w:p>
    <w:p>
      <w:pPr>
        <w:pStyle w:val="BodyText"/>
      </w:pPr>
      <w:r>
        <w:t xml:space="preserve">Hoy no hay tesis rota: la señal sale de la valoración.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26-oct-2026 (tras el 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 de 5.250-5.550 M, BPA 2,88-3,08)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Superar la guía es lo esperado; el foco está en el 4T y en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27-oct-2026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 (Nueva York): objetivos a largo plazo y margen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Puede fijar la cifra de 2027 que la regla no 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Finales de oct y principios de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e inversiones previstas de Alphabet, Meta, Microsoft y Amazon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 del gasto en IA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a escala de los switches de 1,6T (AMD Helios, CPO)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Mezcla y margen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guía formal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 la aceleración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Señal: no entra.</w:t>
      </w:r>
      <w:r>
        <w:t xml:space="preserve"> </w:t>
      </w:r>
      <w:r>
        <w:t xml:space="preserve">Con la regla v7 sale Vender (no comprar): ponderada −26,2 %. Incluso con las correcciones que proponemos, el base ronda el 0 % y no llega al +5 % que pide la compra.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 cartera value vigente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, ~29.800 EUR): no hay ninguna fabricante de electrónica. La exposición a la inversión en IA ya entra por</w:t>
      </w:r>
      <w:r>
        <w:t xml:space="preserve"> </w:t>
      </w:r>
      <w:r>
        <w:rPr>
          <w:bCs/>
          <w:b/>
        </w:rPr>
        <w:t xml:space="preserve">Alphabet</w:t>
      </w:r>
      <w:r>
        <w:t xml:space="preserve"> </w:t>
      </w:r>
      <w:r>
        <w:t xml:space="preserve">(que además es cliente de Celestica) y, en menor medida, por SAP e Intuit. Celestica no pasaría los requisitos value: el ROIC − WACC sí, pero la rentabilidad a 12 meses 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las compras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: Nu, argenx, Axon y Shopify; bolsillo ≈16 % con Shopify, tope del 20 %): las cuatro son software, plataformas o biotecnología con márgenes brutos altos. Celestica aportaría diversificación hacia el hardware de IA, pero con un riesgo de ciclo que ninguna de las cuatro tiene.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Liquidez</w:t>
      </w:r>
      <w:r>
        <w:t xml:space="preserve">: después de Shopify quedan ≈560 EUR sobrantes. La posición mínima es de 1.000 EUR (3,5 % = ~1.040 EUR, unas 3-4 acciones a ~321 EUR).</w:t>
      </w:r>
      <w:r>
        <w:t xml:space="preserve"> </w:t>
      </w:r>
      <w:r>
        <w:rPr>
          <w:bCs/>
          <w:b/>
        </w:rPr>
        <w:t xml:space="preserve">No cabe sin vender algo</w:t>
      </w:r>
      <w:r>
        <w:t xml:space="preserve">, y no hay motivo para rotar.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 cambiara</w:t>
      </w:r>
      <w:r>
        <w:t xml:space="preserve">: pasaría a interesar por debajo de</w:t>
      </w:r>
      <w:r>
        <w:t xml:space="preserve"> </w:t>
      </w:r>
      <w:r>
        <w:rPr>
          <w:bCs/>
          <w:b/>
        </w:rPr>
        <w:t xml:space="preserve">~251 USD</w:t>
      </w:r>
      <w:r>
        <w:t xml:space="preserve"> </w:t>
      </w:r>
      <w:r>
        <w:t xml:space="preserve">(≈225 EUR), o si en el Día del Inversor se fijan ventas de 2027-2028 que, con la regla mejorada, den base ≥ 0 % y ponderada ≥ 5 %. En ese caso, y solo con la liquidez que quede tras las órdenes value del 7-nov: 3,5 % (convicción baja), en dos tramos.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+47,3 % (5), CAGR 2 años 33,2 % (4), aceleración +26,1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6,2 % (3), tecnología (3), posición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de 8 señales (revisiones, media de 200, catalizador)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11,4 % (0), regla del 40 de 50,7 (4),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10,1 %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(5), dirección (3)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Guía de la empresa como suelo de la proyección mecánica</w:t>
      </w:r>
      <w:r>
        <w:t xml:space="preserve"> </w:t>
      </w:r>
      <w:r>
        <w:t xml:space="preserve">cuando la empresa da una cifra anual firme y la cumple siempre (historial 5/5). Aquí la regla da 30.865 M para los 12 meses a jun-2028, por debajo de la guía de la propia empresa para el año natural 2027 (≥ 33.800 M). Es lo mismo que pedía BE Semiconductor con la cartera de pedidos:</w:t>
      </w:r>
      <w:r>
        <w:t xml:space="preserve"> </w:t>
      </w:r>
      <w:r>
        <w:rPr>
          <w:rStyle w:val="VerbatimChar"/>
        </w:rPr>
        <w:t xml:space="preserve">ventas_guia_m</w:t>
      </w:r>
      <w:r>
        <w:t xml:space="preserve"> </w:t>
      </w:r>
      <w:r>
        <w:t xml:space="preserve">como mínimo del escenario base (no del alcista) cuando</w:t>
      </w:r>
      <w:r>
        <w:t xml:space="preserve"> </w:t>
      </w:r>
      <w:r>
        <w:rPr>
          <w:rStyle w:val="VerbatimChar"/>
        </w:rPr>
        <w:t xml:space="preserve">historial_0a5</w:t>
      </w:r>
      <w:r>
        <w:t xml:space="preserve"> </w:t>
      </w:r>
      <w:r>
        <w:t xml:space="preserve">≥ 4.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Medir la desaceleración con la misma proyección</w:t>
      </w:r>
      <w:r>
        <w:t xml:space="preserve"> </w:t>
      </w:r>
      <w:r>
        <w:t xml:space="preserve">(ya propuesto con BESI). Hoy se compara un crecimiento NTM del 73 % (guía) con el 37,5 % de la regla y el múltiplo cae casi el máximo. Además,</w:t>
      </w:r>
      <w:r>
        <w:t xml:space="preserve"> </w:t>
      </w:r>
      <w:r>
        <w:rPr>
          <w:rStyle w:val="VerbatimChar"/>
        </w:rPr>
        <w:t xml:space="preserve">crecimiento_actual_pct</w:t>
      </w:r>
      <w:r>
        <w:t xml:space="preserve"> </w:t>
      </w:r>
      <w:r>
        <w:t xml:space="preserve">mueve también el margen EBITDA implícito, así que un mismo dato cambia dos cosas a la vez. Con el crecimiento de la regla en las dos puntas, la ponderada pasa de −26 % a +10 %: demasiado sensible a un solo campo.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Cs/>
          <w:b/>
        </w:rPr>
        <w:t xml:space="preserve">dilucion_esperada_pct</w:t>
      </w:r>
      <w:r>
        <w:rPr>
          <w:bCs/>
          <w:b/>
        </w:rPr>
        <w:t xml:space="preserve"> </w:t>
      </w:r>
      <w:r>
        <w:rPr>
          <w:bCs/>
          <w:b/>
        </w:rPr>
        <w:t xml:space="preserve">aparte</w:t>
      </w:r>
      <w:r>
        <w:t xml:space="preserve"> </w:t>
      </w:r>
      <w:r>
        <w:t xml:space="preserve">(ya propuesto con Rocket Lab). La ampliación de agosto ya está en caja y en las acciones; la regla la repite y cuesta ~7 pp de ponderada.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Con EV/EBITDA y ventas del analista, el código aplica el múltiplo de EBITDA a las ventas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margenImpl</w:t>
      </w:r>
      <w:r>
        <w:t xml:space="preserve"> </w:t>
      </w:r>
      <w:r>
        <w:t xml:space="preserve">= 1 si la proyección no es mecánica). En v7 no pasa porque la proyección es siempre mecánica, pero cualquier versión que use la del analista con EBITDA necesita el campo</w:t>
      </w:r>
      <w:r>
        <w:t xml:space="preserve"> </w:t>
      </w:r>
      <w:r>
        <w:rPr>
          <w:rStyle w:val="VerbatimChar"/>
        </w:rPr>
        <w:t xml:space="preserve">margen_ebitda_obj_pct</w:t>
      </w:r>
      <w:r>
        <w:t xml:space="preserve"> </w:t>
      </w:r>
      <w:r>
        <w:t xml:space="preserve">(ya propuesto con Siemens Energy).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Para fabricantes con margen bruto &lt; 20 %</w:t>
      </w:r>
      <w:r>
        <w:t xml:space="preserve">, el filtro de EV/beneficio bruto ≤ 35 no limita nada (aquí 13,8x). Un tope propio con EV/EBITDA (p. ej., ≤ 1,5 × comparables o ≤ 25x, como se propuso con Siemens Energy) mediría mejor la valoración.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Celestica, Q2 2026 Financial Results (8-K, ex. 99.1, 27-jul-2026, SEC EDGAR): ventas, márgenes, BPA, guía del 3T y de 2026, perspectiva de 2027, balance y flujo de caja.</w:t>
      </w:r>
      <w:r>
        <w:t xml:space="preserve"> </w:t>
      </w:r>
      <w:r>
        <w:t xml:space="preserve">[2] SEC EDGAR, XBRL companyfacts de Celestica (10-K 2025 y 10-Q 2026): ventas y beneficio bruto trimestrales 2024-2026, flujo de operaciones, pagos en acciones y acciones diluidas; 6-K del 3T23 (ventas 2.043,3 M) y 10-K (2023: 7.961 M).</w:t>
      </w:r>
      <w:r>
        <w:t xml:space="preserve"> </w:t>
      </w:r>
      <w:r>
        <w:t xml:space="preserve">[3] Celestica, folleto de la ampliación (424B5, 5/6-ago-2026) y 8-K del 7-ago: 11,13 M acciones a 310 USD, ~3.390 M netos, 126,1 M acciones tras la oferta y 1,53 M de RSU/PSU; datos de 12 meses (ventas 15.600 M, FCF ~530 M, inversiones 625 M, ROIC); Dell’Oro/650 Group; programas de 1,6T con AMD y CPO.</w:t>
      </w:r>
      <w:r>
        <w:t xml:space="preserve"> </w:t>
      </w:r>
      <w:r>
        <w:t xml:space="preserve">[4] Cotización: Yahoo Finance chart API (serie diaria de 2 años) y Nasdaq.com (histórico): cierre del 13-oct-2026 de 357,44 USD en ambas; 261,06 USD el 13-oct-2025; TSX 507,89 CAD el 13-oct (~355,7 USD al cambio de 1,428). A media sesión del 14-oct: ~332,8 USD.</w:t>
      </w:r>
      <w:r>
        <w:t xml:space="preserve"> </w:t>
      </w:r>
      <w:r>
        <w:t xml:space="preserve">[5] Yahoo Finance: S&amp;P 500 y comparables (JBL, FLEX, FN, SANM); rentabilidades de 6 y 12 meses calculadas por nosotros.</w:t>
      </w:r>
      <w:r>
        <w:t xml:space="preserve"> </w:t>
      </w:r>
      <w:r>
        <w:t xml:space="preserve">[6] StockAnalysis.com (datos de S&amp;P Global): objetivo medio de 473,91 USD (22 analistas, de 375 a 550); consenso de ventas de 2026 (20.560 M) y 2027 (35.450 M), BPA de 2027 de ~19,67; acciones de los analistas de agosto a octubre de 2026; TipRanks/The Fly (guía de 2026 subida de 17.000 a 19.000 M con el 1T).</w:t>
      </w:r>
      <w:r>
        <w:t xml:space="preserve"> </w:t>
      </w:r>
      <w:r>
        <w:t xml:space="preserve">[7] SEC EDGAR, formularios 4 (jun-sep 2026): ventas de R. Mionis, M. Chawla y T. Cooper; ninguna compra.</w:t>
      </w:r>
      <w:r>
        <w:t xml:space="preserve"> </w:t>
      </w:r>
      <w:r>
        <w:t xml:space="preserve">[8] Seeking Alpha: «Celestica announces $3B common stock offering; shares drop»; «Celestica Suffers From Outsized Growth Prospects And Momentum Fatigue»; «The AI Infrastructure Titan Ready To Explode»; artículos de 2026.</w:t>
      </w:r>
      <w:r>
        <w:t xml:space="preserve"> </w:t>
      </w:r>
      <w:r>
        <w:t xml:space="preserve">[9] TIKR («Up 146% In Last 12 Months…», feb-2026); Invezz (25-ago-2026); Kalkine («drops 13% as a $3 billion stock sale dilutes the AI darling»); The Motley Fool Canada (27-ago-2026: caída del 37 %, &gt;60 % de las ventas en tres clientes; OpenAI, AMD y Google como clientes nombrados).</w:t>
      </w:r>
      <w:r>
        <w:t xml:space="preserve"> </w:t>
      </w:r>
      <w:r>
        <w:t xml:space="preserve">[10] StockTwits, flujo de $CLS (13 y 14-oct-2026).</w:t>
      </w:r>
      <w:r>
        <w:t xml:space="preserve"> </w:t>
      </w:r>
      <w:r>
        <w:t xml:space="preserve">[11] Reddit, Rankia e Investing.com ES: búsquedas sin hilos recientes indexados (laguna).</w:t>
      </w:r>
      <w:r>
        <w:t xml:space="preserve"> </w:t>
      </w:r>
      <w:r>
        <w:t xml:space="preserve">[12] Celestica, notas de prensa del 8-sep-2026 (Día del Inversor el 27-oct) y del 6-oct-2026 (resultados del 3T el 26-oct); 8-K del 11-sep-2026 (nuevo CFO) y del 6-jul-2026 (nuevo presidente de CCS).</w:t>
      </w:r>
      <w:r>
        <w:t xml:space="preserve"> </w:t>
      </w:r>
      <w:r>
        <w:t xml:space="preserve">[13] StockAnalysis.com, estadísticas de JBL, FLEX, SANM y FN (14-oct-2026): EV/EBITDA de 12 meses pasados de 14,1x, 20,8x, 13,8x y 26,1x; márgenes brutos del 9-12 %.</w:t>
      </w:r>
      <w:r>
        <w:t xml:space="preserve"> </w:t>
      </w:r>
      <w:r>
        <w:t xml:space="preserve">[14] Mercado alcanzable de ~250.000 M USD en 2028: estimación propia a partir de [3].</w:t>
      </w:r>
      <w:r>
        <w:t xml:space="preserve"> </w:t>
      </w:r>
      <w:r>
        <w:t xml:space="preserve">[15] Estimación propia de las ventas NTM (~27.050 M) y del EBITDA NTM (~2.580 M) con la guía de la empresa.</w:t>
      </w:r>
      <w:r>
        <w:t xml:space="preserve"> </w:t>
      </w:r>
      <w:r>
        <w:t xml:space="preserve">[16] De memoria / aproximado: múltiplos históricos de Celestica (EV/EBITDA NTM ~5,5x en oct-2023, ~10-11x en 2024, ~20x en oct-2025, ~22x en jun-2026; mediana de 3 años ~12x) y paso de los múltiplos de los comparables de 12 meses pasados a NTM.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2026-10-14T15:58:54Z</dcterms:created>
  <dcterms:modified xsi:type="dcterms:W3CDTF">2026-10-14T15:58:54Z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