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Laboratorios Farmacéuticos Rovi, S.A.</w:t>
      </w:r>
    </w:p>
    <w:p>
      <w:pPr>
        <w:spacing w:after="60"/>
        <w:rPr>
          <w:color w:val="52514E"/>
          <w:sz w:val="22"/>
          <w:szCs w:val="22"/>
        </w:rPr>
      </w:pPr>
      <w:r>
        <w:rPr>
          <w:color w:val="52514E"/>
          <w:sz w:val="22"/>
          <w:szCs w:val="22"/>
        </w:rPr>
        <w:t xml:space="preserve">ROVI · Bolsa de Madrid (Mercado Continuo) · ISIN ES0157261019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58,94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65,80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+13,3 % (base +12,7 %)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51,53 EUR · mercado 60,33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Laboratorios Farmacéuticos Rovi,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ROVI / ES0157261019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1946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www.rovi.es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58,94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53,10 – 86,70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65,80 EUR</w:t>
      </w:r>
      <w:r>
        <w:t xml:space="preserve"> frente a 58,94 · Rentabilidad a 12 meses </w:t>
      </w:r>
      <w:r>
        <w:rPr>
          <w:b/>
          <w:bCs/>
        </w:rPr>
        <w:t xml:space="preserve">+13,3 % (base +12,7 %)</w:t>
      </w:r>
      <w:r>
        <w:t xml:space="preserve"> · Valor intrínseco 51,53 EUR · con la prima implícita del mercado: 60,33 (+2,4 %) · Alcista / bajista -0,4 % / -37,9 %</w:t>
      </w:r>
    </w:p>
    <w:p>
      <w:pPr>
        <w:spacing w:after="100"/>
      </w:pPr>
      <w:r>
        <w:rPr>
          <w:b/>
        </w:rPr>
        <w:t xml:space="preserve">La recomendación y por qué.</w:t>
      </w:r>
      <w:r>
        <w:t xml:space="preserve"> Mantener, con convicción baja. Con nuestro BPA y la regla común de múltiplos, el objetivo a 12 meses es de 65,80 EUR frente a 58,94 EUR (precio del 7 de octubre): +13,3 % con el dividendo, +12,7 % en el caso base y una asimetría de 2,8 veces. Se queda a 1,7 puntos del umbral de compra (15 %) y, sobre todo, el valor intrínseco (51,53 EUR en la síntesis; 51,14 el DCF) está un 12,6 % por debajo del precio, así que la regla no permite comprar. El objetivo medio de los analistas (75,48 EUR) queda dentro de nuestro rango (50,87-81,38) pero por encima de nuestro base, porque esperan más ventas en 2028. La convicción es baja porque las dos reglas del valor intrínseco discrepan (absoluta Vender, relativa Mantener) y porque las cifras salen de extractos de búsqueda; subiría si el contrato de jeringas tiene fecha de arranque en los resultados del 5 de noviembre.</w:t>
      </w:r>
    </w:p>
    <w:p>
      <w:pPr>
        <w:spacing w:after="100"/>
      </w:pPr>
      <w:r>
        <w:rPr>
          <w:b/>
        </w:rPr>
        <w:t xml:space="preserve">El negocio.</w:t>
      </w:r>
      <w:r>
        <w:t xml:space="preserve"> Rovi combina especialidades (473,9 M en 2025: heparinas y Okedi) con fabricación aséptica para terceros (269,6 M) [1]. Su ROIC del 21 % supera al WACC (8,31 %) en 12,7 puntos, con caja neta de 22,5 M [2]. La sostenibilidad del crecimiento es «En parte»: el ROIC financia un 5,2 % anual, lo que proyectamos tras rebajar el base, pero el poder de precios no está demostrado (heparinas a la baja, CDMO con pocos clientes).</w:t>
      </w:r>
    </w:p>
    <w:p>
      <w:pPr>
        <w:spacing w:after="100"/>
      </w:pPr>
      <w:r>
        <w:rPr>
          <w:b/>
        </w:rPr>
        <w:t xml:space="preserve">Finanzas.</w:t>
      </w:r>
      <w:r>
        <w:t xml:space="preserve"> El EBITDA del 1S26 (121,2 M) lleva 62,4 M de badwill por la planta de Phoenix comprada a BMS; sin él cae un 10 % (58,8 M), aunque los ingresos operativos suben un 9,4 % con la CDMO +38 % [2, 15]. La guía de 2026 se rebajó en mayo a un 0-10 % de crecimiento [17].</w:t>
      </w:r>
    </w:p>
    <w:p>
      <w:pPr>
        <w:spacing w:after="100"/>
      </w:pPr>
      <w:r>
        <w:rPr>
          <w:b/>
        </w:rPr>
        <w:t xml:space="preserve">Equipo y gobierno.</w:t>
      </w:r>
      <w:r>
        <w:t xml:space="preserve"> La familia López-Belmonte controla el 58,2 % y el presidente es también primer ejecutivo [26]. Ha devuelto 300 M en recompras desde 2021 sin endeudarse [12], pero la guía de 2026 duró cuatro meses.</w:t>
      </w:r>
    </w:p>
    <w:p>
      <w:pPr>
        <w:spacing w:after="100"/>
      </w:pPr>
      <w:r>
        <w:rPr>
          <w:b/>
        </w:rPr>
        <w:t xml:space="preserve">Valoración.</w:t>
      </w:r>
      <w:r>
        <w:t xml:space="preserve"> Los métodos se agrupan en 51-55 EUR (DCF 51,14; comparables 53-55), por debajo del precio. El DCF inverso dice que el mercado descuenta un crecimiento del 10 % anual en 2027-2033 o un margen EBITDA del 33,2 %, frente al 5,6 % y el 30 % de nuestro base: paga por adelantado la capacidad de llenado que aún está vacía. A 12 meses, el PER actual (19,2x nuestro BPA de 2027e) sostiene el precio si el contrato arranca.</w:t>
      </w:r>
    </w:p>
    <w:p>
      <w:pPr>
        <w:spacing w:after="100"/>
      </w:pPr>
      <w:r>
        <w:rPr>
          <w:b/>
        </w:rPr>
        <w:t xml:space="preserve">Riesgos y catalizadores.</w:t>
      </w:r>
      <w:r>
        <w:t xml:space="preserve"> El mayor riesgo es otro retraso del contrato de jeringas (escenario bajista del DCF: −38 %); después, el precio de las heparinas. Los foros están divididos y señalan lo mismo que el informe: el beneficio de 2026 está inflado por el badwill.</w:t>
      </w:r>
    </w:p>
    <w:p>
      <w:pPr>
        <w:spacing w:after="100"/>
      </w:pPr>
      <w:r>
        <w:rPr>
          <w:b/>
        </w:rPr>
        <w:t xml:space="preserve">Qué cambiaría la decisión.</w:t>
      </w:r>
      <w:r>
        <w:t xml:space="preserve"> Compraríamos por debajo de 51,53 EUR o si la guía de 2027 confirma el contrato de jeringas y el EBITDA sin extraordinarios vuelve a crecer; venderíamos por encima de 74,17 EUR o si el contrato se cae.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65,80 EUR</w:t>
      </w:r>
      <w:r>
        <w:t xml:space="preserve"> (rentabilidad +13,3 % (base +12,7 %)) · Valor intrínseco: 51,53 EUR (-12,6 % sobre 58,94) · con la prima implícita del mercado: 60,33 (+2,4 %)</w:t>
      </w:r>
    </w:p>
    <w:p>
      <w:pPr>
        <w:spacing w:after="100"/>
      </w:pPr>
      <w:r>
        <w:t xml:space="preserve">Rovi es una farmacéutica española con dos motores: especialidades propias (heparinas de bajo peso molecular y Okedi, su risperidona inyectable con tecnología ISM) y fabricación aséptica para terceros, que llenó la vacuna de Moderna y ahora busca nuevos clientes con una capacidad prevista para 2027 de 690-880 M de jeringas [1, 19]. Gana un ROIC del 21 % sin deuda.</w:t>
      </w:r>
    </w:p>
    <w:p>
      <w:pPr>
        <w:spacing w:after="100"/>
      </w:pPr>
      <w:r>
        <w:t xml:space="preserve">El precio (58,94 EUR) descuenta que esa capacidad se llena deprisa: el DCF inverso pide un crecimiento del 10 % anual en 2027-2033 o un margen del 33,2 %, y cotiza a 18,3 veces el BPA de los próximos 12 meses, por encima de la mediana de los comparables (17,0x) [39].</w:t>
      </w:r>
    </w:p>
    <w:p>
      <w:pPr>
        <w:spacing w:after="100"/>
      </w:pPr>
      <w:r>
        <w:t xml:space="preserve">Para invertir hay que creer que el contrato de jeringas arranca en 2027 y que Phoenix consigue clientes más allá del mínimo de BMS. Nuestro base es más prudente (918 M de ventas en 2028e frente a 975,5 M del consenso) y da un valor intrínseco de 51,53 EUR (DCF de 51,14) [30].</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2,78 = 50,87 · 19,2x × 3,41 = 65,47 · 21,7x × 3,75 = 81,38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 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75,48 (nuestro base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 -37,9 %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(5,3 % anual proyectado; financiable al ROIC actual: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51,53 y 74,17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74,17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51,53 EUR, pasaríamos a Comprar.</w:t>
      </w:r>
    </w:p>
    <w:p>
      <w:pPr>
        <w:pStyle w:val="ListParagraph"/>
        <w:numPr>
          <w:ilvl w:val="0"/>
          <w:numId w:val="2"/>
        </w:numPr>
        <w:spacing w:after="60"/>
      </w:pPr>
      <w:r>
        <w:t xml:space="preserve">Si el precio supera 74,17 EUR, pasaríamos a Vender o reducir.</w:t>
      </w:r>
    </w:p>
    <w:p>
      <w:pPr>
        <w:pStyle w:val="ListParagraph"/>
        <w:numPr>
          <w:ilvl w:val="0"/>
          <w:numId w:val="2"/>
        </w:numPr>
        <w:spacing w:after="60"/>
      </w:pPr>
      <w:r>
        <w:t xml:space="preserve">Si la guía de 2027 incluye el contrato de jeringas con crecimiento de doble dígito, subiríamos el base y la convicción.</w:t>
      </w:r>
    </w:p>
    <w:p>
      <w:pPr>
        <w:pStyle w:val="ListParagraph"/>
        <w:numPr>
          <w:ilvl w:val="0"/>
          <w:numId w:val="2"/>
        </w:numPr>
        <w:spacing w:after="60"/>
      </w:pPr>
      <w:r>
        <w:t xml:space="preserve">Si el EBITDA de 9M26 sin badwill cae más de un 10 %,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de la vacuna quedó atrás y que la CDMO vuelve a crecer a doble dígito con el contrato de jeringas y Phoenix, con un BPA de 4,15 EUR en 2028e [30].</w:t>
      </w:r>
    </w:p>
    <w:p>
      <w:pPr>
        <w:keepNext/>
        <w:spacing w:after="100"/>
      </w:pPr>
      <w:r>
        <w:rPr>
          <w:b/>
          <w:bCs/>
        </w:rPr>
        <w:t xml:space="preserve">Lo que creemos nosotros.</w:t>
      </w:r>
    </w:p>
    <w:p>
      <w:pPr>
        <w:spacing w:after="100"/>
      </w:pPr>
      <w:r>
        <w:t xml:space="preserve">La CDMO crece, pero con retrasos y pocos clientes, y las heparinas pierden precio: BPA de 3,41 EUR en 2028e y un crecimiento financiable del 5,2 % anual.</w:t>
      </w:r>
    </w:p>
    <w:p>
      <w:pPr>
        <w:keepNext/>
        <w:spacing w:after="100"/>
      </w:pPr>
      <w:r>
        <w:rPr>
          <w:b/>
          <w:bCs/>
        </w:rPr>
        <w:t xml:space="preserve">Por qué podemos tener razón.</w:t>
      </w:r>
    </w:p>
    <w:p>
      <w:pPr>
        <w:spacing w:after="100"/>
      </w:pPr>
      <w:r>
        <w:t xml:space="preserve">El contrato ya se retrasó en 2026, el EBITDA sin badwill del 1S26 cayó un 10 % y el ROIC incremental de 2022-2025 es negativo [2, 17].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21 % y caja neta</w:t>
      </w:r>
      <w:r>
        <w:t xml:space="preserve"> de 22,5 M: crea valor sin apalancamiento [2].</w:t>
      </w:r>
    </w:p>
    <w:p>
      <w:pPr>
        <w:pStyle w:val="ListParagraph"/>
        <w:numPr>
          <w:ilvl w:val="0"/>
          <w:numId w:val="2"/>
        </w:numPr>
        <w:spacing w:after="60"/>
      </w:pPr>
      <w:r>
        <w:rPr>
          <w:b/>
        </w:rPr>
        <w:t xml:space="preserve">CDMO +38 % en el 1S26</w:t>
      </w:r>
      <w:r>
        <w:t xml:space="preserve"> con Phoenix y nuevas líneas [2].</w:t>
      </w:r>
    </w:p>
    <w:p>
      <w:pPr>
        <w:pStyle w:val="ListParagraph"/>
        <w:numPr>
          <w:ilvl w:val="0"/>
          <w:numId w:val="2"/>
        </w:numPr>
        <w:spacing w:after="60"/>
      </w:pPr>
      <w:r>
        <w:rPr>
          <w:b/>
        </w:rPr>
        <w:t xml:space="preserve">Okedi +97 % en 2025</w:t>
      </w:r>
      <w:r>
        <w:t xml:space="preserve"> (56,7 M), con patente propia [1].</w:t>
      </w:r>
    </w:p>
    <w:p>
      <w:pPr>
        <w:pStyle w:val="ListParagraph"/>
        <w:numPr>
          <w:ilvl w:val="0"/>
          <w:numId w:val="2"/>
        </w:numPr>
        <w:spacing w:after="60"/>
      </w:pPr>
      <w:r>
        <w:rPr>
          <w:b/>
        </w:rPr>
        <w:t xml:space="preserve">Phoenix con mínimo de 50 M USD anuales</w:t>
      </w:r>
      <w:r>
        <w:t xml:space="preserve"> de BMS durante cinco años [20].</w:t>
      </w:r>
    </w:p>
    <w:p>
      <w:pPr>
        <w:pStyle w:val="ListParagraph"/>
        <w:numPr>
          <w:ilvl w:val="0"/>
          <w:numId w:val="2"/>
        </w:numPr>
        <w:spacing w:after="60"/>
      </w:pPr>
      <w:r>
        <w:rPr>
          <w:b/>
        </w:rPr>
        <w:t xml:space="preserve">Asimetría a 12 meses de 2,8 veces</w:t>
      </w:r>
      <w:r>
        <w:t xml:space="preserve"> (+39,7 % frente a −12,1 %).</w:t>
      </w:r>
    </w:p>
    <w:p>
      <w:pPr>
        <w:pStyle w:val="Heading2"/>
      </w:pPr>
      <w:r>
        <w:t xml:space="preserve">En contra</w:t>
      </w:r>
    </w:p>
    <w:p>
      <w:pPr>
        <w:pStyle w:val="ListParagraph"/>
        <w:numPr>
          <w:ilvl w:val="0"/>
          <w:numId w:val="2"/>
        </w:numPr>
        <w:spacing w:after="60"/>
      </w:pPr>
      <w:r>
        <w:rPr>
          <w:b/>
        </w:rPr>
        <w:t xml:space="preserve">Valor intrínseco de 51,53 EUR</w:t>
      </w:r>
      <w:r>
        <w:t xml:space="preserve">, un 12,6 % por debajo del precio (DCF: 51,14).</w:t>
      </w:r>
    </w:p>
    <w:p>
      <w:pPr>
        <w:pStyle w:val="ListParagraph"/>
        <w:numPr>
          <w:ilvl w:val="0"/>
          <w:numId w:val="2"/>
        </w:numPr>
        <w:spacing w:after="60"/>
      </w:pPr>
      <w:r>
        <w:rPr>
          <w:b/>
        </w:rPr>
        <w:t xml:space="preserve">Beneficio de 2026 inflado</w:t>
      </w:r>
      <w:r>
        <w:t xml:space="preserve"> por 62,4 M de badwill [2].</w:t>
      </w:r>
    </w:p>
    <w:p>
      <w:pPr>
        <w:pStyle w:val="ListParagraph"/>
        <w:numPr>
          <w:ilvl w:val="0"/>
          <w:numId w:val="2"/>
        </w:numPr>
        <w:spacing w:after="60"/>
      </w:pPr>
      <w:r>
        <w:rPr>
          <w:b/>
        </w:rPr>
        <w:t xml:space="preserve">Guía rebajada en mayo</w:t>
      </w:r>
      <w:r>
        <w:t xml:space="preserve"> a un 0-10 % de crecimiento [17].</w:t>
      </w:r>
    </w:p>
    <w:p>
      <w:pPr>
        <w:pStyle w:val="ListParagraph"/>
        <w:numPr>
          <w:ilvl w:val="0"/>
          <w:numId w:val="2"/>
        </w:numPr>
        <w:spacing w:after="60"/>
      </w:pPr>
      <w:r>
        <w:rPr>
          <w:b/>
        </w:rPr>
        <w:t xml:space="preserve">Heparinas −4 % en el 1S26</w:t>
      </w:r>
      <w:r>
        <w:t xml:space="preserve"> por precios e inventarios de socios [2].</w:t>
      </w:r>
    </w:p>
    <w:p>
      <w:pPr>
        <w:pStyle w:val="ListParagraph"/>
        <w:numPr>
          <w:ilvl w:val="0"/>
          <w:numId w:val="2"/>
        </w:numPr>
        <w:spacing w:after="60"/>
      </w:pPr>
      <w:r>
        <w:rPr>
          <w:b/>
        </w:rPr>
        <w:t xml:space="preserve">Control familiar del 58,2 %</w:t>
      </w:r>
      <w:r>
        <w:t xml:space="preserve"> con presidente ejecutivo [26].</w:t>
      </w:r>
    </w:p>
    <w:p>
      <w:pPr>
        <w:pStyle w:val="Heading2"/>
      </w:pPr>
      <w:r>
        <w:t xml:space="preserve">Qué tiene que pasar para que la tesis funcione</w:t>
      </w:r>
    </w:p>
    <w:p>
      <w:pPr>
        <w:spacing w:after="100"/>
      </w:pPr>
      <w:r>
        <w:t xml:space="preserve">La tesis depende de que el contrato de llenado de jeringas obtenga la autorización y arranque en 2027. La señal de que no se cumple: una guía de 2027 (febrero) con la CDMO plana o sin el contrato, o un EBITDA de 9M26 sin badwill por debajo del de 9M25.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CDMO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M en el 1S26 (+38 %)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por debajo del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sin badwill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M en el 1S26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9M26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la ganancia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 M en el 1S26 (−4 %)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las especialidades.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Okedi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M en el 1S26 (+27 %)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Palanca de margen propia.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Rovi nace en 1946 en Madrid como laboratorio de la familia López-Belmonte y se especializa en heparinas de bajo peso molecular: desarrolló la bemiparina y, desde 2017, comercializa su biosimilar de enoxaparina en Europa. Salió a bolsa en 2007 y entró en el Ibex 35 en diciembre de 2021, en pleno contrato de fabricación de la vacuna de Moderna, que llevó el beneficio a su máximo en 2022 (199,7 M) [A4, 3]. Desde 2023 la caída de la vacuna se compensa con especialidades (Okedi, la risperidona de liberación prolongada con su tecnología ISM) y con nuevos contratos de llenado de jeringas, más la compra en 2026 de la planta de Phoenix a BMS [A2, A20].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laboratorio en Madrid por la familia López-Belmonte.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Madrid.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biosimilar de enoxaparina en Europa.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la vacuna de Moderna y entrada en el Ibex 35 (diciembre)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Okedi (risperidona ISM) en Europa y beneficio récord de 199,7 M [A4].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llenado de jeringas con una farmacéutica global y tercera recompra (130 M) [A12].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la planta de Phoenix (Arizona) a Bristol Myers Squibb con contrato de cinco años [A20].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Rovi tiene dos negocios. Especialidades farmacéuticas (473,9 M en 2025, el 64 % de los ingresos operativos): heparinas de bajo peso molecular (266,8 M: enoxaparina biosimilar en Europa y bemiparina vendida por socios en más de 50 países), los antipsicóticos inyectables de liberación prolongada con tecnología ISM (Okedi, 56,7 M, y Risvan) y una cartera de productos licenciados en España (Neparvis, Volutsa, Orvatez) [A1, A10]. Fabricación a terceros o CDMO (269,6 M): llenado aséptico de jeringas precargadas, viales y cartuchos en Madrid (San Sebastián de los Reyes, Alcalá) y desde abril de 2026 en Phoenix (EE. UU.), para Moderna, una farmacéutica global con un contrato de jeringas firmado en 2024 y BMS [A2, A19, A20].</w:t>
      </w:r>
    </w:p>
    <w:p>
      <w:pPr>
        <w:pStyle w:val="Heading2"/>
      </w:pPr>
      <w:r>
        <w:t xml:space="preserve">Cómo gana dinero</w:t>
      </w:r>
    </w:p>
    <w:p>
      <w:pPr>
        <w:spacing w:after="100"/>
      </w:pPr>
      <w:r>
        <w:t xml:space="preserve">Las heparinas y los productos licenciados dan una base estable con margen bruto alto pero presión de precios en licitaciones hospitalarias; Okedi, con patente propia, es la palanca de margen. La CDMO cobra por lote llenado y depende de los volúmenes de cada cliente: con la vacuna de Moderna en 2021-2022 el EBITDA llegó a 281,5 M y con su caída bajó a 207,4 M en 2024 [A4]. Hay mucho apalancamiento operativo: las plantas se construyeron antes de tener la demanda y el margen sube con la ocupación. Estacionalidad marcada: la CDMO y las heparinas pesan más en el segundo semestre (en 2025, el 72 % del beneficio salió del 2S) [A1, A2].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a terceros (CDMO)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a terceros (CDMO)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r>
    </w:tbl>
    <w:p>
      <w:pPr>
        <w:spacing w:after="160" w:before="0"/>
      </w:pPr>
    </w:p>
    <w:p>
      <w:pPr>
        <w:pStyle w:val="Heading2"/>
      </w:pPr>
      <w:r>
        <w:t xml:space="preserve">Clientes, recurrencia y poder de precios</w:t>
      </w:r>
    </w:p>
    <w:p>
      <w:pPr>
        <w:spacing w:after="100"/>
      </w:pPr>
      <w:r>
        <w:t xml:space="preserve">Concentración alta en CDMO: Moderna fue el gran cliente de 2021-2024 y hoy pesan el contrato de jeringas con una farmacéutica global (retrasado en 2026 por la autorización regulatoria) y el mínimo de 50 M USD anuales de BMS en Phoenix [A17, A20]. En heparinas vende a hospitales por licitación y a socios internacionales, que en 2026 piden menos por exceso de inventario [A3]. El poder de precios es limitado en heparinas (la dirección habla de «creciente presión competitiva en precios») y mayor en Okedi [A17].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Enoxaparina +9 % hasta 157,7 M; en el 1S26 caen un 4 % (130,1 M) por inventario alto de socios y presión de precios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Okedi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 M en el 1S26 (+27 %)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CDMO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desde abril la planta de Phoenix comprada a BMS [2,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especialidades y menor peso de la vacuna de Moderna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Rovi compite en tres mercados: heparinas de bajo peso molecular (mercado mundial de 5.400-9.500 M USD según la fuente, con crecimientos del 5-7 %), antipsicóticos inyectables de liberación prolongada (segmento del mercado de antipsicóticos de 18.500-20.100 M USD que crece al 7,5 % anual) y fabricación aséptica para terceros (llenado de inyectables). Usamos la cifra baja de heparinas (5.400 M USD en 2026, Research and Markets) porque la alta no explica su método [21, 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5.400 M USD en heparinas de bajo peso molecular (2026) [24]; ≈ 20.100 M USD en antipsicóticos (2025), con los inyectables creciendo al 7,55 % anual 2026-2031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enoxaparina en hospitales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Enoxaparina de Rovi +9 % en 2025 (157,7 M), pero presión de precios y caída del 12 % de heparinas en el 1T26 [A1, A3].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inyectables de liberación prolongada en esquizofrenia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LAI previsto al 7,55 % anual 2026-2031; Okedi +97 % en 2025 [1, A1].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del llenado aséptico por las grandes farmacéuticas (GLP-1,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de Rovi +38 % en el 1S26 y capacidad prevista de 690-880 M de jeringas en 2027 [A2, A19].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de vacunas de ARN mensajero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CDMO en 2023-2025 por la vacuna de Moderna (ingresos −8 % en 2024) [A9].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Heparinas genéricas y biosimilares compiten por precio en licitaciones; la dirección lo cita como causa de la rebaja de 2026 [A17].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públicos de salud y unos pocos clientes de CDMO con mucho peso (Moderna, farmacéutica global, BMS) [A20].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heparina sale de mucosa porcina, con suministro concentrado en China y precios volátiles [A17].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plantas estériles aprobadas por FDA/EMA tardan años y cientos de millones; Rovi lleva desde 2021 ampliando capacidad [A7].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Anticoagulantes orales directos frente a heparinas fuera del hospital; antipsicóticos orales y otros LAI (Invega, Abilify Maintena) frente a Okedi [21].</w:t>
            </w:r>
          </w:p>
        </w:tc>
      </w:tr>
    </w:tbl>
    <w:p>
      <w:pPr>
        <w:spacing w:after="160" w:before="0"/>
      </w:pPr>
    </w:p>
    <w:p>
      <w:pPr>
        <w:pStyle w:val="Heading2"/>
      </w:pPr>
      <w:r>
        <w:t xml:space="preserve">Ciclo</w:t>
      </w:r>
    </w:p>
    <w:p>
      <w:pPr>
        <w:spacing w:after="100"/>
      </w:pPr>
      <w:r>
        <w:t xml:space="preserve">La farmacia es poco cíclica: en 2008-09 y 2020 la demanda de heparinas se mantuvo y la covid la aumentó. El ciclo propio de Rovi lo marca la CDMO: pico en 2021-2022 con la vacuna, caída en 2023-2025 y recuperación desde 2026 con nuevos contratos (CDMO +38 % en el 1S26) [A2, A4].</w:t>
      </w:r>
    </w:p>
    <w:p>
      <w:pPr>
        <w:pStyle w:val="Heading2"/>
      </w:pPr>
      <w:r>
        <w:t xml:space="preserve">Regulación</w:t>
      </w:r>
    </w:p>
    <w:p>
      <w:pPr>
        <w:spacing w:after="100"/>
      </w:pPr>
      <w:r>
        <w:t xml:space="preserve">Los precios de las heparinas en España y Europa los fijan licitaciones hospitalarias y sistemas de precios de referencia. En EE. UU., los aranceles farmacéuticos de 2025-2026 favorecen fabricar allí (la planta de Phoenix) [A20]. El contrato de jeringas con la farmacéutica global depende de una autorización regulatoria pendiente que retrasó su arranque en 2026 [A17].</w:t>
      </w:r>
    </w:p>
    <w:p>
      <w:pPr>
        <w:pStyle w:val="Heading2"/>
      </w:pPr>
      <w:r>
        <w:t xml:space="preserve">Tendencias y disrupción</w:t>
      </w:r>
    </w:p>
    <w:p>
      <w:pPr>
        <w:spacing w:after="100"/>
      </w:pPr>
      <w:r>
        <w:t xml:space="preserve">Las grandes farmacéuticas externalizan el llenado de inyectables (biológicos, GLP-1) y piden plantas en EE. UU.; Rovi gana con ambas cosas si llena su capacidad. En heparinas, los biosimilares baratos y los anticoagulantes orales presionan precios [1, A19].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heparinas en España y uno de los principales vendedores de biosimilar de enoxaparina en Europa; pequeño en antipsicóticos LAI frente a J&amp;J y Otsuka/Lundbeck, y fabricante aséptico mediano frente a Lonza, Catalent (Novo) o Recipharm.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(Lovenox)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Original de la enoxaparina; defiende precio con marca.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Techdow / Hepalink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Biosimilares chinos de enoxaparina, integrados en materia prima.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(Invega Sustenna/Trinza)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antipsicóticos LAI.</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Lonza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CDMO de referencia, mucho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fabricante aséptico exige revalidar ante FDA/EMA; contrato de BMS a cinco años con mínimos [A20].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ISM patentada (Okedi +97 % en 2025) y bemiparina propia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66,5 % en 2025, pero las heparinas pierden precio [A10].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prevista de 690-880 M de jeringas en 2027; nicho de llenado europeo [A19].</w:t>
            </w:r>
          </w:p>
        </w:tc>
      </w:tr>
    </w:tbl>
    <w:p>
      <w:pPr>
        <w:spacing w:after="160" w:before="0"/>
      </w:pPr>
    </w:p>
    <w:p>
      <w:pPr>
        <w:pStyle w:val="Heading2"/>
      </w:pPr>
      <w:r>
        <w:t xml:space="preserve">Amenazas</w:t>
      </w:r>
    </w:p>
    <w:p>
      <w:pPr>
        <w:spacing w:after="100"/>
      </w:pPr>
      <w:r>
        <w:t xml:space="preserve">La principal es el precio de las heparinas (biosimilares chinos y licitaciones), con probabilidad alta. En CDMO, que un cliente grande no llene la capacidad reservada (ya pasó con Moderna y con el retraso de 2026). En Okedi, la competencia de los LAI de J&amp;J, Otsuka y Teva.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3,5 %</w:t>
      </w:r>
      <w:r>
        <w:t xml:space="preserve">, EBITDA </w:t>
      </w:r>
      <w:r>
        <w:rPr>
          <w:b/>
          <w:bCs/>
        </w:rPr>
        <w:t xml:space="preserve">1,4 %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operativos pasaron de 648,7 M en 2021 a 829,5 M en 2023 con la fabricación de la vacuna de Moderna y bajaron a 743,5 M en 2025 (−3 %), porque la CDMO cayó a 269,6 M mientras las especialidades crecían un 11 % hasta 473,9 M [1, 4, 45]. El EBITDA tocó máximo en 2022 (281,5 M, 34,4 % de margen) y suelo en 2024 (207,4 M); en 2025 subió un 4 % hasta 216,2 M (29,1 %) por la mezcla: el margen bruto ganó 3,9 puntos hasta el 66,5 % [1, 10]. En el 1S26 los ingresos operativos crecen un 9,4 % (344,2 M) con la CDMO +38 %, pero el EBITDA sin badwill cae un 10 % (58,8 M) por más gasto en I+D y comercial y por heparinas más baratas [2, 15, 18]. El BPA bajó de 3,73 EUR en 2022 a 2,74 en 2025, con un 4 % menos de acciones por las recompras [6, 12].</w:t>
      </w:r>
    </w:p>
    <w:p>
      <w:pPr>
        <w:pStyle w:val="Heading2"/>
      </w:pPr>
      <w:r>
        <w:t xml:space="preserve">Ajustes y partidas no recurrentes</w:t>
      </w:r>
    </w:p>
    <w:p>
      <w:pPr>
        <w:spacing w:after="100"/>
      </w:pPr>
      <w:r>
        <w:t xml:space="preserve">Cifras reportadas. 2026 lleva un ingreso no recurrente de 62,4 M (badwill de la compra de la planta de Phoenix a BMS, contabilizado en el 2T26 dentro del EBITDA): el LTM lo excluye como no recurrente y el BPA del objetivo a 12 meses no lo incluye [2, 13]. Sin él, el beneficio neto del 1S26 sería de unos 22 M frente a 39,7 M del 1S25 (estimación propia: 84,4 − 62,4; el badwill no tributa). No hay otros ajustes declarados en 2021-2025 en los extractos consultados.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1T26 (6 de mayo) la dirección rebajó la guía de ingresos de un crecimiento de un dígito alto o doble dígito bajo a un 0-10 %, por dos causas: el contrato de llenado de jeringas con una farmacéutica global arranca más tarde de lo previsto (pendiente de autorización regulatoria) y con demanda más incierta, y las heparinas sufren presión de precios y menos pedidos de socios con inventario alto [3, 16, 17, 43, 46]. La acción cayó más de un 15 % ese día [16]. En la del 1S26 (23 de julio) mantuvo la guía, puso el foco en la CDMO (+38 %) y en la planta de Phoenix, y precisó que las heparinas caerán un dígito medio en 2026 [2, 14, 44]. Las preguntas se centraron en el calendario del contrato de jeringas y en el peso del badwill; la dirección no dio cifras de margen para 2026 ni de ingresos de Phoenix más allá del mínimo de 50 M USD anuales [14, 20]. Próximos resultados (9M26): 5 de noviembre según MarketScreener y TipRanks [40].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Planta de Phoenix (Arizona) comprada a Bristol Myers Squibb, consolidada desde el 1-abr-26, con contrato de fabricación de cinco años (mínimo 50 M USD anuales) y una diferencia negativa de consolidación (badwill) de 62,4 M en el 2T26.).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caja neta pasó de 51 M en 2022 a una deuda neta de 87 M en 2024 tras la tercera recompra (130 M) y el capex de capacidad; en 2025 volvió casi a cero (deuda neta de 21,9 M) y a 30-jun-26 es caja neta de 22,5 M [2, 5, 12]. El circulante es alto: unos 321 días de inventario y 54 de cobro en 2025 (MarketScreener), propios de un fabricante de heparinas con materia prima de origen porcino [8]. Balance holgado para financiar capex del 8-10 % de las ventas.</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551</w:t>
      </w:r>
      <w:r>
        <w:t xml:space="preserve">, conversión </w:t>
      </w:r>
      <w:r>
        <w:rPr>
          <w:b/>
          <w:bCs/>
        </w:rPr>
        <w:t xml:space="preserve">69 %</w:t>
      </w:r>
      <w:r>
        <w:t xml:space="preserve"> del beneficio neto; adquisiciones 0, dividendos 252, recompras 0.</w:t>
      </w:r>
    </w:p>
    <w:p>
      <w:pPr>
        <w:spacing w:after="100"/>
      </w:pPr>
      <w:r>
        <w:t xml:space="preserve">Con el flujo operativo estimado como FCF + capex de MarketScreener, la conversión del beneficio en caja es irregular: 186 M de FCF en 2022 con la vacuna, 60 M en 2023 por el circulante y 119-120 M en 2025 [1, 7]. El capex sube cada año (40,9 M en 2021, 67,8 M en 2025, el 9 % de las ventas) por las líneas de jeringas, viales y cartuchos; la amortización es de unos 30 M, así que más de la mitad del capex es de crecimiento (estimación propia: capex − amortización) [1, 7]. En el 1S26 el FCF fue de 64,7 M (7,5 M en el 1S25) [2]. Dividendos del 35 % del beneficio y 300 M de recompras en 2021-2024 [12].</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acceso al informe de auditoría. Lo que más pesa en la calidad del beneficio es el badwill de 62,4 M de 2026: una ganancia contable por comprar la planta de Phoenix por debajo del valor razonable de sus activos, que no es caja ni se repite [2, 15]. Lo tratamos como no recurrente. La capitalización de I+D no aparece en los extractos. Los indicadores del motor no dan alarmas: Altman Z de 7,64 (zona segura por la caja neta y el patrimonio), Piotroski F de 6 y Beneish M de −2,91 (por debajo del umbral de manipulación de −1,78), aunque el Beneish se calcula con existencias y clientes estimados.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Badwill de 62,4 M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beneficio publicado de 2026; consenso y prensa mezclan cifras con y sin él [2,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de unos 321 días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Alto pero propio de las heparinas; vigilar si crece con la caída de pedidos de socios [8].</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-5,2 % · </w:t>
      </w:r>
      <w:r>
        <w:rPr>
          <w:b/>
          <w:bCs/>
        </w:rPr>
        <w:t xml:space="preserve">WACC</w:t>
      </w:r>
      <w:r>
        <w:t xml:space="preserve">: 8,3 %.</w:t>
      </w:r>
    </w:p>
    <w:p>
      <w:pPr>
        <w:spacing w:after="100"/>
      </w:pPr>
      <w:r>
        <w:t xml:space="preserve">Rovi crea valor: el ROIC de 2025 es del 21 % frente a un WACC del 8,31 %, unos 12,7 puntos por encima, y ha estado por encima del 20 % desde 2021 (44 % en el pico de 2022). Lo mueve el margen (EBITDA del 29 % y margen bruto del 66,5 %), no la rotación, que bajó de 1,01 a 0,83 veces porque el capital invertido creció de 456 a 674 M con capacidad todavía ociosa [1]. El ROIC incremental de 2022-2025 es negativo (−5,2 %): la caída de la vacuna se llevó beneficio mientras se invertía en plantas. Frente a los comparables (mediana del 12,7 %), Rovi rinde más con menos deuda [39]. La tesis depende de que esa capacidad se llene y el ROIC vuelva hacia el 25 %.</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de 22,5 M a 30-jun-26 (deuda neta de 21,9 M a 31-dic-25); deuda bruta de 121,7 M y caja de 98,0 M a cierre de 2025 [2,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rating ni bonos. Los extractos no dan pensiones, provisiones ni litigios relevantes. La deuda bruta (121,7 M a cierre de 2025) es sobre todo préstamos bancarios y de organismos públicos para capacidad industrial, según el patrón de años anteriores (dato de TipRanks sin desglose) [5]. El contrato de BMS en Phoenix lleva un mínimo de compra a favor de Rovi, no una obligación [20].</w:t>
      </w:r>
    </w:p>
    <w:p>
      <w:pPr>
        <w:pStyle w:val="Heading1"/>
      </w:pPr>
      <w:r>
        <w:t xml:space="preserve">12. Asignación de capital</w:t>
      </w:r>
    </w:p>
    <w:p>
      <w:pPr>
        <w:pStyle w:val="Confianza"/>
        <w:spacing w:after="100"/>
      </w:pPr>
      <w:r>
        <w:t xml:space="preserve">Confianza: Media</w:t>
      </w:r>
    </w:p>
    <w:p>
      <w:pPr>
        <w:spacing w:after="100"/>
      </w:pPr>
      <w:r>
        <w:t xml:space="preserve">Reparte el 35 % del beneficio neto consolidado: 0,9594 EUR por acción con cargo a 2025 (0,9351 con cargo a 2024, 47,9 M pagados en julio de 2025) [10, 11, 12]. Entre 2021 y junio de 2024 ejecutó tres programas de recompra por 300 M; el tercero, terminado en junio de 2024, compró 2.233.466 acciones por 130 M [12]. Prioridades declaradas: capacidad de fabricación (jeringas, viales y cartuchos) y la cartera ISM [14,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de fabricación de Phoenix (Arizona), de Bristol Myers Squibb</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(precio no publicado; según la empresa, menos del 1 % de su capitalización)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Badwill de 62,4 M en el 2T26; contrato de fabricación de cinco años con mínimo de 50 M USD anuales [2, 20].</w:t>
            </w:r>
          </w:p>
        </w:tc>
      </w:tr>
    </w:tbl>
    <w:p>
      <w:pPr>
        <w:spacing w:after="160" w:before="0"/>
      </w:pPr>
    </w:p>
    <w:p>
      <w:pPr>
        <w:spacing w:after="100"/>
      </w:pPr>
      <w:r>
        <w:t xml:space="preserve">La dirección ha asignado bien el capital de la vacuna: entre 2021 y 2024 devolvió 300 M en recompras (−8 % de acciones) y pagó el 35 % en dividendos sin endeudarse, e invirtió en capacidad aséptica antes de tener los contratos [12]. El ROIC sigue en el 21 % en 2025, pero ha caído desde el 44 % de 2022 porque el capital invertido subió de 456 a 674 M con ventas menores: el ROIC incremental de 2022-2025 es negativo. La compra de Phoenix con badwill y contrato mínimo es una compra barata; queda por ver si la capacidad nueva se llena.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generación de la familia fundadora y socio de Norbel Inversiones, que controla el 58,2 % [25, 27]. Ha llevado la transformación hacia CDMO e ISM: ingresos de 381 M en 2019 a 743,5 M en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primero y director financiero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Hermano del presidente; consejero ejecutivo; responsable de la relación con inversores y de las recompras de 300 M de 2021-2024 [A12].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Iván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segundo y director de desarrollo corporativo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Hermano del presidente; consejero ejecutivo; lleva el desarrollo de negocio y las licencias.</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Feb-26: ingresos operativos con crecimiento de un dígito alto a doble dígito bajo; may-26: rebajada a 0-10 % (bajo-medio dígito) [A14, A17].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+9,4 % en ingresos operativos; guía mantenida en julio [A2].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ingresos por la vacuna de Moderna.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−8 % (763,7 M) [A9].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familiar estable: los tres hermanos López-Belmonte Encina dirigen la empresa y su sociedad Norbel controla el 58,2 % [25, 26]. La credibilidad de la guía se resintió en 2026, con una rebaja a los cuatro meses de darla [17]. No hay plan de sucesión público ni consejero delegado externo; el riesgo es de concentración de poder, no de rotación.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primero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Iván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segundo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(familia López-Belmonte)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desde el 63,1 % de 2019 [25,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(familia Domínguez, Mayoral)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Aumentó su participación en 2025 [26,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Sin acceso al IARC 2025: no se puede evaluar la remuneración del primer ejecutivo ni las métricas del variable. Hueco registrado.</w:t>
      </w:r>
    </w:p>
    <w:p>
      <w:pPr>
        <w:pStyle w:val="Heading2"/>
      </w:pPr>
      <w:r>
        <w:t xml:space="preserve">Operaciones vinculadas, estructura de control y defensas</w:t>
      </w:r>
    </w:p>
    <w:p>
      <w:pPr>
        <w:spacing w:after="100"/>
      </w:pPr>
      <w:r>
        <w:t xml:space="preserve">Norbel Inversiones (familia López-Belmonte) tiene el 58,19 % y nombra al presidente, que es también primer ejecutivo; Indumenta Pueri (Mayoral) es el segundo accionista con el 11,25 % y subió en 2025 [25, 26, 28]. El capital libre es de un 30 %. Una acción, un voto; no constan blindajes en los extractos. Con control familiar, una opa hostil no es posible y cualquier operación corporativa pasa por la familia.</w:t>
      </w:r>
    </w:p>
    <w:p>
      <w:pPr>
        <w:pStyle w:val="Heading2"/>
      </w:pPr>
      <w:r>
        <w:t xml:space="preserve">Señales de alerta</w:t>
      </w:r>
    </w:p>
    <w:p>
      <w:pPr>
        <w:pStyle w:val="ListParagraph"/>
        <w:numPr>
          <w:ilvl w:val="0"/>
          <w:numId w:val="2"/>
        </w:numPr>
        <w:spacing w:after="60"/>
      </w:pPr>
      <w:r>
        <w:t xml:space="preserve">Ninguna relevante detectada en la prensa consultada; IAGC, IARC y registro de operaciones de directivos de la CNMV no accesibles desde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En febrero de 2026 Rovi esperaba que los ingresos operativos crecieran entre un dígito alto y un doble dígito bajo; el 6 de mayo la rebajó a un crecimiento del 0-10 % (de un dígito bajo a medio según la conferencia), con heparinas cayendo un dígito medio, por el retraso del contrato de jeringas con una farmacéutica global (pendiente de autorización) y la presión de precios en heparinas [A14, A17]. La guía se mantuvo el 23 de julio [A2]. Sin guía de margen ni plan a medio plazo publicado; para 2027 la empresa da capacidades (690-880 M de jeringas, 85-110 M de cartuchos y 140-180 M de viales) [A19].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131,3 M ÷ 51,24 M de acciones) [30,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(174,1 M) [30,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(212,6 M)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n.d.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64,20 – 86,00</w:t>
            </w:r>
          </w:p>
        </w:tc>
      </w:tr>
    </w:tbl>
    <w:p>
      <w:pPr>
        <w:spacing w:after="160" w:before="0"/>
      </w:pPr>
    </w:p>
    <w:p>
      <w:pPr>
        <w:pStyle w:val="Heading2"/>
      </w:pPr>
      <w:r>
        <w:t xml:space="preserve">Revisiones de estimaciones</w:t>
      </w:r>
    </w:p>
    <w:p>
      <w:pPr>
        <w:spacing w:after="100"/>
      </w:pPr>
      <w:r>
        <w:t xml:space="preserve">Tras la rebaja de la guía de mayo, las casas recortaron objetivos: Renta 4 bajó de 95 a 86 EUR y luego mantuvo «sobreponderar» con 85 EUR [32, 33]. El consenso de Reuters recoge 75,48 EUR y ninguna recomendación de venta [32]. Una casa citada en prensa subió el BPA de 2027-2030 entre un 4 % y un 11 % por la planta de EE. UU. y el contrato de jeringas [30]. No hay series de revisiones a 3 y 12 meses accesibles.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Con el BPA de cada año, Rovi cotizó a 18,3x en 2023 y a 23-24x en 2024-2025; 2021-2022 se excluyen por el BPA de pico de la vacuna (PER de 9,7x en 2022, con el mercado descontando el fin del contrato) [6, 35]. Hoy el PER de los últimos 12 meses es de 16,3x, pero incluye el badwill: sin él (BPA LTM de unos 2,40 EUR, estimación propia) sería de unos 24,5x, en línea con la historia reciente. El descuento aparente es contable.</w:t>
      </w:r>
    </w:p>
    <w:p>
      <w:pPr>
        <w:pStyle w:val="Heading1"/>
      </w:pPr>
      <w:r>
        <w:t xml:space="preserve">18. Comparables cotizados</w:t>
      </w:r>
    </w:p>
    <w:p>
      <w:pPr>
        <w:pStyle w:val="Confianza"/>
        <w:spacing w:after="100"/>
      </w:pPr>
      <w:r>
        <w:t xml:space="preserve">Confianza: Media</w:t>
      </w:r>
    </w:p>
    <w:p>
      <w:pPr>
        <w:spacing w:after="100"/>
      </w:pPr>
      <w:r>
        <w:t xml:space="preserve">Farmacéuticas europeas medianas y de especialidades: Galderma, UCB, Ipsen y Recordati, y las españolas Faes Farma y Almirall (mismo mercado de precios y misma liquidez), con cifras de Stock Analysis y MarketScreener a 7-oct-2026 tomadas del informe de Almirall de este repositorio [39]. No hay CDMO puras cotizadas en Europa de tamaño parecido (Lonza y Siegfried son de otro perfil y no se pudieron consultar).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13,0x / 14,2x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3,7x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rPr>
        <w:t xml:space="preserve">Regresión EV/EBITDA NTM sobre crecimiento</w:t>
      </w:r>
      <w:r>
        <w:t xml:space="preserve"> (6 comparables): múltiplo = -1,0 + 1,16 × crecimiento; R² = 0,85. Para el crecimiento esperado de la empresa (9,1 %), el múltiplo ajustado es 9,6x y el valor por acción, 46,26.</w:t>
      </w:r>
    </w:p>
    <w:p>
      <w:pPr>
        <w:spacing w:after="100"/>
      </w:pPr>
      <w:r>
        <w:t xml:space="preserve">Rovi cotiza a 12,3x el EBITDA de los próximos 12 meses y 18,3x el PER, por encima de la mediana de los comparables (11,1x y 17,0x) con un crecimiento esperado parecido (mediana del 9,7 %) y un ROIC mayor (21 % frente a 12,7 %) y sin deuda. La prima del 10 % se justifica por el balance y el ROIC, pero no da margen de seguridad. Galderma (36,8x) distorsiona la media y no la mediana. Los múltiplos de los comparables dan 53-55 EUR por acción, algo por debajo del precio.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+3 %: la guía es de 0-10 % (de un dígito bajo a medio) y el 1S26 creció un 9,4 % con Phoenix desde abril [2, 14]. 2027e +11 %: Phoenix todo el año (mínimo de 50 M USD de BMS) y arranque del contrato de jeringas, por debajo del +16 % del consenso (890 M) porque el contrato ya se retrasó una vez [17, 20, 30]. Después 8 %, 5,5 %, 4,5 % y bajando hasta el 3 % en 2033e. La prueba de sostenibilidad obligó a rebajar los años 2028-2033 en 0,5-1 punto frente a nuestro primer supuesto.</w:t>
      </w:r>
    </w:p>
    <w:p>
      <w:pPr>
        <w:keepNext/>
        <w:spacing w:after="100"/>
      </w:pPr>
      <w:r>
        <w:rPr>
          <w:b/>
          <w:bCs/>
        </w:rPr>
        <w:t xml:space="preserve">Márgenes.</w:t>
      </w:r>
    </w:p>
    <w:p>
      <w:pPr>
        <w:spacing w:after="100"/>
      </w:pPr>
      <w:r>
        <w:t xml:space="preserve">Margen EBITDA del 26 % en 2026e (consenso: 25,7 %; 1S26 sin badwill del 17 % con el 2S estacionalmente fuerte), 28,5 % en 2027e y 29,5-30 % después, el de 2025 (29,1 %) más la ocupación de las plantas [1, 31]. Por debajo del 34,4 % de 2022, que dependía de la vacuna.</w:t>
      </w:r>
    </w:p>
    <w:p>
      <w:pPr>
        <w:keepNext/>
        <w:spacing w:after="100"/>
      </w:pPr>
      <w:r>
        <w:rPr>
          <w:b/>
          <w:bCs/>
        </w:rPr>
        <w:t xml:space="preserve">Inversión y circulante.</w:t>
      </w:r>
    </w:p>
    <w:p>
      <w:pPr>
        <w:spacing w:after="100"/>
      </w:pPr>
      <w:r>
        <w:t xml:space="preserve">Capex del 10 % de las ventas en 2026e (Phoenix y nuevas líneas), 8-8,5 % en 2027-2028e y 6,5 % a largo plazo, por encima de la amortización (4,3-4,6 %) porque la CDMO necesita líneas nuevas para crecer; la prueba de sostenibilidad pidió subirlo frente al 5 % inicial. Circulante del 42 % de las ventas (existencias y clientes estimados de 2025, sin proveedores) [7, 8].</w:t>
      </w:r>
    </w:p>
    <w:p>
      <w:pPr>
        <w:keepNext/>
        <w:spacing w:after="100"/>
      </w:pPr>
      <w:r>
        <w:rPr>
          <w:b/>
          <w:bCs/>
        </w:rPr>
        <w:t xml:space="preserve">Coste del capital.</w:t>
      </w:r>
    </w:p>
    <w:p>
      <w:pPr>
        <w:spacing w:after="100"/>
      </w:pPr>
      <w:r>
        <w:t xml:space="preserve">Bund a 10 años del 3,53 % (9-oct-2026) [37], beta de 0,9 (farmacéutica con negocio de CDMO más cíclico que una de especialidades pura; no se pudo calcular la beta propia en este entorno), prima de mercado del 5,5 % y sin prima adicional: Rovi vende sobre todo en Europa y EE. UU. Coste de la deuda del 3,5 % y peso del 3 %. WACC del 8,31 %.</w:t>
      </w:r>
    </w:p>
    <w:p>
      <w:pPr>
        <w:keepNext/>
        <w:spacing w:after="100"/>
      </w:pPr>
      <w:r>
        <w:rPr>
          <w:b/>
          <w:bCs/>
        </w:rPr>
        <w:t xml:space="preserve">Valor terminal.</w:t>
      </w:r>
    </w:p>
    <w:p>
      <w:pPr>
        <w:spacing w:after="100"/>
      </w:pPr>
      <w:r>
        <w:t xml:space="preserve">Gordon con un crecimiento del 2,5 %, entre la inflación esperada del euro (2 %) y la tasa libre menos medio punto (3 %): la demanda de inyectables crece por encima del PIB. El valor terminal es el 70 %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(ROIC 21,0 %)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(histórico: -5,2 %)</w:t>
            </w:r>
          </w:p>
        </w:tc>
      </w:tr>
    </w:tbl>
    <w:p>
      <w:pPr>
        <w:spacing w:after="160" w:before="0"/>
      </w:pPr>
    </w:p>
    <w:p>
      <w:pPr>
        <w:spacing w:after="100"/>
      </w:pPr>
      <w:r>
        <w:t xml:space="preserve">La proyección reinvierte el 25 % del NOPAT. Con el ROIC del último ejercicio (21,0 %), eso financia un crecimiento del 5,2 % anual, frente al 5,3 % de ingresos proyectado. Supone que el capital nuevo rinde un 21,1 %, frente a un ROIC incremental histórico del -5,2 %.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CDMO y Okedi (+1,5 puntos), heparinas con precios a la baja (−1) y Phoenix desde abril (+2,5, compra) [2,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contrato de jeringas y Okedi (+7) y Phoenix el año completo (+4) [19,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de las líneas nuevas de jeringas y cartuchos (+7,5) y algo de precio en Okedi (+0,5)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CDMO y especialidades (+5) y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y precio (+0,5).</w:t>
            </w:r>
          </w:p>
        </w:tc>
      </w:tr>
    </w:tbl>
    <w:p>
      <w:pPr>
        <w:spacing w:after="160" w:before="0"/>
      </w:pPr>
    </w:p>
    <w:p>
      <w:pPr>
        <w:spacing w:after="100"/>
      </w:pPr>
      <w:r>
        <w:t xml:space="preserve">En parte. El ROIC de 2025 (21 %) y la caja neta permiten financiar un crecimiento del 5,2 % reinvirtiendo el 25 % del NOPAT, justo lo que proyectamos (5,3 %) tras rebajar 0,5-1 punto los años 2028-2033 y subir el capex al 6,5-8 % de las ventas: con el primer supuesto la prueba fallaba (financiable del 4,1 % frente al 6,2 %). Lo que no está demostrado es el poder de precios: las heparinas pierden precio y la CDMO depende de pocos clientes (el contrato de jeringas ya se retrasó). El ROIC incremental histórico es negativo por la vacuna y no sirve de referencia. Sin cuota de mercado comparable: Rovi vende en tres mercados distintos, así que el mercado final queda sin dato.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5,6 %)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30,0 %)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8,3 %)</w:t>
            </w:r>
          </w:p>
        </w:tc>
      </w:tr>
    </w:tbl>
    <w:p>
      <w:pPr>
        <w:spacing w:after="160" w:before="0"/>
      </w:pPr>
    </w:p>
    <w:p>
      <w:pPr>
        <w:spacing w:after="100"/>
      </w:pPr>
      <w:r>
        <w:t xml:space="preserve">El DCF da 51,14 EUR por acción, un 13,2 % por debajo de los 58,94 EUR, con el 70 % del valor en el terminal. El DCF inverso dice que el precio descuenta un crecimiento de los ingresos del 10 % anual en 2027-2033 (frente al 5,6 % de nuestro base) o un margen EBITDA del 33,2 % (frente al 30 %), y una rentabilidad implícita del 7,6 %, por debajo de nuestro WACC del 8,31 %. Es exigente: pide volver a márgenes de la época de la vacuna o crecer al doble de lo que la prueba de sostenibilidad permite financiar. El mercado paga por la capacidad de llenado que Rovi tiene vacía; nuestro base supone que se llena en parte. Cada medio punto de WACC mueve el valor unos 4-5 EUR (rango de sensibilidad de 44,50 a 60,52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de jeringas se retrasa otra vez o arranca con poco volumen, Phoenix se queda en el mínimo de BMS y las heparinas siguen perdiendo precio frente a los biosimilares chinos: crecimiento 4 puntos menor y margen EBITDA del 26-27 %, como en 2024 sin la vacuna.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Phoenix y el contrato de jeringas llevan los ingresos a unos 918 M en 2028e y el margen al 29,5-30 % por la ocupación de las plantas; Okedi sigue creciendo y las heparinas se estabilizan.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CDMO llena la capacidad de 2027 (hasta 880 M de jeringas) con nuevos clientes de GLP-1 o biológicos y Okedi supera los 100 M: crecimiento 2 puntos mayor y margen del 31-31,5 %.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49,41 EUR (-16,2 %).</w:t>
      </w:r>
    </w:p>
    <w:p>
      <w:pPr>
        <w:spacing w:after="100"/>
      </w:pPr>
      <w:r>
        <w:t xml:space="preserve">Con el DCF, la asimetría es mala: el alcista queda en el precio (58,72 EUR) y el bajista pierde un 38 % (36,63 EUR). A 12 meses, con nuestro BPA y la regla de múltiplos, la asimetría mejora (2,8 veces: +39,7 % frente a −12,1 %) porque el PER bajista (18,3x, mínimo de 2023-2025) está cerca del actual. La diferencia dice que el precio ya descuenta una parte del alcista a largo plazo.</w:t>
      </w:r>
    </w:p>
    <w:p>
      <w:pPr>
        <w:pStyle w:val="Heading1"/>
      </w:pPr>
      <w:r>
        <w:t xml:space="preserve">22. Suma de partes</w:t>
      </w:r>
    </w:p>
    <w:p>
      <w:pPr>
        <w:pStyle w:val="Confianza"/>
        <w:spacing w:after="100"/>
      </w:pPr>
      <w:r>
        <w:t xml:space="preserve">Confianza: Baja</w:t>
      </w:r>
    </w:p>
    <w:p>
      <w:pPr>
        <w:spacing w:after="100"/>
      </w:pPr>
      <w:r>
        <w:t xml:space="preserve">No aplica: sin margen por segmento publicado en los extractos no se puede valorar la CDMO por separado de las especialidades.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51,53 EUR (-12,6 % sobre 58,94).</w:t>
      </w:r>
    </w:p>
    <w:p>
      <w:pPr>
        <w:spacing w:after="100"/>
      </w:pPr>
      <w:r>
        <w:t xml:space="preserve">Pesamos el DCF al 45 %, los comparables al 30 % y los escenarios al 25 %; sin transacciones. Los métodos se agrupan entre 51 y 55 EUR (DCF 51,14; PER de comparables 54,59; EV/EBITDA 53,18), todos por debajo del precio, y el valor objetivo de la síntesis queda en unos 51,5 EUR. El precio solo se justifica con el alcista o con los objetivos de los analistas (75,48 EUR de media), que suponen que la CDMO se llena antes. La dispersión es pequeña: no es un caso de método, sino de cuánto se cree en los contratos.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bl>
    <w:p>
      <w:pPr>
        <w:spacing w:after="160" w:before="0"/>
      </w:pPr>
    </w:p>
    <w:p>
      <w:pPr>
        <w:spacing w:after="100"/>
      </w:pPr>
      <w:r>
        <w:rPr>
          <w:b/>
          <w:bCs/>
        </w:rPr>
        <w:t xml:space="preserve">Objetivo a 12 meses (ponderado):</w:t>
      </w:r>
      <w:r>
        <w:t xml:space="preserve"> 65,80 EUR · rentabilidad +13,3 % (base +12,7 %) · señal Mantener.</w:t>
      </w:r>
    </w:p>
    <w:p>
      <w:pPr>
        <w:keepNext/>
        <w:spacing w:after="100"/>
      </w:pPr>
      <w:r>
        <w:rPr>
          <w:b/>
          <w:bCs/>
        </w:rPr>
        <w:t xml:space="preserve">Frente al consenso (solo contraste).</w:t>
      </w:r>
    </w:p>
    <w:p>
      <w:pPr>
        <w:spacing w:after="100"/>
      </w:pPr>
      <w:r>
        <w:t xml:space="preserve">Nuestro BPA de 2028e (3,41 EUR) queda un 18 % por debajo del consenso (4,15 EUR, 212,6 M de beneficio): proyectamos 918 M de ventas frente a 975,5 M (el contrato de jeringas ya se retrasó) y un margen algo menor. Nuestro precio base (65,47 EUR) queda un 13 % por debajo del objetivo medio (75,48 EUR), sobre todo por el BPA; el múltiplo (19,2x) es parecido al implícito en el consenso. Hemos revisado los supuestos y mantenemos la diferencia.</w:t>
      </w:r>
    </w:p>
    <w:p>
      <w:pPr>
        <w:keepNext/>
        <w:spacing w:after="100"/>
      </w:pPr>
      <w:r>
        <w:rPr>
          <w:b/>
          <w:bCs/>
        </w:rPr>
        <w:t xml:space="preserve">Del valor intrínseco al objetivo a 12 meses.</w:t>
      </w:r>
    </w:p>
    <w:p>
      <w:pPr>
        <w:spacing w:after="100"/>
      </w:pPr>
      <w:r>
        <w:t xml:space="preserve">El objetivo a 12 meses (65,80 EUR) queda por encima del valor intrínseco (51,53 EUR; DCF de 51,14): el mercado paga hoy unas 19 veces el beneficio de 2027e y nada indica que ese múltiplo vaya a bajar en un año si el contrato de jeringas arranca. Pero el valor intrínseco por debajo del precio impide comprar con la regla. Cerrar la distancia hacia arriba exigiría que la CDMO crezca más deprisa de lo que su ROIC puede financiar; hacia abajo, que el contrato vuelva a retrasarse (resultados del 5 de noviembre).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el EBITDA sin badwill y si la guía de 0-10 % se mantiene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regulatoria e inicio de la fabricación rutinaria del contrato de jeringas con la farmacéutica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+11 % de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Phoenix el año completo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contratos de CDMO para la capacidad de 2027 (690-880 M de jeringas)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al caso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del 35 % del beneficio de 2026 (con badwill)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mayor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retraso o recorte del contrato de jeringas con la farmacéutica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Phoenix con mínimo garantizado de BMS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sin el contrato o sin autorización a cierre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precios de las heparinas (biosimilares chinos, licitaciones)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marca en España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Heparinas por debajo de −5 %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en CDMO (Moderna, farmacéutica global, BMS)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mínimos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 no renovación de un cliente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Problema de calidad o inspección de FDA/EMA en una planta estéril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cartas de advertencia conocidas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483 o carta de advertencia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 no alcanza el potencial de 100-200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Okedi creciendo menos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que no se llena (capacidad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con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por debajo del 18 % en 2027</w:t>
            </w:r>
          </w:p>
        </w:tc>
      </w:tr>
    </w:tbl>
    <w:p>
      <w:pPr>
        <w:spacing w:after="160" w:before="0"/>
      </w:pPr>
    </w:p>
    <w:p>
      <w:pPr>
        <w:pStyle w:val="Heading2"/>
      </w:pPr>
      <w:r>
        <w:t xml:space="preserve">Pre-mortem</w:t>
      </w:r>
    </w:p>
    <w:p>
      <w:pPr>
        <w:spacing w:after="100"/>
      </w:pPr>
      <w:r>
        <w:t xml:space="preserve">Octubre de 2029: la acción vale 35 EUR. El contrato de jeringas arrancó a mediados de 2027 con la mitad del volumen previsto porque el cliente diversificó proveedores, y Phoenix no consiguió clientes más allá del mínimo de BMS, que no se renovó en 2031. Mientras, los biosimilares chinos de enoxaparina ganaron licitaciones en Europa y las heparinas cayeron un 5 % al año. Rovi había invertido unos 250 M en capacidad en 2026-2028 y el ROIC bajó del 21 % al 14 %; el mercado dejó de pagar 19 veces un beneficio que no crecía y pasó a 14 veces. Las señales estaban ahí: la rebaja de la guía de mayo de 2026, el EBITDA sin badwill del 1S26 un 10 % más bajo y el retraso regulatorio sin fecha.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calidad y el cumplimiento de normas de fabricación estéril (una carta de advertencia de la FDA pararía la CDMO) y la trazabilidad de la heparina de origen porcino. No hay datos de emisiones accesibles en este entorno.</w:t>
      </w:r>
    </w:p>
    <w:p>
      <w:pPr>
        <w:pStyle w:val="Heading2"/>
      </w:pPr>
      <w:r>
        <w:t xml:space="preserve">Controversias</w:t>
      </w:r>
    </w:p>
    <w:p>
      <w:pPr>
        <w:spacing w:after="100"/>
      </w:pPr>
      <w:r>
        <w:t xml:space="preserve">No se han encontrado sanciones ni litigios relevantes en 2023-2026 en la prensa consultada.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 de jeringas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autorización falta, con qué fecha prevista y qué volumen mínimo garantiza el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mitad del crecimiento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Phoenix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aporta Phoenix por encima del mínimo de 50 M USD y qué capex necesita?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compra crea valor más allá del badwill.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Heparinas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bajó el precio medio de la enoxaparina en 2026 y cuándo normalizan inventario los socios de bemiparina?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56 % de las especialidades.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ocupación tienen hoy las líneas de jeringas, cartuchos y viales frente a la capacidad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proyectado depende de ella.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espera de Okedi en EE. UU. y qué cuota tiene en los países lanzados?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margen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recompras con la caja neta o se prioriza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BPA de 2028e.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valoraciones de usuarios opuestas: una ve la acción cara (valor justo cerca de 51 EUR) por la presión en heparinas y otra barata (cerca de 75 EUR) por la expansión de la CDMO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 Webull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Cuestiona la calidad del beneficio del 1S26: el margen neto LTM sube al 24 % por el badwill de 62,4 M, no por el negocio [15].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Merca2 (análisis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el 1T26 como una debilidad temporal: el aumento de gastos de I+D y comerciales es deliberado y el 2S debe acelerar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(análisis de mercado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Desplome de más del 15 % tras la rebaja de la guía; el foco de los particulares está en heparinas y en el retraso del contrato de jeringas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Rankia (foro de Laboratorios Rovi)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buscador solo devuelve la portada del foro, sin hilos legibles; no se usa para el tono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beneficio de 2026 (badwill de Phoenix)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sin los 62,4 M, el EBITDA del 1S26 cae un 10 % (58,8 M) [A2, A15]. El informe usa el EBITDA sin badwill.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Heparinas: precios e inventarios de socios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la empresa: heparinas −4 % en el 1S26 y guía de caída de un dígito medio [A2, A14].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CDMO (jeringas, Phoenix)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(CDMO +38 % en el 1S26), pero el contrato de jeringas sigue pendiente de autorización [A2, A17].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acción ya ha corregido (−30 % desde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23x el BPA de 2025, en la mediana de 2023-2025: barata frente a su historia solo si 2027 cumple [D7].</w:t>
            </w:r>
          </w:p>
        </w:tc>
      </w:tr>
    </w:tbl>
    <w:p>
      <w:pPr>
        <w:spacing w:after="160" w:before="0"/>
      </w:pPr>
    </w:p>
    <w:p>
      <w:pPr>
        <w:spacing w:after="100"/>
      </w:pPr>
      <w:r>
        <w:t xml:space="preserve">El sentimiento de los particulares está dividido y mejora desde los mínimos de julio (53,10 EUR): los alcistas ven barata la acción tras caer un 30 % desde abril y confían en la CDMO, y los bajistas señalan que el beneficio de 2026 está inflado por el badwill [15, 18, 41]. No es extremo ni contradice al consenso de analistas, que no tiene recomendaciones de venta [32]. Aporta un aviso que el informe recoge: hay que mirar el EBITDA sin extraordinarios en los resultados del 5 de noviembre.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46 (11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21,1 % frente a un ROIC de 21,0 % y un incremental histórico de -5,2 %: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44,3 %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22, 29,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 resultado financiero e impuestos 2021-2023; coste de ventas 2021-2023; gastos 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2021-2023 en rovi.es: la búsqueda solo devuelve cifras de cabecera (ingresos, EBITDA, beneficio); 2) TipRanks y Yahoo: EBITDA, beneficio y BPA, sin EBIT ni impuestos en el extracto; 3) búsqueda de «EBIT» en la nota de 2025: da EBIT 2024-2025 (179,4 y 185,8 M).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amortizaciones 2021-2023 interpoladas (19,0; 21,5; 25,0 M), resultado financiero de −1,5 M al año (caja neta casi nula) e impuestos como diferencia con el beneficio neto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existencias, clientes, proveedores, inmovilizado, intangibles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2025 en rovi.es (no se pueden abrir); 2) TipRanks y Fintel: solo totales, caja, deuda y patrimonio; 3) MarketScreener: solo días de cobro (54) y de inventario (321) de 2025.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existencias y clientes de 2024-2025 = días de MarketScreener × coste de ventas o ventas ÷ 365 (2025: 218,7 y 110,7 M); el resto, omitido. Sin proveedores, el circulante está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publicado y recompras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las cuentas anuales: no accesibles; 2) MarketScreener: capex y FCF 2021-2025; 3) nota de la junta de 2025: recompras acumuladas de 300 M en tres programas sin reparto anual.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flujo operativo = FCF + capex de MarketScreener; dividendos pagados = 35 % del beneficio del año anterior (47,9 M confirmados en 2025); recompras anuales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anuales (solo 2024-2025 en el extracto); 2) presentaciones de resultados; 3) prensa (El Español, Bolsamanía): sin desglose geográfico.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IAGC 2025; 3) búsqueda en prensa.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cr5 y cuota de Rovi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Rovi (cuota en heparinas): no accesibles; 2) estudios de mercado de heparinas y antipsicóticos: tamaños discrepantes sin serie; 3) IQVIA España: sin acceso.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Sanofi y J&amp;J (segmentos no comparables); 2) Hepalink/Techdow (sin cifras accesibles); 3) Lonza (sin búsqueda por cupo).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comparación de márgenes se hace con los comparables cotizados.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externos, comisiones, remuneración del primer ejecutivo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la CNMV y rovi.es: no accesibles; 2) búsqueda de consejeros independientes en prensa: sin lista fiable; 3) acta de la junta de 2026: sin extracto.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(requiere navegador); 2) búsqueda de prensa; 3) MarketScreener: sin dato.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búsquedas de la cotización de octubre: sin dato del día; 3) capitalización de Stock Analysis a 7-oct (3.020 M) ÷ 51,24 M de acciones = 58,94 EUR, coherente con los 57-59 EUR de MarketScreener a principios de octubre.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(precio del 7-oct)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de beta en Stock Analysis y MarketScreener: sin extracto.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CDMO (Catalent por Novo Holdings) sin múltiplo en extracto; 2) compras de especialidades farmacéuticas europeas; 3) el informe de Almirall del repositorio tampoco las tiene.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analistas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2) Investing; 3) prensa (solo «ninguno recomienda vender»).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hilos de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Rovi en Seeking Alpha, Reddit y Stocktwits: sin hilos; 2) búsqueda de opiniones en Rankia y foros españoles: solo la portada; 3) búsqueda de comentarios de lectores de julio-septiembre: solo prensa.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ejercicio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https://www.rovi.es/sites/default/files/rovi_results_press_release_vdef_3.pdf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https://www.rovi.es/sites/default/files/1s_2026_resultados_nota_de_prensa_def.pdf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https://rovi.es/sites/default/files/1t_2026_resultados_nota_de_prensa_def.pdf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cuenta de resultados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https://www.tipranks.com/stocks/gb:0ill/financials/income-statement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balance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https://www.tipranks.com/stocks/es:rovi/financials/balance-sheet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ROVI.MC financials (BPA 2020-2023)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https://finance.yahoo.com/quote/ROVI.MC/financials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Laboratorios Farmaceuticos Rovi (capex y FCF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https://www.marketscreener.com/quote/stock/LABORATORIOS-FARMACEUTICO-157409115/finances/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Ratios Laboratorios Farmaceuticos Rovi (días de cobro e inventario)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https://www.marketscreener.com/quote/stock/LABORATORIOS-FARMACEUTICO-157409115/finances-ratios/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137 millones en 2024, un 20 % menos, y recorta un 8 % sus ingresos por la vacuna covid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https://www.bolsamania.com/noticias/empresas/economiaempresas--rovi-gana-137-millones-en-2024-un-20-menos-y-recorta-un-8-sus-ingresos-por-la-vacuna-covid--19005710.html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140,4 millones de euros en 2025, un 3 % más, y pagará dividendo de 0,9594 euros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https://www.bolsamania.com/noticias_print/empresas/economia--amp-rovi-gana-1404-millones-de-euros-en-2025-un-3-mas-y-pagara-dividendo-de-09594-euros-por-accion--21821474.html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aprueba un dividendo de 0,9351 euros por acción y mantiene su guidance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https://www.estrategiasdeinversion.com/actualidad/noticias/bolsa-espana/rovi-aprueba-un-dividendo-de-09351-euros-por-accion-n-823897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held its 2025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84 millones, el doble que hace un año, y eleva los ingresos de fabricación a terceros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https://www.elespanol.com/invertia/observatorios/sanidad/20260723/rovi-gana-millones-doble-ano-eleva-ingresos-fabricacion-terceros/1003744331249_0.html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(ROVI)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https://quartr.com/events/laboratorios-farmaceuticos-rovi-s-a-rovi-q2-2026_ojfVy307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Rovi stock questioned as one-off gain lifts reported margins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https://www.webull.com/news/15284167123215360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Rovi se desploman más de un 15 % tras presentar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https://www.xtb.com/es/analisis-de-mercado/las-acciones-de-rovi-se-desploman-mas-de-un-15-tras-presentar-resultados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9,4 millones hasta marzo y rebaja su previsión de ingresos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https://www.elespanol.com/invertia/observatorios/sanidad/20260506/rovi-gana-millones-euros-marzo-rebaja-prevision-ingresos-ano/1003744235073_0.html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un primer trimestre flojo puede mostrar una debilidad que sólo es temporal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https://www.merca2.es/2026/05/05/rovi-trimestre-debilidad-temporal-2376200/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sube en bolsa y apuesta por el CDMO (capacidades previstas para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https://www.estrategiasdeinversion.com/actualidad/noticias/empresas/rovi-sube-en-bolsa-y-apuesta-por-el-cdmo-para-n-957561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acquires pharmaceutical manufacturing plant in Arizona from Bristol Myers Squibb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https://thecorner.eu/?p=122207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Antipsychotic Drugs Market Size and Share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https://www.mordorintelligence.com/industry-reports/antipsychotic-drugs-market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Antipsychotic Drugs Market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https://www.marketresearchfuture.com/reports/antipsychotic-drugs-market-2784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entrará en el Ibex a partir del 20 de 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Redacción Médica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https://www.redaccionmedica.com/empresas/industria-farmaceutica/20211209/rovi-entrara-en-el-ibex-partir-del-de-diciembre/176638_0.html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 Molecular Weight Heparin Market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https://www.researchandmarkets.com/reports/6242291/low-molecular-weight-heparin-market-outlook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López-Belmonte family increase their interest in ROVI to 63.1%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https://www.rovi.es/en/node/2234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dueños de Mayoral suben su participación en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https://theobjective.com/economia/2025-08-11/duenos-mayoral-suben-participacion-rovi/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https://www.rovi.es/sites/default/files/I.A.G.C.%202019.pdf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Mayoral aumenta sus acciones en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https://forbes.es/health/955625/mayoral-aumenta-sus-acciones-en-rovi/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 (capitalización de 3.020 M a 7-oct-2026, vía el informe de Almirall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Laboratorios Farmacéuticos Rovi: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https://es.marketscreener.com/cotizacion/accion/LABORATORIOS-FARMACEUTICO-115958460/finanzas/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 (EBITDA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Potencial de más del 25 % para una acción del Ibex 35 en pleno rebote y que nadie aconseja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https://www.estrategiasdeinversion.com/actualidad/noticias/bolsa-espana/potencial-de-mas-del-25-para-una-accion-del-ibex-n-944011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farmacéutica española ofrece un potencial… (Renta 4, sobreponderar, 85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https://www.estrategiasdeinversion.com/analisis/los-brokers-recomiendan/recomendaciones-espana/una-farmaceutica-espanola-ofrece-un-potencial-n-936675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BME:ROVI (rango de objetivos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https://es.tradingview.com/symbols/BME-ROVI/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(ROVI/EUR)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https://tradersunion.com/currencies/price-history/rovi-eur/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market cap y acciones en circulación (51.235.764)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https://www.tipranks.com/stocks/es:rovi/market-cap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 (vía informes de L’Oréal y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europeos a 7-oct-2026 (Stock Analysis y MarketScreener), informe de Almirall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Farmaceuticos Rovi share price (cotizaciones de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https://uk.marketscreener.com/quote/stock/LABORATORIOS-FARMACEUTICO-115958460/graphics/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https://simplywall.st/stock/bme/rovi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Laboratorios Rovi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https://www.rankia.com/acciones/laboratorios-rovi-rovi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https://www.rovi.es/sites/default/files/1t_2026_rovi_presentacion_def_1.pdf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para medios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https://www.rovi.es/sites/default/files/1s_2026_resultados_nota_medios_def_0.pdf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three months of 2026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https://rovi.es/en/node/4264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77,2 %</w:t>
      </w:r>
      <w:r>
        <w:t xml:space="preserve"> · Secciones con menos del 60 % de campos cubiertos: </w:t>
      </w:r>
      <w:r>
        <w:rPr>
          <w:b/>
          <w:bCs/>
        </w:rPr>
        <w:t xml:space="preserve">gobierno, bolsa, transacciones, calidad</w:t>
      </w:r>
      <w:r>
        <w:t xml:space="preserve"> · Generado el 14 oct 2026.</w:t>
      </w:r>
    </w:p>
    <w:p>
      <w:pPr>
        <w:pStyle w:val="Nota"/>
        <w:spacing w:after="100"/>
      </w:pPr>
      <w:r>
        <w:t xml:space="preserve">Análisis hecho desde la nube con la red limitada a la búsqueda web: rovi.es, la CNMV y los proveedores de datos no se pudieron abrir, así que las cifras salen de los extractos de búsqueda de las notas de resultados de Rovi, de TipRanks, Yahoo y MarketScreener y de la prensa financiera, cruzadas cuando fue posible; la confianza es menor que en un análisis normal y lo que no cuadró está en null y en los huecos. Precio: 58,94 EUR, el de la capitalización de Stock Analysis del 7-oct-2026 (3.020 M ÷ 51,24 M de acciones), porque no se encontró el cierre del 13-oct. EBIT 2021-2023, resultado financiero, impuestos, flujo operativo (FCF + capex de MarketScreener) y existencias y clientes (días × ventas) son estimaciones propias. El puente usa la caja neta publicada (22,5 M a 30-jun-26) sin separar deuda bruta y arrendamientos. 2026 incluye una diferencia negativa de consolidación (badwill) de 62,4 M por la planta de Phoenix: va como no recurrente en el LTM y no entra en la proyección.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Laboratorios Farmacéuticos Rovi, S.A. (ROVI)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Hoja1!$B$2:$B$9</c:f>
              <c:numCache>
                <c:formatCode>#,##0.0</c:formatCode>
                <c:ptCount val="8"/>
                <c:pt idx="0">
                  <c:v>53.1</c:v>
                </c:pt>
                <c:pt idx="1">
                  <c:v>64.2</c:v>
                </c:pt>
                <c:pt idx="2">
                  <c:v>39.22</c:v>
                </c:pt>
                <c:pt idx="3">
                  <c:v>47.34</c:v>
                </c:pt>
                <c:pt idx="4">
                  <c:v>44.5</c:v>
                </c:pt>
                <c:pt idx="5">
                  <c:v>36.63</c:v>
                </c:pt>
                <c:pt idx="6">
                  <c:v>57.6</c:v>
                </c:pt>
                <c:pt idx="7">
                  <c:v>58.65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Hoja1!$C$2:$C$9</c:f>
              <c:numCache>
                <c:formatCode>#,##0.0</c:formatCode>
                <c:ptCount val="8"/>
                <c:pt idx="0">
                  <c:v>33.6</c:v>
                </c:pt>
                <c:pt idx="1">
                  <c:v>21.799999999999997</c:v>
                </c:pt>
                <c:pt idx="2">
                  <c:v>17.18</c:v>
                </c:pt>
                <c:pt idx="3">
                  <c:v>15.459999999999994</c:v>
                </c:pt>
                <c:pt idx="4">
                  <c:v>16.020000000000003</c:v>
                </c:pt>
                <c:pt idx="5">
                  <c:v>22.089999999999996</c:v>
                </c:pt>
                <c:pt idx="6">
                  <c:v>14.199999999999996</c:v>
                </c:pt>
                <c:pt idx="7">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Especialidades farmacéuticas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426.9</c:v>
                </c:pt>
                <c:pt idx="1">
                  <c:v>473.9</c:v>
                </c:pt>
              </c:numCache>
            </c:numRef>
          </c:val>
        </c:ser>
        <c:ser>
          <c:idx val="1"/>
          <c:order val="1"/>
          <c:tx>
            <c:strRef>
              <c:f>Hoja1!$C$1</c:f>
              <c:strCache>
                <c:ptCount val="1"/>
                <c:pt idx="0">
                  <c:v>Fabricación a terceros (CDMO)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336.8</c:v>
                </c:pt>
                <c:pt idx="1">
                  <c:v>269.6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Especialidades farmacéuticas</c:v>
                </c:pt>
                <c:pt idx="1">
                  <c:v>Fabricación a terceros (CDMO)</c:v>
                </c:pt>
              </c:strCache>
            </c:strRef>
          </c:cat>
          <c:val>
            <c:numRef>
              <c:f>Hoja1!$B$2:$B$3</c:f>
              <c:numCache>
                <c:formatCode>General</c:formatCode>
                <c:ptCount val="2"/>
                <c:pt idx="0">
                  <c:v>63.7</c:v>
                </c:pt>
                <c:pt idx="1">
                  <c:v>36.3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Rovi</c:v>
                </c:pt>
                <c:pt idx="1">
                  <c:v>Sanofi (Lovenox)</c:v>
                </c:pt>
                <c:pt idx="2">
                  <c:v>Techdow / Hepalink</c:v>
                </c:pt>
                <c:pt idx="3">
                  <c:v>Johnson &amp; Johnson (Invega Sustenna/Trinza)</c:v>
                </c:pt>
                <c:pt idx="4">
                  <c:v>Lonza</c:v>
                </c:pt>
              </c:strCache>
            </c:strRef>
          </c:cat>
          <c:val>
            <c:numRef>
              <c:f>Hoja1!$B$2:$B$6</c:f>
              <c:numCache>
                <c:formatCode>0.0"%"</c:formatCode>
                <c:ptCount val="5"/>
                <c:pt idx="0">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648.7</c:v>
                </c:pt>
                <c:pt idx="1">
                  <c:v>817.7</c:v>
                </c:pt>
                <c:pt idx="2">
                  <c:v>829.5</c:v>
                </c:pt>
                <c:pt idx="3">
                  <c:v>763.7</c:v>
                </c:pt>
                <c:pt idx="4">
                  <c:v>743.5</c:v>
                </c:pt>
                <c:pt idx="5">
                  <c:v>766</c:v>
                </c:pt>
                <c:pt idx="6">
                  <c:v>850</c:v>
                </c:pt>
                <c:pt idx="7">
                  <c:v>918</c:v>
                </c:pt>
                <c:pt idx="8">
                  <c:v>969</c:v>
                </c:pt>
                <c:pt idx="9">
                  <c:v>1012</c:v>
                </c:pt>
                <c:pt idx="10">
                  <c:v>1053</c:v>
                </c:pt>
                <c:pt idx="11">
                  <c:v>1089</c:v>
                </c:pt>
                <c:pt idx="12">
                  <c:v>1122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204.7</c:v>
                </c:pt>
                <c:pt idx="1">
                  <c:v>281.5</c:v>
                </c:pt>
                <c:pt idx="2">
                  <c:v>244.5</c:v>
                </c:pt>
                <c:pt idx="3">
                  <c:v>207.4</c:v>
                </c:pt>
                <c:pt idx="4">
                  <c:v>216.2</c:v>
                </c:pt>
                <c:pt idx="5">
                  <c:v>199</c:v>
                </c:pt>
                <c:pt idx="6">
                  <c:v>242</c:v>
                </c:pt>
                <c:pt idx="7">
                  <c:v>271</c:v>
                </c:pt>
                <c:pt idx="8">
                  <c:v>291</c:v>
                </c:pt>
                <c:pt idx="9">
                  <c:v>304</c:v>
                </c:pt>
                <c:pt idx="10">
                  <c:v>316</c:v>
                </c:pt>
                <c:pt idx="11">
                  <c:v>327</c:v>
                </c:pt>
                <c:pt idx="12">
                  <c:v>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62.6</c:v>
                </c:pt>
                <c:pt idx="4">
                  <c:v>66.5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31.6</c:v>
                </c:pt>
                <c:pt idx="1">
                  <c:v>34.4</c:v>
                </c:pt>
                <c:pt idx="2">
                  <c:v>29.5</c:v>
                </c:pt>
                <c:pt idx="3">
                  <c:v>27.2</c:v>
                </c:pt>
                <c:pt idx="4">
                  <c:v>29.1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28.6</c:v>
                </c:pt>
                <c:pt idx="1">
                  <c:v>31.8</c:v>
                </c:pt>
                <c:pt idx="2">
                  <c:v>26.5</c:v>
                </c:pt>
                <c:pt idx="3">
                  <c:v>23.5</c:v>
                </c:pt>
                <c:pt idx="4">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23.6</c:v>
                </c:pt>
                <c:pt idx="1">
                  <c:v>24.4</c:v>
                </c:pt>
                <c:pt idx="2">
                  <c:v>20.5</c:v>
                </c:pt>
                <c:pt idx="3">
                  <c:v>17.9</c:v>
                </c:pt>
                <c:pt idx="4">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-2.4</c:v>
                </c:pt>
                <c:pt idx="3">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65</c:v>
                </c:pt>
                <c:pt idx="4">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333</c:v>
                </c:pt>
                <c:pt idx="4">
                  <c:v>321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108.5</c:v>
                </c:pt>
                <c:pt idx="1">
                  <c:v>186.2</c:v>
                </c:pt>
                <c:pt idx="2">
                  <c:v>59.89999999999999</c:v>
                </c:pt>
                <c:pt idx="3">
                  <c:v>76.10000000000001</c:v>
                </c:pt>
                <c:pt idx="4">
                  <c:v>120.00000000000001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153.1</c:v>
                </c:pt>
                <c:pt idx="1">
                  <c:v>199.7</c:v>
                </c:pt>
                <c:pt idx="2">
                  <c:v>170.3</c:v>
                </c:pt>
                <c:pt idx="3">
                  <c:v>136.9</c:v>
                </c:pt>
                <c:pt idx="4">
                  <c:v>140.4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34.7</c:v>
                </c:pt>
                <c:pt idx="1">
                  <c:v>44</c:v>
                </c:pt>
                <c:pt idx="2">
                  <c:v>32.8</c:v>
                </c:pt>
                <c:pt idx="3">
                  <c:v>22.3</c:v>
                </c:pt>
                <c:pt idx="4">
                  <c:v>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32.5</c:v>
                </c:pt>
                <c:pt idx="1">
                  <c:v>40.3</c:v>
                </c:pt>
                <c:pt idx="2">
                  <c:v>32.2</c:v>
                </c:pt>
                <c:pt idx="3">
                  <c:v>24.6</c:v>
                </c:pt>
                <c:pt idx="4">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-0.13</c:v>
                </c:pt>
                <c:pt idx="1">
                  <c:v>-0.19</c:v>
                </c:pt>
                <c:pt idx="2">
                  <c:v>0.16</c:v>
                </c:pt>
                <c:pt idx="3">
                  <c:v>0.42</c:v>
                </c:pt>
                <c:pt idx="4">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21.4</c:v>
                </c:pt>
                <c:pt idx="1">
                  <c:v>53.6</c:v>
                </c:pt>
                <c:pt idx="2">
                  <c:v>69.9</c:v>
                </c:pt>
                <c:pt idx="3">
                  <c:v>59.6</c:v>
                </c:pt>
                <c:pt idx="4">
                  <c:v>47.9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Norbel Inversiones (familia López-Belmonte)</c:v>
                </c:pt>
                <c:pt idx="1">
                  <c:v>Indumenta Pueri (familia Domínguez, Mayoral)</c:v>
                </c:pt>
                <c:pt idx="2">
                  <c:v>Invesco</c:v>
                </c:pt>
              </c:strCache>
            </c:strRef>
          </c:cat>
          <c:val>
            <c:numRef>
              <c:f>Hoja1!$B$2:$B$4</c:f>
              <c:numCache>
                <c:formatCode>0.0"%"</c:formatCode>
                <c:ptCount val="3"/>
                <c:pt idx="0">
                  <c:v>58.19</c:v>
                </c:pt>
                <c:pt idx="1">
                  <c:v>11.25</c:v>
                </c:pt>
                <c:pt idx="2">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19.9</c:v>
                </c:pt>
                <c:pt idx="1">
                  <c:v>6.7</c:v>
                </c:pt>
                <c:pt idx="2">
                  <c:v>12.9</c:v>
                </c:pt>
                <c:pt idx="3">
                  <c:v>16</c:v>
                </c:pt>
                <c:pt idx="4">
                  <c:v>15.1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15.1</c:v>
                </c:pt>
                <c:pt idx="1">
                  <c:v>15.1</c:v>
                </c:pt>
                <c:pt idx="2">
                  <c:v>15.1</c:v>
                </c:pt>
                <c:pt idx="3">
                  <c:v>15.1</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Rovi</c:v>
                </c:pt>
                <c:pt idx="1">
                  <c:v>Galderma</c:v>
                </c:pt>
                <c:pt idx="2">
                  <c:v>UCB</c:v>
                </c:pt>
                <c:pt idx="3">
                  <c:v>Ipsen</c:v>
                </c:pt>
                <c:pt idx="4">
                  <c:v>Recordati</c:v>
                </c:pt>
                <c:pt idx="5">
                  <c:v>Faes Farma</c:v>
                </c:pt>
                <c:pt idx="6">
                  <c:v>Almirall</c:v>
                </c:pt>
              </c:strCache>
            </c:strRef>
          </c:cat>
          <c:val>
            <c:numRef>
              <c:f>Hoja1!$B$2:$B$8</c:f>
              <c:numCache>
                <c:formatCode>0.0"x"</c:formatCode>
                <c:ptCount val="7"/>
                <c:pt idx="0">
                  <c:v>12.3</c:v>
                </c:pt>
                <c:pt idx="1">
                  <c:v>22.9</c:v>
                </c:pt>
                <c:pt idx="2">
                  <c:v>11.8</c:v>
                </c:pt>
                <c:pt idx="3">
                  <c:v>5.9</c:v>
                </c:pt>
                <c:pt idx="4">
                  <c:v>11.5</c:v>
                </c:pt>
                <c:pt idx="5">
                  <c:v>10.6</c:v>
                </c:pt>
                <c:pt idx="6">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Rovi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9.1</c:v>
                </c:pt>
              </c:numCache>
            </c:numRef>
          </c:xVal>
          <c:yVal>
            <c:numRef>
              <c:f>Hoja1!$C$2</c:f>
              <c:numCache>
                <c:formatCode>0.0"x"</c:formatCode>
                <c:ptCount val="1"/>
                <c:pt idx="0">
                  <c:v>12.3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Almirall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7.3</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92</c:v>
                </c:pt>
                <c:pt idx="1">
                  <c:v>87</c:v>
                </c:pt>
                <c:pt idx="2">
                  <c:v>116</c:v>
                </c:pt>
                <c:pt idx="3">
                  <c:v>140</c:v>
                </c:pt>
                <c:pt idx="4">
                  <c:v>155</c:v>
                </c:pt>
                <c:pt idx="5">
                  <c:v>169</c:v>
                </c:pt>
                <c:pt idx="6">
                  <c:v>177</c:v>
                </c:pt>
                <c:pt idx="7">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767</c:v>
                </c:pt>
                <c:pt idx="1">
                  <c:v>1831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58,94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36.63</c:v>
                </c:pt>
                <c:pt idx="1">
                  <c:v>51.14</c:v>
                </c:pt>
                <c:pt idx="2">
                  <c:v>58.72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Hoja1!$B$2:$B$9</c:f>
              <c:numCache>
                <c:formatCode>#,##0.0</c:formatCode>
                <c:ptCount val="8"/>
                <c:pt idx="0">
                  <c:v>53.1</c:v>
                </c:pt>
                <c:pt idx="1">
                  <c:v>64.2</c:v>
                </c:pt>
                <c:pt idx="2">
                  <c:v>39.22</c:v>
                </c:pt>
                <c:pt idx="3">
                  <c:v>47.34</c:v>
                </c:pt>
                <c:pt idx="4">
                  <c:v>44.5</c:v>
                </c:pt>
                <c:pt idx="5">
                  <c:v>36.63</c:v>
                </c:pt>
                <c:pt idx="6">
                  <c:v>57.6</c:v>
                </c:pt>
                <c:pt idx="7">
                  <c:v>58.65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Hoja1!$C$2:$C$9</c:f>
              <c:numCache>
                <c:formatCode>#,##0.0</c:formatCode>
                <c:ptCount val="8"/>
                <c:pt idx="0">
                  <c:v>33.6</c:v>
                </c:pt>
                <c:pt idx="1">
                  <c:v>21.799999999999997</c:v>
                </c:pt>
                <c:pt idx="2">
                  <c:v>17.18</c:v>
                </c:pt>
                <c:pt idx="3">
                  <c:v>15.459999999999994</c:v>
                </c:pt>
                <c:pt idx="4">
                  <c:v>16.020000000000003</c:v>
                </c:pt>
                <c:pt idx="5">
                  <c:v>22.089999999999996</c:v>
                </c:pt>
                <c:pt idx="6">
                  <c:v>14.199999999999996</c:v>
                </c:pt>
                <c:pt idx="7">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