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PepsiCo, Inc.</w:t>
      </w:r>
    </w:p>
    <w:p>
      <w:pPr>
        <w:spacing w:after="60"/>
        <w:rPr>
          <w:color w:val="52514E"/>
          <w:sz w:val="22"/>
          <w:szCs w:val="22"/>
        </w:rPr>
      </w:pPr>
      <w:r>
        <w:rPr>
          <w:color w:val="52514E"/>
          <w:sz w:val="22"/>
          <w:szCs w:val="22"/>
        </w:rPr>
        <w:t xml:space="preserve">PEP · Nasdaq Global Select Market · ISIN US7134481081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128,34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152,55 USD · mercado 166,39</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+23,4 % · mercado +34,2 %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175.274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10,9x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2,2x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PepsiCo,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PEP / US7134481081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Bebidas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Purchase, Nueva York · 1965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www.pepsico.com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128,34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123,47 – 171,48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175.274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214.526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8,3 M acciones/día, ≈ 1.125 M USD/día (3 meses, 64 sesiones) [81]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Valor objetivo </w:t>
      </w:r>
      <w:r>
        <w:rPr>
          <w:b/>
          <w:bCs/>
        </w:rPr>
        <w:t xml:space="preserve">152,55 USD</w:t>
      </w:r>
      <w:r>
        <w:t xml:space="preserve"> frente a 128,34 · con la prima implícita del mercado: 166,39 (+29,6 %) · Rentabilidad total esperada a 12 meses </w:t>
      </w:r>
      <w:r>
        <w:rPr>
          <w:b/>
          <w:bCs/>
        </w:rPr>
        <w:t xml:space="preserve">+23,4 %</w:t>
      </w:r>
      <w:r>
        <w:t xml:space="preserve"> · Alcista / bajista +55,6 % / -27,1 %</w:t>
      </w:r>
    </w:p>
    <w:p>
      <w:pPr>
        <w:spacing w:after="100"/>
      </w:pPr>
      <w:r>
        <w:rPr>
          <w:b/>
        </w:rPr>
        <w:t xml:space="preserve">La recomendación y por qué.</w:t>
      </w:r>
      <w:r>
        <w:t xml:space="preserve"> Comprar, con convicción baja. El valor objetivo es de 152,55 USD frente a un precio de 128,34 USD: un potencial del 18,9 % y una rentabilidad total esperada del 23,4 % con el dividendo del 4,5 %. El alcista gana un 55,6 % y el bajista pierde un 27,1 %, una asimetría de 2,05 veces. El precio descuenta que PepsiCo casi no vuelve a crecer, y el 3T26 no lo sostiene: el orgánico se aceleró al 3,1 % [21]. El motor sugiere convicción media; la dejamos en baja porque se ha cumplido lo que en la primera iteración nos habría llevado a Mantener: la guía de BPA core a tipo constante baja al +1-2 % [21]. No cambiamos la recomendación porque la rebaja ya está en nuestras cifras y el valor no cae. Subiría a media con una guía de 2027 de BPA de un dígito medio en febrero; pasaríamos a Mantener si el margen de PFNA vuelve a caer en el 4T26.</w:t>
      </w:r>
    </w:p>
    <w:p>
      <w:pPr>
        <w:spacing w:after="100"/>
      </w:pPr>
      <w:r>
        <w:rPr>
          <w:b/>
        </w:rPr>
        <w:t xml:space="preserve">Qué ha cambiado desde el 8-oct.</w:t>
      </w:r>
      <w:r>
        <w:t xml:space="preserve"> El valor objetivo sube de 151,16 a 152,55 USD y el precio, de 123,73 a 128,34 USD (+3,7 % el día de resultados, con el sector al alza) [81]; la rentabilidad esperada baja del 26,8 % al 23,4 % y la asimetría, de 2,40 a 2,05 veces. Rebajamos el margen EBITDA del DCF (19,2 % en 2026-2027 y 19,6 % a largo plazo, antes 19,4-19,8 %), compensado por un bono más bajo (5,22 % frente a 5,28 %) [82]. El consenso de BPA de 2026 baja de 8,54 a 8,31 USD y el precio objetivo medio, de 148,64 a 144,82 USD [84, 85].</w:t>
      </w:r>
    </w:p>
    <w:p>
      <w:pPr>
        <w:spacing w:after="100"/>
      </w:pPr>
      <w:r>
        <w:rPr>
          <w:b/>
        </w:rPr>
        <w:t xml:space="preserve">El negocio.</w:t>
      </w:r>
      <w:r>
        <w:t xml:space="preserve"> El ROIC es del 21,3 %, casi tres veces el WACC del 7,54 %. Internacional, el 41 % de las ventas, crece un 8 % orgánico y mejora su margen 105 pb [23]. En snacks de Norteamérica el volumen vuelve a crecer, pero comprado con precio (−1 punto) y con 280 pb menos de margen core [23]. Sin los 178 M de devoluciones de aranceles, el beneficio operativo core del trimestre habría caído un 0,9 % (estimación propia) [21].</w:t>
      </w:r>
    </w:p>
    <w:p>
      <w:pPr>
        <w:spacing w:after="100"/>
      </w:pPr>
      <w:r>
        <w:rPr>
          <w:b/>
        </w:rPr>
        <w:t xml:space="preserve">Finanzas y gobierno.</w:t>
      </w:r>
      <w:r>
        <w:t xml:space="preserve"> El flujo libre de los últimos 12 meses llega a 10.816 M [22], pero los cargos «no recurrentes» se repiten cada año [1] y el pago aplazado de poppi ha pasado de 278 M a 12 M: la compra no cumple el plan [22]. Deuda neta ajustada de 2,2 veces el EBITDA, con rating A1/A+ [77, 78]. La dirección resta: es la tercera rebaja de la guía a mitad de año en tres ejercicios [21].</w:t>
      </w:r>
    </w:p>
    <w:p>
      <w:pPr>
        <w:spacing w:after="100"/>
      </w:pPr>
      <w:r>
        <w:rPr>
          <w:b/>
        </w:rPr>
        <w:t xml:space="preserve">Valoración.</w:t>
      </w:r>
      <w:r>
        <w:t xml:space="preserve"> El DCF da 163,03 USD; los comparables, 132,94 USD por PER y 142,33 USD por EV/EBITDA. El precio implica una rentabilidad anual del 8,6 %, frente al 7,54 % de WACC y al 7,14 % que pide hoy el mercado: equivale a un crecimiento del 0,2 % anual o a un margen del 16,9 %, por debajo del peor año de la década. Nuestras cifras están en el consenso o hasta un 1,1 % por debajo; la diferencia es el coste del capital. Con la prima del mercado el valor objetivo es de 166,39 USD: las dos reglas dicen Comprar.</w:t>
      </w:r>
    </w:p>
    <w:p>
      <w:pPr>
        <w:spacing w:after="100"/>
      </w:pPr>
      <w:r>
        <w:rPr>
          <w:b/>
        </w:rPr>
        <w:t xml:space="preserve">Riesgos y catalizadores.</w:t>
      </w:r>
      <w:r>
        <w:t xml:space="preserve"> Un punto menos de margen resta un 8 % (149,98 USD); un WACC del 8,0 %, un 12 % (144,16 USD). Catalizadores: la cifra de los nuevos recortes de costes [23], la revisión de la distribución de Norteamérica a finales de 2026 [25] y la guía de 2027 en febrero.</w:t>
      </w:r>
    </w:p>
    <w:p>
      <w:pPr>
        <w:spacing w:after="100"/>
      </w:pPr>
      <w:r>
        <w:rPr>
          <w:b/>
        </w:rPr>
        <w:t xml:space="preserve">Qué cambiaría la decisión.</w:t>
      </w:r>
      <w:r>
        <w:t xml:space="preserve"> La regla da Comprar por debajo de 149,65 USD y Vender por encima de 182,91 USD. Pasaríamos a Mantener si el margen core de PFNA cae otra vez en el 4T26, si la guía de 2027 no da crecimiento del BPA o si el bono a 10 años supera el 5,5 %.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Valor objetivo: </w:t>
      </w:r>
      <w:r>
        <w:rPr>
          <w:b/>
          <w:bCs/>
        </w:rPr>
        <w:t xml:space="preserve">152,55 USD</w:t>
      </w:r>
      <w:r>
        <w:t xml:space="preserve"> (+18,9 % sobre 128,34; rentabilidad total esperada +23,4 %) · con la prima implícita del mercado: 166,39 (+29,6 %)</w:t>
      </w:r>
    </w:p>
    <w:p>
      <w:pPr>
        <w:spacing w:after="100"/>
      </w:pPr>
      <w:r>
        <w:t xml:space="preserve">PepsiCo es el líder de los snacks salados de EE. UU. y el segundo grupo de bebidas refrescantes del país [1]. Vende 98.241 M USD al año con un margen EBITDA recurrente del 19,5 % y un ROIC del 21,3 %. Frito-Lay tiene el 56 % de las patatas fritas de EE. UU. [50] y la distribución directa a tienda es una barrera que la marca blanca no ha roto: en patatas fritas solo pesa el 9,5 %. Internacional crece al 8 % orgánico y ya da el 45 % del beneficio core de los segmentos [23].</w:t>
      </w:r>
    </w:p>
    <w:p>
      <w:pPr>
        <w:spacing w:after="100"/>
      </w:pPr>
      <w:r>
        <w:t xml:space="preserve">El precio descuenta un estancamiento. A 128,34 USD, cerca del mínimo de 52 semanas (123,47 USD el 7-oct) y un 25 % por debajo del máximo de febrero [81], PepsiCo cotiza a 11,2 veces el EBITDA, por debajo de su mínimo en diez años, y a 15,3 veces el beneficio de los próximos 12 meses. El DCF inverso dice que el mercado espera ventas casi planas (0,2 % anual) o un margen del 16,9 %, por debajo del peor año de la década (17,5 % en 2022).</w:t>
      </w:r>
    </w:p>
    <w:p>
      <w:pPr>
        <w:spacing w:after="100"/>
      </w:pPr>
      <w:r>
        <w:t xml:space="preserve">El mercado acierta en que Norteamérica ha perdido poder de precio: el volumen solo ha vuelto bajando precios, el margen de PFNA cae y la guía se ha rebajado por tercer año seguido [21, 23]. Se equivoca al extender ese diagnóstico al grupo: el orgánico del 3T26 es el mayor desde 2023 e internacional sube margen [21, 23]. Para invertir hay que creer que el margen recurrente aguanta en torno al 19,6 %, por debajo de lo que promete la dirección y del consenso de 2028.</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 / -27,1 %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 frente a 7,5 % y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7,1 %)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23,4 % (&lt; 25 %); bajista del -27,1 % (pierde más del 25 %); el precio descuenta solo 2,9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149,65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149,65 y 182,91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182,91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margen operativo core de PFNA vuelve a caer frente al año anterior en el 4T26, pasaríamos a Mantener.</w:t>
      </w:r>
    </w:p>
    <w:p>
      <w:pPr>
        <w:pStyle w:val="ListParagraph"/>
        <w:numPr>
          <w:ilvl w:val="0"/>
          <w:numId w:val="2"/>
        </w:numPr>
        <w:spacing w:after="60"/>
      </w:pPr>
      <w:r>
        <w:t xml:space="preserve">Si la guía de 2027 (febrero) no da crecimiento del BPA core a tipo constante, pasaríamos a Mantener.</w:t>
      </w:r>
    </w:p>
    <w:p>
      <w:pPr>
        <w:pStyle w:val="ListParagraph"/>
        <w:numPr>
          <w:ilvl w:val="0"/>
          <w:numId w:val="2"/>
        </w:numPr>
        <w:spacing w:after="60"/>
      </w:pPr>
      <w:r>
        <w:t xml:space="preserve">Si el volumen orgánico de PFNA vuelve a ser negativo con el precio neto también negativo en un trimestre, pasaríamos a Mantener.</w:t>
      </w:r>
    </w:p>
    <w:p>
      <w:pPr>
        <w:pStyle w:val="ListParagraph"/>
        <w:numPr>
          <w:ilvl w:val="0"/>
          <w:numId w:val="2"/>
        </w:numPr>
        <w:spacing w:after="60"/>
      </w:pPr>
      <w:r>
        <w:t xml:space="preserve">Si el bono del Tesoro a 10 años supera el 5,5 % de forma sostenida, revisaríamos el WACC y probablemente a Mantener.</w:t>
      </w:r>
    </w:p>
    <w:p>
      <w:pPr>
        <w:pStyle w:val="ListParagraph"/>
        <w:numPr>
          <w:ilvl w:val="0"/>
          <w:numId w:val="2"/>
        </w:numPr>
        <w:spacing w:after="60"/>
      </w:pPr>
      <w:r>
        <w:t xml:space="preserve">Si la acción supera los 149,65 USD sin cambios en las cifras, pasaríamos a Mantener; por encima de 182,91 USD,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volumen de Norteamérica solo se sostiene sacrificando margen y que PepsiCo no volverá a crecer en beneficio: el consenso de BPA pasa de 8,31 USD en 2026 a 8,41 USD en 2027 [84], el precio objetivo medio ha bajado a 144,82 USD [85] y el precio implica una rentabilidad del 8,6 % anual.</w:t>
      </w:r>
    </w:p>
    <w:p>
      <w:pPr>
        <w:keepNext/>
        <w:spacing w:after="100"/>
      </w:pPr>
      <w:r>
        <w:rPr>
          <w:b/>
          <w:bCs/>
        </w:rPr>
        <w:t xml:space="preserve">Lo que creemos nosotros.</w:t>
      </w:r>
    </w:p>
    <w:p>
      <w:pPr>
        <w:spacing w:after="100"/>
      </w:pPr>
      <w:r>
        <w:t xml:space="preserve">El riesgo es de nivel, no de declive continuo. Con volumen plano en Norteamérica, internacional al 6-8 % y un margen recurrente del 19,2 % en 2026-2027 que vuelve al 19,6 %, PepsiCo vale 163,03 USD por DCF. No somos más optimistas que el consenso en ventas ni en márgenes.</w:t>
      </w:r>
    </w:p>
    <w:p>
      <w:pPr>
        <w:keepNext/>
        <w:spacing w:after="100"/>
      </w:pPr>
      <w:r>
        <w:rPr>
          <w:b/>
          <w:bCs/>
        </w:rPr>
        <w:t xml:space="preserve">Por qué podemos tener razón.</w:t>
      </w:r>
    </w:p>
    <w:p>
      <w:pPr>
        <w:spacing w:after="100"/>
      </w:pPr>
      <w:r>
        <w:t xml:space="preserve">La diferencia está en el coste del capital: el mercado exige a PepsiCo más que a un valor de beta 0,65 por el miedo al volumen. El 3T26 da argumentos a los dos lados: el orgánico se acelera [21], pero el beneficio core sin aranceles cae y la guía baja [21, 23]. Por eso la convicción es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28,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alta y estable</w:t>
      </w:r>
      <w:r>
        <w:t xml:space="preserve">: ROIC del 21,3 % frente a un WACC del 7,54 %, entre el 18 % y el 22 % desde 2019.</w:t>
      </w:r>
    </w:p>
    <w:p>
      <w:pPr>
        <w:pStyle w:val="ListParagraph"/>
        <w:numPr>
          <w:ilvl w:val="0"/>
          <w:numId w:val="2"/>
        </w:numPr>
        <w:spacing w:after="60"/>
      </w:pPr>
      <w:r>
        <w:rPr>
          <w:b/>
        </w:rPr>
        <w:t xml:space="preserve">Precio en mínimos de diez años</w:t>
      </w:r>
      <w:r>
        <w:t xml:space="preserve">: 11,2 veces el EBITDA frente a una media del 15,5 y un mínimo previo de 12,9.</w:t>
      </w:r>
    </w:p>
    <w:p>
      <w:pPr>
        <w:pStyle w:val="ListParagraph"/>
        <w:numPr>
          <w:ilvl w:val="0"/>
          <w:numId w:val="2"/>
        </w:numPr>
        <w:spacing w:after="60"/>
      </w:pPr>
      <w:r>
        <w:rPr>
          <w:b/>
        </w:rPr>
        <w:t xml:space="preserve">El mercado descuenta ventas planas</w:t>
      </w:r>
      <w:r>
        <w:t xml:space="preserve">: el DCF inverso implica un crecimiento del 0,2 % anual o un margen del 16,9 %.</w:t>
      </w:r>
    </w:p>
    <w:p>
      <w:pPr>
        <w:pStyle w:val="ListParagraph"/>
        <w:numPr>
          <w:ilvl w:val="0"/>
          <w:numId w:val="2"/>
        </w:numPr>
        <w:spacing w:after="60"/>
      </w:pPr>
      <w:r>
        <w:rPr>
          <w:b/>
        </w:rPr>
        <w:t xml:space="preserve">Internacional tira</w:t>
      </w:r>
      <w:r>
        <w:t xml:space="preserve">: +8 % orgánico en el 3T26, el 41 % de las ventas y el 45 % del beneficio core de los segmentos [23].</w:t>
      </w:r>
    </w:p>
    <w:p>
      <w:pPr>
        <w:pStyle w:val="ListParagraph"/>
        <w:numPr>
          <w:ilvl w:val="0"/>
          <w:numId w:val="2"/>
        </w:numPr>
        <w:spacing w:after="60"/>
      </w:pPr>
      <w:r>
        <w:rPr>
          <w:b/>
        </w:rPr>
        <w:t xml:space="preserve">Dividendo del 4,5 %</w:t>
      </w:r>
      <w:r>
        <w:t xml:space="preserve"> que ha subido 54 años seguidos, con rating A1/A+ [13, 77, 78].</w:t>
      </w:r>
    </w:p>
    <w:p>
      <w:pPr>
        <w:pStyle w:val="Heading2"/>
      </w:pPr>
      <w:r>
        <w:t xml:space="preserve">En contra</w:t>
      </w:r>
    </w:p>
    <w:p>
      <w:pPr>
        <w:pStyle w:val="ListParagraph"/>
        <w:numPr>
          <w:ilvl w:val="0"/>
          <w:numId w:val="2"/>
        </w:numPr>
        <w:spacing w:after="60"/>
      </w:pPr>
      <w:r>
        <w:rPr>
          <w:b/>
        </w:rPr>
        <w:t xml:space="preserve">Guía rebajada otra vez</w:t>
      </w:r>
      <w:r>
        <w:t xml:space="preserve">: BPA core a tipo constante del +4-6 % al +1-2 %, tercera rebaja a mitad de año en tres años [21].</w:t>
      </w:r>
    </w:p>
    <w:p>
      <w:pPr>
        <w:pStyle w:val="ListParagraph"/>
        <w:numPr>
          <w:ilvl w:val="0"/>
          <w:numId w:val="2"/>
        </w:numPr>
        <w:spacing w:after="60"/>
      </w:pPr>
      <w:r>
        <w:rPr>
          <w:b/>
        </w:rPr>
        <w:t xml:space="preserve">Norteamérica compra volumen con precio</w:t>
      </w:r>
      <w:r>
        <w:t xml:space="preserve">: −1 punto de precio neto y −280 pb de margen core en PFNA en el 3T26 [23].</w:t>
      </w:r>
    </w:p>
    <w:p>
      <w:pPr>
        <w:pStyle w:val="ListParagraph"/>
        <w:numPr>
          <w:ilvl w:val="0"/>
          <w:numId w:val="2"/>
        </w:numPr>
        <w:spacing w:after="60"/>
      </w:pPr>
      <w:r>
        <w:rPr>
          <w:b/>
        </w:rPr>
        <w:t xml:space="preserve">Beneficio del trimestre de baja calidad</w:t>
      </w:r>
      <w:r>
        <w:t xml:space="preserve">: sin 178 M de devoluciones de aranceles, el beneficio operativo core habría caído un 0,9 % (estimación propia) [21].</w:t>
      </w:r>
    </w:p>
    <w:p>
      <w:pPr>
        <w:pStyle w:val="ListParagraph"/>
        <w:numPr>
          <w:ilvl w:val="0"/>
          <w:numId w:val="2"/>
        </w:numPr>
        <w:spacing w:after="60"/>
      </w:pPr>
      <w:r>
        <w:rPr>
          <w:b/>
        </w:rPr>
        <w:t xml:space="preserve">Compras que no rinden</w:t>
      </w:r>
      <w:r>
        <w:t xml:space="preserve">: el pago aplazado de poppi baja de 278 M a 12 M [22], tras los deterioros de Rockstar y SodaStream [1].</w:t>
      </w:r>
    </w:p>
    <w:p>
      <w:pPr>
        <w:pStyle w:val="ListParagraph"/>
        <w:numPr>
          <w:ilvl w:val="0"/>
          <w:numId w:val="2"/>
        </w:numPr>
        <w:spacing w:after="60"/>
      </w:pPr>
      <w:r>
        <w:rPr>
          <w:b/>
        </w:rPr>
        <w:t xml:space="preserve">Dividendo justo de caja</w:t>
      </w:r>
      <w:r>
        <w:t xml:space="preserve">: se llevó el 93 % del flujo libre en 2025, con la deuda neta en 2,2 veces el EBITDA.</w:t>
      </w:r>
    </w:p>
    <w:p>
      <w:pPr>
        <w:pStyle w:val="Heading2"/>
      </w:pPr>
      <w:r>
        <w:t xml:space="preserve">Qué tiene que pasar para que la tesis funcione</w:t>
      </w:r>
    </w:p>
    <w:p>
      <w:pPr>
        <w:spacing w:after="100"/>
      </w:pPr>
      <w:r>
        <w:t xml:space="preserve">La tesis depende de que el margen de Norteamérica deje de caer sin perder el volumen recuperado. La señal de que no se cumple es otro trimestre con el margen core de PFNA a la baja y el precio neto negativo: significaría que la inversión en precio no se recupera. La segunda señal es la guía de 2027 en febrero: si no da crecimiento del BPA, el mercado habría tenido razón al pedir más rentabilidad.</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core de PFNA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pb en el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Otra caída interanual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inversión en precio y publicidad se recupera [23].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 de PFNA (impacto en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puntos en el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con precio neto negativo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la inversión en precio compra volumen duradero [21].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internacional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en el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que sostiene el crecimiento del grupo [23].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recurrente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 (últimos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18,5 %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ya descuenta un 16,9 %; el DCF supone un 19,6 %.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Dividendos sobre flujo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del 100 % dos años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caja para crecer el dividendo, la deuda sube y peligra el rating [1].</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11,2x / 10,9x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16,1x / 15,3x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 · 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PepsiCo se constituyó en Delaware en 1919 y se trasladó a Carolina del Norte en 1986 [1]. Su forma actual, un grupo de snacks y bebidas, se completó con la fusión con Quaker Oats en agosto de 2001, que trajo Gatorade [39], y con la compra de sus dos grandes embotelladores, PBG y PAS, en febrero de 2010, que la convirtió en embotelladora en Norteamérica [40]. Ramon Laguarta es consejero delegado desde octubre de 2018 y presidente desde 2019 [41]. Desde entonces ha rotado la cartera: compró SodaStream (2018), Rockstar, Pioneer Foods y Be &amp; Cheery (2020) [41, 42], vendió los zumos a PAI en 2022 quedándose un 39 % [43], y en 2024-2025 compró Sabra, Siete y poppi mientras cedía Rockstar a Celsius tras deteriorarla [1]. En diciembre de 2025 pactó con el activista Elliott un plan de precios más bajos, recorte de costes y revisión de la distribución en Norteamérica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la sociedad en Delaware; reincorporada en Carolina del Norte en 1986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The Quaker Oats Company (2 de agosto), que aporta Quaker y Gatorade [39].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sus embotelladores ancla, Pepsi Bottling Group y PepsiAmericas (26 de febrero): PepsiCo pasa a consolidar el embotellado en Norteamérica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Ramon Laguarta, consejero delegado (octubre); compra de SodaStream (diciembre)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Rockstar Energy, Pioneer Foods (Sudáfrica) y Be &amp; Cheery (snacks en línea, China) [42].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Tropicana, Naked y otros zumos a PAI Partners, reteniendo el 39 % de Tropicana Brands Group [43]; acuerdo de distribución con Celsius y 550 M USD en preferentes convertibles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Retirada voluntaria de barritas y cereales de Quaker: 136 M USD de cargos en 2023 y 187 M en 2024 [1]; la demanda del fiscal general de Nueva York por contaminación plástica abre una serie de litigios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organización en seis segmentos; compras de poppi (1.950 M USD) y Siete (1.200 M USD); Rockstar se deteriora en 1.863 M USD y su marca en EE. UU. y Canadá pasa a Celsius a cambio de preferentes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Elliott (8 de diciembre): precios más asequibles en PFNA, cierre de tres plantas, recorte de casi el 20 % de las referencias en EE. UU. y al menos 100 pb de mejora del margen core en tres años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PFNA baja precios (precio efectivo neto −2 % en el 2T26) y recupera volumen (+1 % en el primer semestre) y cuota [16].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PepsiCo fabrica, comercializa y distribuye bebidas y alimentos de conveniencia en más de 200 países [1]. En 2025 facturó 93.925 M USD: el 58 % en alimentos de conveniencia (Lay's, Doritos, Cheetos, Tostitos, Ruffles, Quaker, Sabra, Siete) y el 42 % en bebidas (Pepsi, Mountain Dew, Gatorade, Aquafina, Bubly, poppi, SodaStream) [1]. En Norteamérica el reparto es mitad y mitad; fuera, 69 % alimentos y 31 % bebidas [1]. Desde 2025 reporta seis segmentos: PepsiCo Foods North America (PFNA), PepsiCo Beverages North America (PBNA), International Beverages Franchise, EMEA, LatAm Foods y Asia Pacific Foods [1]. EE. UU. pesa 52.228 M USD (56 % de las ventas), seguido de México (6.947 M), Rusia (4.768 M) y Canadá (3.729 M) [1]. Vende a mayoristas, cadenas de alimentación, tiendas de conveniencia, discount, clubes, comercio electrónico, hostelería y a embotelladores independientes; la mayor parte de los snacks llega a la tienda por reparto directo (DSD), con empleados que reponen el lineal [1]. Emplea a unas 306.000 personas, 125.000 en EE. UU. [1].</w:t>
      </w:r>
    </w:p>
    <w:p>
      <w:pPr>
        <w:pStyle w:val="Heading2"/>
      </w:pPr>
      <w:r>
        <w:t xml:space="preserve">Cómo gana dinero</w:t>
      </w:r>
    </w:p>
    <w:p>
      <w:pPr>
        <w:spacing w:after="100"/>
      </w:pPr>
      <w:r>
        <w:t xml:space="preserve">El margen sale sobre todo de los snacks de Norteamérica: PFNA ganó 6.173 M USD de resultado operativo en 2025 (6.545 M en base core), el 46 % de la suma de los seis segmentos (estimación propia: 6.173 / 13.516), mientras PBNA, con ventas parecidas, ganó 1.089 M reportados tras 1.539 M de deterioro de Rockstar (3.285 M core) [1]. En bebidas conviven dos modelos: el embotellado propio (36 % de las ventas del grupo), con más ingresos pero menos margen, y la venta de concentrado a embotelladores, de margen alto y poco capital [1]. El crecimiento de 2022-2024 vino del precio y no del volumen: en 2023 el precio efectivo neto subió un 13 % y el volumen orgánico cayó un 3 %; en 2024, +4 % y −2 %; en 2025, +4 % y −2 % [1, 2, 3]. El negocio es estacional, con el tercer trimestre como el más fuerte y el primero como el más flojo [1]. Los costes de materias primas (patata, maíz, aceites, azúcar, PET, aluminio) restaron 5 puntos al beneficio operativo de 2025, con 6 puntos de aranceles en PBNA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PFNA (alimentación 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PBNA (bebidas 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IB Franchise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LatAm Foods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Pacific Foods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Gastos corporativos no asignados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PFNA (alimentación 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27.528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PBNA (bebidas 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IB Franchise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LatAm Foods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Pacific Foods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Gastos corporativos no asignados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Walmart y sus filiales (incluido Sam's Club) supusieron cerca del 14 % de las ventas consolidadas de 2025, con ventas en todos los segmentos; su pérdida tendría un efecto material en PFNA y PBNA [1]. No hay contratos largos con los minoristas: la relación se sostiene con incentivos (rápels por volumen, pagos por espacio en lineal, promociones), y con los embotelladores independientes mediante contratos exclusivos por territorio y la llamada financiación a embotelladores, negociada cada año [1]. El poder de precios se demostró en 2022-2023 (precio efectivo neto +13 % en el grupo y +10 % en Frito-Lay Norteamérica en 2023 [3]), pero se agotó: en 2024 Frito-Lay solo subió un 2 % y perdió un 2,5 % de volumen [2], y en el 2T26 PFNA ya bajaba precios (precio efectivo neto −2 %) para recuperar volumen y cuota [16], dentro del plan de asequibilidad pactado con Elliott en diciembre de 2025 [25].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ventas del grupo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3,1 %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4T24-3T26: 2,1 %, 1 %, 2 %, 1 %, 2,1 %, 2,6 %, 2,4 %, 3,1 %, el mayor desde el 4T23 [7, 8, 9, 10, 11, 12, 13, 14, 15, 16, 21, 23]. Año 2025: 1,7 %; guía 2026: en torno al 3 % (antes 2-4 %) [13,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 PFNA (impacto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−4 pp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+0,5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4T24-3T26 (4T24 = FLNA, la parte grande del antiguo perímetro): −3, −3, −1,5, −4, −2, +2, 0, +0,5. El volumen vuelve a positivo a cambio de precio neto negativo (−1 en 1T26, −2 en 2T26, −1 en 3T26); el margen core de PFNA bajó 280 pb en el 3T26 [7, 8, 9, 10, 11, 12, 13, 14, 21,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 PBNA (impacto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−4 pp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−3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4T24-3T26: −3, −1, −4, −4, −5, −4, −2, −3. Con precio de +3 pp el orgánico queda plano; las ventas suben un 5 % solo por las compras de 2025 (6 pp) [7, 8, 9, 10, 11, 12, 13, 14,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 total del grupo (impacto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−3 pp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+0,5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4T24-3T26: −1, −2, −1,5, −3, −2, 0, +1, +0,5. En el 3T26 el volumen de bebidas global creció un 3 % y el de alimentación un 1 % (4 % sin ciertos negocios de materias primas de Sudáfrica) [21,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internacional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trimestres seguidos con orgánico al menos de un dígito medio; margen core internacional +105 pb en el 3T26. En lo que va de año, internacional pesa el 41 % de las ventas y el 45 % del beneficio core de los segmentos [17,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neto efectivo del grupo (impacto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+4 pp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+3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pierde peso: 4,5 pp en el 4T25, 2 pp en 1T26 y 2T26 y 3 pp en el 3T26, con PFNA en negativo (−1 pp) y EMEA en +7 pp [7, 8, 9, 13,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core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15,9 %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 = sin partidas que afectan a la comparabilidad: 14.698 M y 14.912 M [1]. En 2026 el margen core baja: 16,9 % en el 3T26 (−35 pb) y 16,5 % en las 36 semanas (−25 pb)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Walmart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2025: ~14 %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concentrado vendido a embotelladores para Walmart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suma de dos categorías de consumo masivo: snacks salados (patatas fritas, tortilla chips, snacks de maíz y queso) y bebidas refrescantes no alcohólicas (refrescos, agua embotellada, isotónicas, energéticas, tés y cafés listos para tomar). El perímetro de referencia es EE. UU., que genera el 56 % de las ventas de PepsiCo [1] y la mayor parte de su beneficio. Para los snacks se usa la serie de Circana que publica Utz en sus 10-K (ventas minoristas en canales medidos) [34, 44, 45, 46, 47]; para bebidas, la de Beverage Marketing Corporation [48]. Las dos no se suman en la serie porque miden cosas distintas. El crecimiento histórico se calcula con las tasas anuales publicadas (+15,8 % en 2022, +8,7 % en 2023, +0,7 % en 2024 y −0,5 % en 2025) [34, 44, 45, 46], porque el tamaño de 2025 (42.000 M USD) salta frente a 2024 (39.000 M) pese a una caída de ventas: Circana amplió el perímetro. El CR5 es el de patatas fritas (estimación propia con datos de Circana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Snacks salados en EE. UU.: ≈ 42.000 M USD de ventas minoristas en 2025, dentro de un mercado de snacks de ≈ 148.000 M USD (Circana, citado por Utz) [34]. Bebidas refrescantes en EE. UU.: 255.300 M USD de ventas minoristas en 2024 (+3,3 %) y 36.400 millones de galones (+1,0 %) (Beverage Marketing Corporation) [48]. Solo patatas fritas de bolsa: 11.600 M USD en los 52 semanas a mayo de 2025 (Circana) [50].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entas minoristas de snacks salados en EE. UU. (Circana, vía Utz))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 en snacks de Norteamérica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Frito-Lay Norteamérica subió el precio efectivo neto un 10 % en 2023 con −1 % de volumen [3]; en 2024, +2 % y −2,5 % [2]; PFNA en 2025, +1 % y −2 % (snacks salados −3 %) [1]. En el 2T26 PFNA ya bajaba precios (−2 %) con volumen plano; en el semestre, +1 % de volumen [16]. En el 3T26 siguió igual: precio efectivo neto −1 % y volumen orgánico +0,5 % (snacks salados +1 %, otros alimentos −4 %), con el resultado operativo de PFNA −13 %, 4 puntos de ellos por materias primas más caras [21, 22]; la dirección destaca cuatro trimestres seguidos de volumen al alza en snacks salados de EE. UU., pero admite que Norteamérica va por debajo de lo previsto y que su margen seguirá presionado en el 4T [23]. Las ventas minoristas de snacks salados en EE. UU. cayeron un 0,5 % en 2025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Fármacos GLP-1 contra la obesidad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estudio de Cornell con datos de panel de Numerator (2.623 hogares, enero 2023-julio 2024) halla que los hogares con un usuario de GLP-1 recortan un 5,5 % su gasto en supermercado a los seis meses (8,6 % los de renta alta), con las mayores caídas en snacks salados, dulces y refrescos [49]. PepsiCo lo cita como riesgo en su 10-K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Avance de la marca blanca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blanca pasó del 19,1 % al 21,3 % de las ventas en valor del gran consumo de EE. UU. entre 2021 y 2025 (23,5 % en unidades), con +3,3 % en 2025 frente a +1,2 % de las marcas (PLMA/Circana) [51]. En patatas fritas sigue baja: 1.100 M USD de 11.600 M (9,5 %), aunque creció un 1,5 % mientras Frito-Lay caía un 0,8 % [50].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Energéticas y bebidas funcionales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Monster creció un 10,7 % en 2025 con un margen operativo del 29,2 % [28] y Celsius pasó de 1.356 a 2.515 M USD [29]. PepsiCo llega por compra (poppi, 1.950 M USD) y distribución (Celsius, Alani Nu) [1], mientras su marca propia Rockstar acabó deteriorada en 1.863 M USD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sobre salud y envases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estados de EE. UU. tienen aprobadas exenciones para excluir refrescos y golosinas del SNAP (marzo de 2026), con ocho más en trámite [53]; la FDA pide eliminar seis colorantes sintéticos antes de finales de 2026 [54]; impuestos a bebidas azucaradas y responsabilidad ampliada del productor en envases en varias jurisdicciones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internacional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2T26 el volumen de snacks creció un 10 % en Asia-Pacífico y un 4 % en EMEA, y el de bebidas franquiciadas un 5 %, frente a un volumen plano en PFNA y −4 % en bebidas de Norteamérica [16]. En el 3T26 el ingreso orgánico internacional creció un 8 %, el 22.º trimestre seguido de al menos un dígito medio [23], con volumen de snacks +11 % en Asia-Pacífico y de bebidas franquiciadas +5 %, frente a −2 % en bebidas de Norteamérica [21].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snacks salados hay un líder claro (Frito-Lay, 56 % de las patatas fritas [50]) y una cola de unas 1.300 marcas que suman solo 2.900 M USD [34]; la rivalidad se intensifica en 2026 con bajadas de precio de PFNA [16]. En bebidas es un duopolio con Coca-Cola, que tiene el 20 % de las bebidas refrescantes de EE. UU. frente al 16 % de PepsiCo, que ha cedido tres puntos desde el 19 % de 2023 [1,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Walmart supone el 14 % de las ventas de PepsiCo [1]; la concentración minorista, los discount y el abandono del reparto directo por algunos clientes aumentan su peso [1]. La marca blanca alcanza el 21,3 % del gran consumo en valor [51].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(patata, maíz, aceites, azúcar, PET, aluminio) se compran en mercado abierto a varios proveedores y geografías, con coberturas [1]. Aun así, restaron 5 puntos al beneficio operativo de 2025 y los aranceles 6 puntos en PBNA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snacks la red de reparto directo y el espacio en lineal son barreras: Utz, el número dos regional, gana un 1,4 % sobre ventas [33]. En bebidas funcionales sí entran marcas nuevas con éxito (Celsius, Alani Nu, poppi), pero acaban compradas o distribuidas por los grandes [1, 35].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GLP-1 recortan un 5,5 % el gasto en alimentación de los hogares que los usan, con los snacks salados y los refrescos entre lo más castigado [49]; la marca blanca crece más que las marcas [51] y el consumidor migra hacia opciones con proteína, fibra o sin azúcar [1].</w:t>
            </w:r>
          </w:p>
        </w:tc>
      </w:tr>
    </w:tbl>
    <w:p>
      <w:pPr>
        <w:spacing w:after="160" w:before="0"/>
      </w:pPr>
    </w:p>
    <w:p>
      <w:pPr>
        <w:pStyle w:val="Heading2"/>
      </w:pPr>
      <w:r>
        <w:t xml:space="preserve">Ciclo</w:t>
      </w:r>
    </w:p>
    <w:p>
      <w:pPr>
        <w:spacing w:after="100"/>
      </w:pPr>
      <w:r>
        <w:t xml:space="preserve">Las ventas de snacks salados en EE. UU. pasaron de crecer un 15,8 % en 2022 y un 8,7 % en 2023, casi todo por precio, a +0,7 % en 2024 y −0,5 % en 2025 [34, 44, 45, 46]; las bebidas, de crecimientos de dos dígitos en 2021-2022 a +7,8 % en 2023 y +3,3 % en 2024, con volumen plano [48]. El sector es defensivo: los snacks salados crecieron a un 4 % anual en 2007-2010 [47] y tuvieron un pico de consumo en 2020 [47]. El ciclo de subidas de precio de 2022-2023 se ha agotado y la industria ha pasado a defender volumen con precio. El 3T26 añade presión por costes: la empresa anuncia nuevos recortes estructurales para financiar más publicidad y mitigar una inflación de insumos al alza [21]. El beneficio operativo core creció solo un 3 %, y 4 de esos puntos vinieron de devoluciones de aranceles (178 M USD en el trimestre) tras la sentencia del Tribunal Supremo que anuló los aranceles IEEPA; la Administración ha impuesto aranceles nuevos y el conflicto de Oriente Medio sigue encareciendo materias primas [22, 23]. Sin esa devolución puntual, el beneficio operativo core del trimestre habría caído en torno a un 1 % (estimación propia: 3 − 4 puntos).</w:t>
      </w:r>
    </w:p>
    <w:p>
      <w:pPr>
        <w:pStyle w:val="Heading2"/>
      </w:pPr>
      <w:r>
        <w:t xml:space="preserve">Regulación</w:t>
      </w:r>
    </w:p>
    <w:p>
      <w:pPr>
        <w:spacing w:after="100"/>
      </w:pPr>
      <w:r>
        <w:t xml:space="preserve">En EE. UU. la agenda MAHA ha pasado a medidas concretas: la FDA anunció en abril de 2025 la retirada de seis colorantes sintéticos (Rojo 40, Amarillos 5 y 6, Azules 1 y 2, Verde 3) antes de finales de 2026 y la revocación de otros dos [54], y PepsiCo ya retira colorantes artificiales de Lay's, Doritos y Cheetos [1]. A marzo de 2026, 22 estados tenían aprobado excluir refrescos y golosinas (algunos también energéticas) de las compras con SNAP, con calendarios entre enero y agosto de 2026 y ocho solicitudes más en trámite [53]. Fuera, impuestos al azúcar, la ley inglesa de promoción y colocación de alimentos, sistemas de depósito de envases, responsabilidad ampliada del productor y vetos a plásticos de un solo uso y PFAS [1].</w:t>
      </w:r>
    </w:p>
    <w:p>
      <w:pPr>
        <w:pStyle w:val="Heading2"/>
      </w:pPr>
      <w:r>
        <w:t xml:space="preserve">Tendencias y disrupción</w:t>
      </w:r>
    </w:p>
    <w:p>
      <w:pPr>
        <w:spacing w:after="100"/>
      </w:pPr>
      <w:r>
        <w:t xml:space="preserve">Tres cambios juegan en contra del modelo histórico: los GLP-1, que recortan el gasto en snacks y refrescos de sus usuarios [49]; la marca blanca y el discount, que ganan cuota [1, 51]; y clientes que se alejan del reparto directo [1]. A favor juegan la demanda de bebidas funcionales y energéticas (Monster +10,7 % en 2025 [28], Celsius casi duplica ventas [29]), el consumo fuera de casa y el crecimiento internacional [16]. PepsiCo responde con porciones controladas, ingredientes más simples, proteína y fibra (Doritos Protein, Simply NKD), poppi y bebidas prebióticas [13, 16, 25]. Gana en funcionales por compra, no por marca propia, y pierde en refrescos de cola: en 2024 Pepsi cayó al cuarto puesto de los refrescos de EE. UU., por detrás de Coca-Cola, Dr Pepper y Sprite (Beverage Digest) [52]. En el 3T26 la dirección reconoce que sus refrescos carbonatados crecieron menos que la categoría, mientras la hidratación funcional y los productos sin azúcar siguieron bien; según PepsiCo, la alianza con Celsius ronda el 20 % de cuota en energéticas [23].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snacks salados de EE. UU.: Frito-Lay vende 6.500 M USD del total de 11.600 M de patatas fritas de bolsa (56 %), más de cuatro veces el siguiente, Kellanova (1.500 M) [50]. En bebidas refrescantes de EE. UU. es 2.º, con el 16 % frente al 20 % de Coca-Cola en 2025 [1], y fuera de EE. UU. Coca-Cola tiene una ventaja significativa en refrescos en muchos mercados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Coca-Cola Company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rival en bebidas: 20 % de las bebidas refrescantes de EE. UU. en canales medidos frente al 16 % de PepsiCo en 2025 (Circana, citado por PepsiCo) [1]. Modelo de concentrado casi sin embotellado propio, de ahí el margen; resultado operativo de 13.762 M USD sobre 47.941 M de ingresos en 2025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Keurig Dr Pepper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KDP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Dueña de Dr Pepper, Canada Dry y del café en monodosis Keurig; licencia sus refrescos a embotelladores de Coca-Cola y de PepsiCo [36], y PepsiCo fabrica y distribuye Dr Pepper en parte de EE. UU. [1]. Ingresos de 16.603 M USD y resultado operativo de 3.575 M en 2025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Monster Beverage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MNST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energéticas, distribuida por el sistema de Coca-Cola, que es accionista relevante y se compromete a no competir en energéticas en ciertos territorios [37]. Ventas de 8.294 M USD (+10,7 %) y margen operativo del 29,2 % en 2025 [28]: el segmento que más crece y más gana de las bebidas.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Celsius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Energéticas funcionales (Celsius, Alani Nu y Rockstar en EE. UU. y Canadá, comprada a PepsiCo en 2025) [1, 35]. Es a la vez rival y socio: PepsiCo la distribuye, tiene preferentes convertibles y dos consejeros, y fue el 43,2 % de sus ventas en 2025 [35]. Ingresos de 2.515 M USD (casi el doble que en 2024 por Alani Nu) y margen del 5,6 % lastrado por 327 M de reestructuración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MDLZ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Snacks dulces (galletas, chocolate) y salados de cereal; compite por el mismo espacio de snacking. Margen operativo del 9,2 % en 2025, desde el 17,4 % de 2024, con el cacao disparado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Campbell's (Snyder's-Lance)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grupo de snacks salados de marca en EE. UU. (Snyder's, Kettle, Cape Cod, Pepperidge Farm). Su segmento Snacks vendió 3.816 M USD en el ejercicio a agosto de 2026 (−6 %) y su resultado cayó un 28 % hasta 386 M, con deterioros de las marcas Snyder's of Hanover, Kettle y Cape Cod [32,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General Mills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Cereales, barritas y snacks de grano (Chex Mix, Bugles); rival de Quaker. El margen del 4,8 % del ejercicio a mayo de 2026 incluye 1.750 M USD de deterioro de fondo de comercio e intangibles; sin él rondaría el 14 % (estimación propia: (886 + 1.750) / 18.425)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Utz Brands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Número dos en snacks salados de marca en su región núcleo (~7 % de las ventas minoristas allí) y el rival puro más directo de Frito-Lay [34]. Ingresos de 1.439 M USD y margen operativo del 1,4 % en 2025 [33]: la escala de PepsiCo es lo que separa un margen del 25 % de uno del 1 %. El 20-jul-2026 firmó su venta a la alemana Intersnack Group a 14,25 USD por acción en efectivo, pendiente de la junta de accionistas [56]: el rival puro de Frito-Lay pasa a manos de un grupo europeo de snacks.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en el consumo. La densidad de rutas de reparto directo da ventaja, pero es de escala, no de red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consumidor cambia de marca sin coste: Frito-Lay perdió un 2,5 % de volumen en 2024 con solo un 2 % de subida de precio [2] y la marca blanca de patatas creció mientras Frito-Lay caía [31].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Lay's, Doritos, Cheetos, Gatorade y Pepsi sostuvieron subidas del 10 % (Frito-Lay) y del 12 % (PBNA) en 2023 con caídas de volumen limitadas (−1 % y −5 %) [3]. La marca de bebidas es más débil: Rockstar se deterioró en 1.863 M USD [1] y la cuota en bebidas refrescantes de EE. UU. bajó del 19 % al 16 % en dos años [1,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reparto directo con más de 300.000 empleados y la escala de compras permiten márgenes que los rivales de snacks no alcanzan: PFNA ganó 6.173 M USD en 2025 [1], frente a un margen operativo del 1,4 % de Utz [13] y del 10,1 % del segmento Snacks de Campbell's (386 M sobre 3.816 M) [19].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1.300 marcas pequeñas de snacks salados suman solo 2.900 M USD de ventas [14]; Frito-Lay tiene más del 50 % de las patatas fritas [31]. Un mercado así no admite un segundo sistema de reparto directo nacional con la misma rentabilidad.</w:t>
            </w:r>
          </w:p>
        </w:tc>
      </w:tr>
    </w:tbl>
    <w:p>
      <w:pPr>
        <w:spacing w:after="160" w:before="0"/>
      </w:pPr>
    </w:p>
    <w:p>
      <w:pPr>
        <w:pStyle w:val="Heading2"/>
      </w:pPr>
      <w:r>
        <w:t xml:space="preserve">Amenazas</w:t>
      </w:r>
    </w:p>
    <w:p>
      <w:pPr>
        <w:spacing w:after="100"/>
      </w:pPr>
      <w:r>
        <w:t xml:space="preserve">El foso de snacks es amplio pero se estrecha por tres vías. </w:t>
      </w:r>
      <w:r>
        <w:rPr>
          <w:b/>
        </w:rPr>
        <w:t xml:space="preserve">Precio</w:t>
      </w:r>
      <w:r>
        <w:t xml:space="preserve">: la marca blanca y el discount ganan cuota [51] y PFNA ha tenido que bajar precios en 2026 (−2 % en el 2T26) para recuperar volumen [16]; si eso se generaliza, el margen de PFNA, el que más pesa en el grupo, se comprime (probabilidad media-alta). </w:t>
      </w:r>
      <w:r>
        <w:rPr>
          <w:b/>
        </w:rPr>
        <w:t xml:space="preserve">Demanda</w:t>
      </w:r>
      <w:r>
        <w:t xml:space="preserve">: los GLP-1 recortan el gasto de sus usuarios en snacks y refrescos [49]; su efecto crece con la penetración (probabilidad alta, impacto gradual). </w:t>
      </w:r>
      <w:r>
        <w:rPr>
          <w:b/>
        </w:rPr>
        <w:t xml:space="preserve">Canal</w:t>
      </w:r>
      <w:r>
        <w:t xml:space="preserve">: clientes que abandonan el reparto directo [1] y la revisión de la distribución en Norteamérica [25] pueden erosionar la ventaja de costes. En bebidas el foso ya es estrecho: −3 puntos de cuota desde 2023 [1, 3] y crecimiento en energéticas a través de Celsius, un socio que también compite [35].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2016-2025: ingresos </w:t>
      </w:r>
      <w:r>
        <w:rPr>
          <w:b/>
          <w:bCs/>
        </w:rPr>
        <w:t xml:space="preserve">4,6 %</w:t>
      </w:r>
      <w:r>
        <w:t xml:space="preserve">, EBITDA </w:t>
      </w:r>
      <w:r>
        <w:rPr>
          <w:b/>
          <w:bCs/>
        </w:rPr>
        <w:t xml:space="preserve">4,1 %</w:t>
      </w:r>
      <w:r>
        <w:t xml:space="preserve">, BPA </w:t>
      </w:r>
      <w:r>
        <w:rPr>
          <w:b/>
          <w:bCs/>
        </w:rPr>
        <w:t xml:space="preserve">3,6 %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62.799 M en 2016 a 93.925 M en 2025 [1, 20], pero el salto se concentró en 2021-2023 (+30 % en tres años) con precio y adquisiciones (Rockstar, Pioneer Foods y Be &amp; Cheery en 2020; Siete y poppi en 2025) [1, 4]. Desde 2023 el crecimiento se ha parado: +0,4 % en 2024 y +2,3 % en 2025, con orgánico del 2,0 % y 1,7 % y volumen orgánico negativo los dos años [1, 13, 14]. El margen operativo publicado cayó de 14,0 % en 2024 a 12,2 % en 2025 por el deterioro de Rockstar (1.863 M en tres segmentos), cargos de adquisición de poppi y Siete y 5 puntos de inflación de materias primas; en términos core se mantuvo en 15,9 % [1]. PFNA, el motor de margen, bajó su beneficio core un 6 % en 2025 [1]. En las 36 semanas de 2026 las ventas crecen un 6,7 % (2,7 % orgánico, 2 puntos de divisa y 2 de perímetro) y el beneficio operativo publicado un 45 % por comparar con los deterioros de 2025; el core sube un 5 % y su margen cae 25 pb, al 16,5 % [21]. En el 3T26 el margen core cedió 35 pb pese a 178 M de devoluciones de aranceles, y el beneficio core de PFNA cayó un 12 % [21, 23]. Años no comparables: 2017 y 2018 por la reforma fiscal de EE. UU. (impuestos de 4.694 M en 2017 y beneficio fiscal neto de 3.370 M en 2018), 2020 por adquisiciones, 2022 por la venta de zumos y 53 semanas.</w:t>
      </w:r>
    </w:p>
    <w:p>
      <w:pPr>
        <w:pStyle w:val="Heading2"/>
      </w:pPr>
      <w:r>
        <w:t xml:space="preserve">Ajustes y partidas no recurrentes</w:t>
      </w:r>
    </w:p>
    <w:p>
      <w:pPr>
        <w:spacing w:after="100"/>
      </w:pPr>
      <w:r>
        <w:t xml:space="preserve">PepsiCo deja dentro del beneficio operativo partidas que su cuenta core excluye: plan de productividad 2019 (reestructuración: 964 M en 2025, 698 M en 2024), deterioros e «impairment and other charges» (1.946 M en 2025, sobre todo Rockstar; 714 M en 2024 por TBG; 1.230 M en 2023, sobre todo SodaStream), cargos de adquisiciones (453 M en 2025 por poppi y Siete), valoración a mercado de derivados de materias primas, impuestos indirectos y retirada de producto de Quaker [1, 2]. Su total (core menos publicado) va en no_recurrentes_en_ebitda: 608, 214, 510, 311, 451, 252, 813, 1.889, 1.811 y 3.414 M de 2016 a 2025 [1, 2, 3, 4, 5, 6]; 2016 sale del 10-K de 2017, antes de reclasificar las pensiones. </w:t>
      </w:r>
      <w:r>
        <w:rPr>
          <w:b/>
        </w:rPr>
        <w:t xml:space="preserve">Se repiten todos los años</w:t>
      </w:r>
      <w:r>
        <w:t xml:space="preserve">: el plan de productividad se amplió hasta 2030 con 6.150 M de cargos previstos (3.600 M ya incurridos y unos 900 M en 2026) [1]. LTM sep-26: 416 M (3.414 − 102 de las 36 semanas de 2026 − 2.896 de las de 2025); en 2026 el neto es un ingreso porque la rebaja de la contraprestación contingente de poppi (créditos de adquisiciones de 254 M) y las ganancias de derivados compensan la reestructuración (367 M) [21, 22]. EBITDA = beneficio operativo publicado + amortizaciones publicadas.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EBITDA trimestral = beneficio operativo core + amortizaciones</w:t>
      </w:r>
      <w:r>
        <w:t xml:space="preserve"> (sin partidas que afectan a la comparabilidad); el BPA es el publicado. El 4T tiene 16 semanas y los demás 12, de ahí su menor margen; se obtiene restando el acumulado a 36 semanas del año [1, 9, 12].</w:t>
      </w:r>
    </w:p>
    <w:p>
      <w:pPr>
        <w:spacing w:after="100"/>
      </w:pPr>
      <w:r>
        <w:t xml:space="preserve">En el 2T26 (9-jul-26), tras un 1T26 en que confirmó la guía [18], la dirección reconoció que Norteamérica fue «más floja de lo previsto» (−0,5 % orgánico) y que su mejora sería «más gradual», mantuvo la guía 2026 (BPA core a tipo constante +4-6 %) y concentró el BPA en el 4T [17]. Los analistas preguntaron sobre todo por el volumen plano de PFNA pese a la asequibilidad, los márgenes de PBNA y las promociones; no cuantificó la reinversión en precio ni dio plazo para recuperar el margen [19].</w:t>
      </w:r>
    </w:p>
    <w:p>
      <w:pPr>
        <w:spacing w:after="100"/>
      </w:pPr>
      <w:r>
        <w:t xml:space="preserve">En el 3T26 (8-oct-26) el orgánico se aceleró al 3,1 %, el mayor desde el 4T23, con internacional al 8 % [21, 23]. Pero la mejora de Norteamérica «está llevando más tiempo del previsto»: su margen core seguirá presionado en el 4T y PFNA perdió 280 pb [23]. Rebajó la guía de BPA core a tipo constante a +1-2 % (la nota llama a la anterior «extremo bajo de +4-6 %»), subió la de orgánico a cerca del 3 % y anunció recortes estructurales de costes, sin cifra, para pagar publicidad e innovación [21, 23]. El beneficio core (+3 %) incluye 178 M de devoluciones de aranceles, unos 4 puntos [21, 23]. A 9-oct-26 la transcripción de las preguntas del 3T26 no estaba publicada: se usan los comentarios preparados y la nota de prensa.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(2020: Rockstar Energy (mar-20, 3.850 M), Pioneer Foods (mar-20, 1.226 M) y Be &amp; Cheery (jun-20, 698 M): 6.372 M de caja en adquisiciones; entran en la cuenta solo una parte del año.; 2022: Venta del 61 % de Tropicana, Naked y otros zumos (Juice Transaction, ene-22) por 3.456 M de caja y un 39 % de la nueva sociedad; el negocio sale de la cuenta y 2022 fue un ejercicio de 53 semanas.; 2025: Siete Foods (ene-25) y poppi (may-25): adquisiciones por 3.391 M de caja; aportan ~1 punto de crecimiento de ventas en 2025 y otro en 2026 según la empresa.).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subió de 32.068 M en 2019 a 49.182 M en 2025 y a 51.881 M a 5-sep-26 (9.223 M a corto, con 4.800 M de papel comercial, y 42.658 M a largo); la neta (con inversiones a corto) pasó de 26.330 M a 39.652 M en 2025 y 40.718 M en septiembre, por estacionalidad del circulante (clientes +2.117 M en 36 semanas) [1, 21, 22]. Sobre el EBITDA recurrente de 2025 (18.363 M) la deuda neta es de unas 2,2 veces, y de 2,1 veces sobre el LTM a sep-26 (19.136 M). En 2026 emitió 2.500 M de euros (flotante a 2028 y cupones del 3,3 % a 2034, 3,7 % a 2038 y 4,15 % a 2047), amortizó 1.600 M de dólares y 500 M de euros, y tras el cierre vencieron otros 1.100 M; el 9-oct-26 registró un suplemento preliminar para otra emisión en euros, aún sin importe [22, 24]. En 2025 obtuvo 8.189 M con emisiones a largo plazo (7.000 M en dólares con cupones del 4,1 % al 5,0 % y 1.000 M de euros al 3,45 % y 4,05 %), destinados a fines generales y a amortizar papel comercial [1]. El circulante es negativo de forma estructural (proveedores y otros pasivos corrientes de 25.903 M frente a 17.351 M de clientes y existencias) y se apoya en plazos de pago de 60-90 días y confirming [1]. El coste medio de 3,8 % es el gasto bruto por intereses de 2025 (1.840 M) sobre la deuda bruta media; vencen unos 4.000 M al año entre 2027 y 2030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70.110</w:t>
      </w:r>
      <w:r>
        <w:t xml:space="preserve">, conversión </w:t>
      </w:r>
      <w:r>
        <w:rPr>
          <w:b/>
          <w:bCs/>
        </w:rPr>
        <w:t xml:space="preserve">86 %</w:t>
      </w:r>
      <w:r>
        <w:t xml:space="preserve"> del beneficio neto; adquisiciones 15.753, dividendos 57.978, recompras 16.606.</w:t>
      </w:r>
    </w:p>
    <w:p>
      <w:pPr>
        <w:spacing w:after="100"/>
      </w:pPr>
      <w:r>
        <w:rPr>
          <w:b/>
        </w:rPr>
        <w:t xml:space="preserve">El capex va neto de ventas de inmovilizado</w:t>
      </w:r>
      <w:r>
        <w:t xml:space="preserve">, como en el flujo libre de la empresa (528 M de ventas de activos en 2025). El flujo operativo osciló entre 9.400 M y 13.400 M; el pico de 2023 (13.442 M) se debió a circulante y no se repitió (12.087 M en 2025, con 772 M del impuesto de transición y 796 M de pagos de reestructuración) [1]. El flujo libre fue de 8.122 M en 2023, 7.531 M en 2024 y 8.200 M en 2025, con el capex bruto bajando de 5.518 M a 4.415 M (4,7 % de las ventas) tras el ciclo de inversión en capacidad de 2021-2024 [1, 3]. El dividendo (7.638 M en 2025) consume ya el 93 % del flujo libre y, con las recompras de 1.000 M, la devolución supera el flujo libre desde 2024; la diferencia y las compras (3.391 M en 2025) se financian con deuda [1]. En las 36 semanas de 2026 el operativo sube a 7.950 M (5.468 M en 2025) y el flujo libre a 5.857 M (3.241 M), con capex de 2.182 M (3,2 % de las ventas) y pese a pagar en abril los últimos 965 M del impuesto de transición; dividendos y recompras (6.674 M) vuelven a superarlo [21, 22]. LTM a sep-26 el flujo libre es de 10.816 M (operativo 14.569 M, capex neto 3.753 M) [21]. La empresa no separa capex de mantenimiento y de crecimiento; su guía 2026 es capex inferior al 5 % de las ventas y conversión de caja de al menos el 80 % [13, 17].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KPMG audita a PepsiCo desde 1990 (36 años) y su opinión es favorable, sin salvedades [1]. La cuenta no tiene capitalización relevante de gastos ni ingresos de reconocimiento dudoso: vende producto terminado a distribuidores y minoristas con cobro a corto plazo. La señal que importa es otra: </w:t>
      </w:r>
      <w:r>
        <w:rPr>
          <w:b/>
        </w:rPr>
        <w:t xml:space="preserve">los gastos «no recurrentes» se repiten todos los años</w:t>
      </w:r>
      <w:r>
        <w:t xml:space="preserve">. Sumaron 1.889 M en 2023, 1.811 M en 2024 y 3.414 M en 2025, este último con 1.863 M de deterioro de Rockstar [1]. El plan de productividad prevé 6.150 M de cargos hasta 2030 [1], y en el 3T26 la dirección anunció recortes estructurales adicionales, todavía sin cifra [23]. Por eso el DCF no parte del margen recurrente sin más: lo deja por debajo del consenso desde 2027. Hay una señal nueva en el 10-Q del 3T26: el pago aplazado por poppi, que valía 278 M a diciembre de 2025, se ha rebajado a 12 M, y esa rebaja (un ingreso de 254 M con otros créditos de compras) hace que en 2026 el beneficio publicado supere al core [22]. Que el vendedor no vaya a cobrar el variable dice que poppi va por debajo del plan con el que se pagaron 1.950 M. Los tres indicadores no muestran alarmas. El Altman Z de 3,44 está en zona segura y el Beneish M de −2,54 queda lejos del umbral de manipulación (−1,78). El Piotroski F de 5 sobre 9 refleja un año flojo: en 2025 empeoraron el ROA, el margen bruto y el endeudamiento.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que se repiten cada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 menos publicado: 1.889 M (2023), 1.811 M (2024) y 3.414 M (2025); el plan de productividad prevé ~900 M de cargos en 2026 y sigue hasta 2030 [1]. El EBITDA recurrente sobrevalora el beneficio de caja si estos cargos son estructurales.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adquisiciones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Rockstar 1.863 M (2025), SodaStream 862 M (2023) y holgura mínima del fondo de comercio de SodaStream; Be &amp; Cheery 139 M en total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Confirming con proveedores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1.681 M de facturas confirmadas a dic-25 (+14 %); plazos de pago de 60-90 días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Exposición a Rusia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 de las ventas, 5 % de los activos y 20 % de la caja del grupo a dic-25; 1.415 M de cargos en 2022 por la guerra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Posiciones fiscales inciertas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Asunto crítico de auditoría; el tipo de 2025 (19,0 %) se benefició de liberar intereses federales provisionados, y la empresa espera un 22 % core en 2026 por el impuesto mínimo global [1, 17].</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17,6 % · </w:t>
      </w:r>
      <w:r>
        <w:rPr>
          <w:b/>
          <w:bCs/>
        </w:rPr>
        <w:t xml:space="preserve">WACC</w:t>
      </w:r>
      <w:r>
        <w:t xml:space="preserve">: 7,5 %.</w:t>
      </w:r>
    </w:p>
    <w:p>
      <w:pPr>
        <w:spacing w:after="100"/>
      </w:pPr>
      <w:r>
        <w:t xml:space="preserve">PepsiCo crea valor con holgura. El ROIC fue del 21,3 % en 2025, casi tres veces el WACC del 7,54 %, y se ha movido entre el 18 % y el 22 % desde 2019, con el fondo de comercio dentro del capital invertido. Lo que lo sostiene es el margen: un EBITDA recurrente del 19,6 % de las ventas con una rotación del capital invertido de unas 1,6 veces (93.925 M de ventas sobre 60.199 M de capital invertido). El ROE está inflado por la recompra de acciones a lo largo de décadas, que deja un patrimonio de solo 20.406 M [1]. Frente a los comparables, el ROIC de PepsiCo duplica al de Mondelez (7,9 %) o Kraft Heinz (8,1 %) y está a la altura del de Coca-Cola (20,1 %), con un modelo que embotella y distribuye y por tanto tiene más activos [88, 89, 90, 91, 92, 93]. La calidad del crecimiento reciente es peor que la del pasado: Rockstar (4.729 M) acabó con 1.863 M de deterioro y SodaStream (3.300 M) con 862 M [1], y la rebaja del pago aplazado de poppi apunta en la misma dirección [22]: buena parte del capital invertido desde 2018 en bebidas no ha rendido lo que el resto del grupo.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5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40.718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41.272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10.675 M y 488 M de inversiones a corto a 5-sep-26 (9.159 M y 371 M a dic-25); dos líneas de crédito comprometidas no dispuestas de 5.000 M cada una (a cinco años hasta may-31 y a 364 días hasta may-27, renovadas en 2026) y acceso al papel comercial Tier 1 (4.800 M emitidos a 5-sep-26; 2.641 M a dic-25) [1,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A1/P-1, perspectiva estable (feb-2026); S&amp;P A+/A-1, estable (última acción localizada, feb-2025) [77, 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pasivos por arrendamiento operativo (3.846 M a dic-25, US GAAP) no se suman a la deuda porque su gasto ya está en el EBITDA; los financieros no son materiales [1]. Pensiones: déficit de 233 M en EE. UU. y de 468 M en asistencia médica de jubilados, frente a superávit de 725 M en los planes internacionales; neto, +24 M (pasivos reconocidos 1.372 M y activos 1.396 M) [1]. El impuesto de transición de la reforma fiscal de 2017 (965 M) se pagó en abril de 2026, último pago [1, 17]. Programa de confirming: 1.681 M de facturas confirmadas pendientes a dic-25 (1.478 M en 2024) y unos 1.800 M a 5-sep-26 [1, 22]. Contraprestación contingente de poppi: valor razonable de unos 200 M en la fecha de compra, máximo 300 M si cumple hitos hasta el 3T27; a 5-sep-26 vale 12 M (278 M a dic-25), es decir, la empresa ya no espera pagarla [1, 22]. Compromisos con la Comisión de Competencia de Sudáfrica por Pioneer Foods de 8.800 M de rand (~500 M USD a la fecha de compra) [4]. Rusia: 5 % de las ventas y 20 % de la caja del grupo a dic-25 [1]. En el 3T26 liquidó parte de un plan de pensiones de EE. UU. con un cargo de 144 M, fuera del beneficio operativo y excluido del core [22].</w:t>
      </w:r>
    </w:p>
    <w:p>
      <w:pPr>
        <w:pStyle w:val="Heading1"/>
      </w:pPr>
      <w:r>
        <w:t xml:space="preserve">12. Asignación de capital</w:t>
      </w:r>
    </w:p>
    <w:p>
      <w:pPr>
        <w:pStyle w:val="Confianza"/>
        <w:spacing w:after="100"/>
      </w:pPr>
      <w:r>
        <w:t xml:space="preserve">Confianza: Alta</w:t>
      </w:r>
    </w:p>
    <w:p>
      <w:pPr>
        <w:spacing w:after="100"/>
      </w:pPr>
      <w:r>
        <w:t xml:space="preserve">PepsiCo prioriza el dividendo: en febrero de 2026 lo subió un 4 %, a 5,92 USD anuales (1,48 por trimestre desde junio), su 54.º aumento anual consecutivo [13]. La guía de 2026 prevé devolver unos 8.900 M: 7.900 M en dividendos y 1.000 M en recompras, dentro de un nuevo programa de hasta 10.000 M aprobado el 3-feb-26 [13, 17]. En las 36 semanas de 2026 pagó 5.935 M de dividendos y 739 M de recompras, y en octubre confirmó los 8.900 M pese a recortar la guía de BPA [21, 22]. Las recompras se han reducido a 1.000 M anuales desde 2023 (3.000 M en 2016 y 2019) [1, 6]. La dirección dice que devuelve el flujo libre a los accionistas manteniendo el acceso al papel comercial Tier 1 y la disciplina en la asignación de capital [1, 17]. Las compras recientes son de marcas pequeñas de crecimiento (Siete, poppi, Sabra) y participaciones (Celsius)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SodaStream (máquinas de agua con gas, Israel)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(3.200 M neto de la caja adquirida)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862 M en 2023 y el fondo de comercio de la unidad apenas cubre su valor contable en 2025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Pioneer Foods (alimentación y bebidas, Sudáfrica)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Préstamos puente de una filial, devueltos en abril de 2020</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 específico publicado; compromisos de 8.800 M de rand con las autoridades sudafricanas; Sudáfrica vendió 1.767 M en 2025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Rockstar Energy (bebidas energéticas,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3.850 M al contado + 880 M de contraprestación contingente por ventajas fiscales, liquidada en 2021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deterioro de 1.863 M en 2025 y cesión de la marca en EE. UU. y Canadá (0,5 bn) a Celsius en ago-25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 &amp; Cheery (alimentación online, China)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de 59 M (2023) y 80 M (2025)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61 % de Tropicana, Naked y otros zumos a PAI Partners (TBG)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3.456 M de caja + 39 % de la nueva sociedad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participación en TBG y las cuentas a cobrar se deterioraron: 321 M (2023) y 691 M (2024)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Celsius Holdings (preferentes convertibles + distribución)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550 M en caja (2022) + serie B valorada en 585 M a cambio de caja y la marca Rockstar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razonable de 1.852 M a dic-25; Celsius tiene casi el 20 % de la categoría de energéticas en EE. UU. [1,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Sabra (50 % restante, hummus)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Ganancia contable de 122 M al revaluar el 50 % previo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Foods (Garza Food Ventures, alimentación mexicano-americana)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Demasiado reciente; contribuye al crecimiento de PFNA en 2026 [1,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poppi (VNGR Beverage, refresco prebiótico)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1.950 M en caja + 200 M de contraprestación contingente (máximo 300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reciente; 422 M de cargos de adquisición en PBNA en 2025 [1].</w:t>
            </w:r>
          </w:p>
        </w:tc>
      </w:tr>
    </w:tbl>
    <w:p>
      <w:pPr>
        <w:spacing w:after="160" w:before="0"/>
      </w:pPr>
    </w:p>
    <w:p>
      <w:pPr>
        <w:spacing w:after="100"/>
      </w:pPr>
      <w:r>
        <w:t xml:space="preserve">La dirección prioriza el dividendo por encima de todo, y la caja ya no da para todo a la vez. Entre 2016 y 2025 PepsiCo generó 70.110 M de flujo libre, con una conversión del 86 % del beneficio, y repartió 57.978 M en dividendos y 16.606 M en recompras: el 106 % del flujo libre. Además gastó 15.753 M en compras. La diferencia la puso la deuda: la deuda neta pasó de 20.820 M en 2016 a 39.652 M en 2025, de 1,63 a 2,16 veces el EBITDA recurrente. En 2026 mantiene los 8.900 M de reparto (7.900 M en dividendos y 1.000 M en recompras) pese a rebajar la guía de beneficio [21]; en las 36 semanas el flujo libre fue de 5.857 M y lo repartido, 6.674 M [22]. Como asignadora de capital, el historial es desigual. El dividendo ha subido 54 años seguidos, el último un 4 %, hasta 5,92 USD anuales [13]. Las compras grandes de bebidas, en cambio, salieron mal: Rockstar se deterioró y su marca acabó cedida a Celsius, SodaStream perdió 862 M y Tropicana se vendió con pérdidas posteriores [1]. Las de 2025 (Siete por 1.200 M y poppi por 1.950 M) compran crecimiento en nichos, y poppi ya no alcanza los hitos de su pago aplazado [22].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Ramon L. Laguarta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PepsiCo desde 1996 (antes, Chupa Chups); dirigió Europa y fue presidente de la compañía en 2017-2018. CEO desde octubre de 2018 y presidente desde 2019. Con él, el crecimiento orgánico fue del 9,5 % en 2021, 14,4 % en 2022 y 9,5 % en 2023, pero cayó al 2,0 % en 2024 y al 1,7 % en 2025, con el BPA core en divisa constante plano en 2025 [1, 13, 14, 67, 68, 69, 70]. Consejero de IBM desde el 1 de marzo de 2026 [1]. 320.143 acciones (0,023 % del capital) [55].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(Steve) Schmitt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(EVP y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el 7 de octubre de 2025 con efecto el 10 de noviembre de 2025; viene de Walmart, donde fue CFO de Walmart U.S. desde 2021, y antes de Yum! Brands (2006-2016). Sustituye a Jamie Caulfield, que se jubila tras una transición hasta el 15 de mayo de 2026. Fichaje con prima de entrada de 3,5 M USD en efectivo y 7 M USD en acciones restringidas a dos años [1, 60]. Sin acciones a 26 de febrero de 2026 [55].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 Krishnan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PepsiCo North America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PepsiCo desde 2006; dirigió International Beverages, la división de bebidas de Norteamérica (desde febrero de 2024) y U.S. Beverages (2025). Desde diciembre de 2025 lleva el negocio unificado de bebidas y alimentación de Norteamérica, el centro de la revisión que pidió Elliott, en sustitución de Steven Williams, que deja de ser alto directivo [1, 61].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Eugene Willemsen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International Beverages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PepsiCo desde 1995; dirigió África, Oriente Medio y Asia del Sur (2019-2024) y la empresa conjunta Pepsi-Lipton. Vendió 6.500 acciones en el mercado el 4 de marzo de 2026 por 1,07 M USD [1, 63].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Silviu Popovici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Europa, Oriente Medio y África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con la compra de Wimm-Bill-Dann (2011); dirigió Rusia y Europa (2019-2024). Desde enero de 2025 lleva EMEA, el segmento internacional que sostiene el crecimiento del grupo [1]. 105.274 acciones [55].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Athina Kanioura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delegada de Latin America Foods y directora de estrategia y transformación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de estrategia y transformación desde 2020 (antes, Accenture); desde diciembre de 2025 dirige también Latin America Foods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Feb-2021: crecimiento orgánico de un dígito medio y BPA core en divisa constante de un dígito alto.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+9,5 %; BPA core en divisa constante +12 %.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Feb-2022: orgánico +6 %; BPA core en divisa constante +8 %.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+14,4 %; BPA core en divisa constante +11 %.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Feb-2023: orgánico +6 %; BPA core en divisa constante +8 %.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+9,5 %; BPA core en divisa constante +14 %.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Feb-2024: orgánico de al menos +4 % y BPA core en divisa constante de al menos +8 %. En octubre de 2024 rebajó el orgánico a «bajo de un dígito» y mantuvo el BPA.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+2,0 %; BPA core en divisa constante +9 %.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Feb-2025: orgánico de un dígito bajo y BPA core en divisa constante de un dígito medio. En abril de 2025 rebajó el BPA a «aproximadamente plano» por aranceles y consumo débil.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+1,7 %; BPA core en divisa constante 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 del 8-dic-2025, confirmada en feb, abr y jul-2026 (la nota del 2T26 sigue diciendo +4-6 %): orgánico +2-4 % y BPA core en divisa constante +4-6 %; conversión de caja libre ≥80 %; inversión &lt;5 % de ventas. La nota del 3T26 da como guía previa «la parte baja de +4-6 %». El 8-oct-2026 la rebajó a BPA core en divisa constante +1-2 % y orgánico de aproximadamente +3 % [16, 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Nueve meses de 2026: orgánico +2,7 % y BPA core en divisa constante +2 % [21].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Credibilidad en dos tiempos. De 2021 a 2023 la dirección batió con holgura sus guías, ayudada por la inflación. Desde 2024 ha rebajado la guía a mitad de ejercicio tres años seguidos: el orgánico en octubre de 2024, el BPA en abril de 2025, que acabó plano, y el BPA de 2026 el 8-oct, de +4-6 % a +1-2 % en divisa constante, tras confirmarla en julio con el semestre ya en +3 % [13, 14, 15, 16, 21, 67, 68, 69, 70, 71, 72]. El orgánico sí cumple (≈+3 %); falla el margen. La cúpula se ha renovado casi entera en un año, en plena campaña de Elliott: director financiero llegado de Walmart, Norteamérica unificada bajo Ram Krishnan y Latinoamérica para Athina Kanioura [1, 60, 61]. Laguarta sigue como presidente y consejero delegado desde 2018-2019 y no hay sucesor anunciado: el proxy solo dice que el consejo revisa la sucesión [55].</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Ramon L. Laguarta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Cesar Conde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(Presiding Director) desde el 6-may-2026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 presidió Retribuciones hasta mayo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Ian Cook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(fue coordinador de 2013 a mayo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Jennifer Bailey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Edith W. Cooper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 desde mayo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M. Diamond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Dina Dublon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Sostenibilidad y Políticas Públicas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Michelle Gass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y Políticas Públicas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W. Gibbs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consejero delegado de Yum! Brands)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Dave J. Lewis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y Políticas Públicas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C. Pohlad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presidente y consejero delegado de PepsiAmericas, embotellador)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 (presidente);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Vasella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Alberto Weisser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Sostenibilidad y Políticas Públicas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6,15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 (hasta la reorganización de 2026)</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del 5-jun-2025: 137,68 M acciones (10,04 %) a 30-may-2025 [66]. Tras la reorganización interna del 12-ene-2026, Vanguard Group declara 0 % a 13-mar-2026 y las posiciones se reparten entre filiales [65].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 (y filiales)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13G del 29-abr-2026: 102,76 M acciones (7,51 %) a 31-mar-2026, tras la reorganización de Vanguard. No es una venta comparable: parte de lo que antes declaraba Vanguard Group ya no se agrega aquí [64, 65].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111,85 M acciones según su 13G de 25-ene-2024 (datos a 31-dic-2023), última que recoge el proxy de 2026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Elliott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Anunció una inversión de 4.000 M USD el 2-sep-2025 [73]. En sus 13F declara 1.275.000 acciones (0,09 %; 172,6 M USD a 30-jun-2026), sin cambios del 3T25 al 2T26 [75, 76]. El resto de la exposición no aparece en el 13F, que no recoge derivados; la prensa la estima en ~2 % del capital. No ha presentado 13D.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(21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1.643.663 acciones a 26-feb-2026, más 311.708 acciones fantasma de consejeros. Robert Pohlad tiene 1.069.659 (0,08 %) y Laguarta 320.143 (0,02 %)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(acciones recompradas)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501 M acciones recompradas en balance a 13-jun-2026, frente a 1.366 M en circulación (26,8 % de las emitidas; no votan). Recompras previstas para 2026: unos 1.000 M USD [1, 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Ramon L. Laguarta (presidente y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Eugene Willemsen (CEO International Beverages)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 Flavell (secretario general y del consejo)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Retribución total de Laguarta en 2025: 23,90 M USD, frente a 28,81 M en 2024 y 33,91 M en 2023. Se reparte en 1,80 M de fijo, 3,14 M de variable anual, 11,55 M en PSU (valor de concesión) y 2,64 M de cobro en efectivo a largo plazo, más 4,13 M de pensiones y 0,65 M de otros conceptos. Es 449 veces el salario mediano (53.296 USD) [55]. El variable anual de 2025 se medía contra objetivos internos: orgánico del 3,0 % (real 1,7 %), BPA core en divisa constante del +7,0 % (real 0 %) y caja libre de 9.900 M (real 10.000 M) [55]. Las PSU miden al 50 % el crecimiento del BPA core en divisa constante y al 50 % el orgánico, de media en tres años; las de 2023 cobraron el 88,4 %. El incentivo en efectivo ligado al TSR relativo cobró el 50 % (TSR a tres años del −12,3 %, percentil 25) [55]. Desde 2026 el incentivo largo se paga todo en acciones: PSU con multiplicador de TSR (75-125 %) y RSU por tiempo; la concesión de Laguarta para 2026 es de 19 M USD [55]. Hay </w:t>
      </w:r>
      <w:r>
        <w:rPr>
          <w:i/>
        </w:rPr>
        <w:t xml:space="preserve">clawback</w:t>
      </w:r>
      <w:r>
        <w:t xml:space="preserve"> amplio y política que lleva a votación cualquier indemnización en efectivo de más de 2,99 veces salario más variable [55]. Ninguna métrica mide el ROIC. El «say on pay» sacó un 88,8 % a favor en 2024, un 86,1 % en 2025 y un 88,6 % en 2026 [57, 58, 59].</w:t>
      </w:r>
    </w:p>
    <w:p>
      <w:pPr>
        <w:pStyle w:val="Heading2"/>
      </w:pPr>
      <w:r>
        <w:t xml:space="preserve">Operaciones vinculadas, estructura de control y defensas</w:t>
      </w:r>
    </w:p>
    <w:p>
      <w:pPr>
        <w:spacing w:after="100"/>
      </w:pPr>
      <w:r>
        <w:t xml:space="preserve">Sin accionista de control. Hay una sola clase de acciones con un voto por acción, elección anual de todos los consejeros, mayoría de votos con dimisión, acceso al </w:t>
      </w:r>
      <w:r>
        <w:rPr>
          <w:i/>
        </w:rPr>
        <w:t xml:space="preserve">proxy</w:t>
      </w:r>
      <w:r>
        <w:t xml:space="preserve"> y convocatoria de junta extraordinaria con el 20 % del capital [55]. No hay píldora venenosa. Las operaciones vinculadas son menores: patrocinios con los Minnesota Twins y el Minnesota United, de la familia Pohlad, por unos 1,2 M USD al año [55]. La debilidad es la presidencia ejecutiva. Laguarta es presidente y consejero delegado; el contrapeso es un consejero coordinador independiente, Cesar Conde desde mayo de 2026 tras trece años de Ian Cook. La propuesta de presidente independiente sacó un 25,5 % a favor en 2026 [55, 57].</w:t>
      </w:r>
    </w:p>
    <w:p>
      <w:pPr>
        <w:spacing w:after="100"/>
      </w:pPr>
      <w:r>
        <w:rPr>
          <w:b/>
        </w:rPr>
        <w:t xml:space="preserve">Elliott.</w:t>
      </w:r>
      <w:r>
        <w:t xml:space="preserve"> El 2-sep-2025 Elliott Investment Management anunció una inversión de 4.000 M USD, se presentó como uno de los mayores accionistas y envió carta y presentación al consejo [73]. Calculaba una subida de más del 50 % y pedía cinco cosas. Primera: estudiar la refranquicia del embotellado de PepsiCo Beverages North America y podar marcas y referencias. Segunda: ajustar los costes de PepsiCo Foods North America al volumen real y vender activos no estratégicos. Tercera: reinvertir en crecimiento. Cuarta: publicar objetivos nuevos a medio plazo. Quinta: más supervisión y rendición de cuentas [73]. La empresa respondió con cambios en la cúpula y un plan. El 7-oct-2025 fichó a Steve Schmitt, CFO de Walmart U.S., para sustituir a Jamie Caulfield, y Darren Walker dejó el consejo [60]. El 8-dic-2025 publicó sus prioridades «tras un diálogo constructivo» con Elliott y con su apoyo explícito [25]. El plan recorta casi un 20 % de las referencias en EE. UU., ya había cerrado tres fábricas y baja precios por tramos de marca y canal. Promete al menos 100 pb de mejora del margen operativo core en tres ejercicios, una conversión de caja libre de al menos el 80 % en 2026 y el 90 % en 2027, inversión por debajo del 5 % de las ventas y más retribución al accionista en 2026-2027. Abre una revisión de la cadena de suministro y la distribución de Norteamérica, con actualización a finales de 2026, y se compromete a renovar el consejo [25]. El 9-dic-2025 Laguarta descartó la refranquicia completa del embotellado de Norteamérica. A cambio, prueba en Texas un modelo integrado de alimentación y bebidas [74]. El 15-dic-2025 Norteamérica pasó a un solo consejero delegado, Ram Krishnan [1, 61]. En la junta de 2026 entró David Gibbs (Yum!, experto en franquicias), salieron Agbaje y Page, y el consejo bajó de 15 a 13 miembros. El 17-sep-2026 se anunció a Joaquin Duato (J&amp;J) para el 1-dic-2026 [55, 57, 62]. No hay acuerdo formal presentado a la SEC: el 8-K fue solo informativo (Item 7.01), sin pacto de abstención ni puesto en el consejo para Elliott. A octubre de 2026 Elliott mantiene en su 13F del 2T26 las mismas 1.275.000 acciones [75]. La refranquicia completa está descartada. Lo pendiente es la actualización de finales de 2026 sobre la distribución de Norteamérica y si la guía de 2026 se cumple.</w:t>
      </w:r>
    </w:p>
    <w:p>
      <w:pPr>
        <w:pStyle w:val="Heading2"/>
      </w:pPr>
      <w:r>
        <w:t xml:space="preserve">Señales de alerta</w:t>
      </w:r>
    </w:p>
    <w:p>
      <w:pPr>
        <w:pStyle w:val="ListParagraph"/>
        <w:numPr>
          <w:ilvl w:val="0"/>
          <w:numId w:val="2"/>
        </w:numPr>
        <w:spacing w:after="60"/>
      </w:pPr>
      <w:r>
        <w:t xml:space="preserve">Campaña activista de Elliott (inversión anunciada de 4.000 M USD, 2-sep-2025), resuelta sin pacto formal. La empresa aceptó un plan de costes, precios y renovación del consejo el 8-dic-2025, pero descartó la refranquicia completa del embotellado. La revisión de la distribución de Norteamérica se presentará a finales de 2026 y es el siguiente punto de tensión si la guía falla [25, 73, 74, 75].</w:t>
      </w:r>
    </w:p>
    <w:p>
      <w:pPr>
        <w:pStyle w:val="ListParagraph"/>
        <w:numPr>
          <w:ilvl w:val="0"/>
          <w:numId w:val="2"/>
        </w:numPr>
        <w:spacing w:after="60"/>
      </w:pPr>
      <w:r>
        <w:t xml:space="preserve">Rotación en finanzas: nuevo director financiero en noviembre de 2025 (Steve Schmitt, de Walmart) tras la salida de Jamie Caulfield, y nueva interventora general (Christine Tammara) desde mayo de 2025 por jubilación de Marie Gallagher. El auditor sigue siendo KPMG, con un 7,4 % de votos en contra a su ratificación en 2026 [57, 60, 80].</w:t>
      </w:r>
    </w:p>
    <w:p>
      <w:pPr>
        <w:pStyle w:val="ListParagraph"/>
        <w:numPr>
          <w:ilvl w:val="0"/>
          <w:numId w:val="2"/>
        </w:numPr>
        <w:spacing w:after="60"/>
      </w:pPr>
      <w:r>
        <w:t xml:space="preserve">Fichaje del director financiero caro y garantizado: 3,5 M USD de prima de entrada y 7 M USD en acciones restringidas sin condiciones de resultados [60].</w:t>
      </w:r>
    </w:p>
    <w:p>
      <w:pPr>
        <w:pStyle w:val="ListParagraph"/>
        <w:numPr>
          <w:ilvl w:val="0"/>
          <w:numId w:val="2"/>
        </w:numPr>
        <w:spacing w:after="60"/>
      </w:pPr>
      <w:r>
        <w:t xml:space="preserve">Ventas de directivos en 12 meses (6,15 M USD; ninguna compra en el mercado). Laguarta vendió 27.945 acciones el 2-mar-2026 por 4,68 M USD, fuera de un plan 10b5-1 [63].</w:t>
      </w:r>
    </w:p>
    <w:p>
      <w:pPr>
        <w:pStyle w:val="ListParagraph"/>
        <w:numPr>
          <w:ilvl w:val="0"/>
          <w:numId w:val="2"/>
        </w:numPr>
        <w:spacing w:after="60"/>
      </w:pPr>
      <w:r>
        <w:t xml:space="preserve">Guía rebajada a mitad de ejercicio en 2024 (orgánico) y 2025 (BPA). El primer semestre de 2026 va por debajo del rango de BPA core en divisa constante [14, 15, 16, 71, 72].</w:t>
      </w:r>
    </w:p>
    <w:p>
      <w:pPr>
        <w:pStyle w:val="ListParagraph"/>
        <w:numPr>
          <w:ilvl w:val="0"/>
          <w:numId w:val="2"/>
        </w:numPr>
        <w:spacing w:after="60"/>
      </w:pPr>
      <w:r>
        <w:t xml:space="preserve">Litigios por contaminación de plásticos (Nueva York en apelación, Baltimore, Los Ángeles, Islas Vírgenes) sin cuantía reclamada; la empresa los considera no materiales [1, 7]. La FTC retiró por 3-0 el 22-may-2025 la demanda por discriminación de precios a favor de Walmart (Robinson-Patman), presentada en enero de 2025 [79].</w:t>
      </w:r>
    </w:p>
    <w:p>
      <w:pPr>
        <w:pStyle w:val="ListParagraph"/>
        <w:numPr>
          <w:ilvl w:val="0"/>
          <w:numId w:val="2"/>
        </w:numPr>
        <w:spacing w:after="60"/>
      </w:pPr>
      <w:r>
        <w:t xml:space="preserve">Consejo con antigüedad alta en las comisiones clave: Vasella (desde 2002) y Dublon (2005) en Retribuciones, y Pohlad, ex embotellador de Pepsi, presidiendo Nombramientos. Pohlad y Vasella recibieron los mayores votos en contra de 2026 (8,7 % y 8,3 %) [55, 57].</w:t>
      </w:r>
    </w:p>
    <w:p>
      <w:pPr>
        <w:pStyle w:val="ListParagraph"/>
        <w:numPr>
          <w:ilvl w:val="0"/>
          <w:numId w:val="2"/>
        </w:numPr>
        <w:spacing w:after="60"/>
      </w:pPr>
      <w:r>
        <w:t xml:space="preserve">Rating sin presión: Moody's A1/P-1 estable, mantenido al calificar la emisión en euros de febrero de 2026 [77]. S&amp;P A+/A-1 estable (última confirmación localizada, febrero de 2025) [78].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8 de octubre de 2026, con el 3T26, PepsiCo rebajó la guía de beneficio de 2026, toda en base no GAAP [21]: BPA core a tipo de cambio constante +1 % a +2 % (antes, la parte baja de +4 % a +6 %) y BPA core +2,5 % a +3,5 % (antes, la parte baja de +5 % a +7 %), con ~1,5 puntos a favor de la divisa [21]. Subió en cambio la de ventas: crecimiento orgánico de ~3 % (antes +2 % a +4 %) y ventas publicadas de ~+6 % (antes +4 % a +6 %), con ~1,5 puntos de las compras de 2025 [21]. El tipo impositivo core baja a ~21 % (desde ~22 %). Mantiene la inversión por debajo del 5 % de las ventas, una conversión de caja libre de al menos el 80 % y 8.900 M USD para el accionista (7.900 M en dividendos y 1.000 M en recompras) [21]. Sobre el BPA core de 8,14 USD de 2025 [1], la nueva guía da 8,34-8,42 USD. La dirección anuncia nuevos recortes estructurales de costes para financiar inversión en Norteamérica y compensar la inflación de materias primas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 analistas; BPA core (no GAAP) [84]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 analistas; BPA core (no GAAP) [84]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105.197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24 analistas; BPA core (no GAAP) [84]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99.359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101.687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105.731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105.197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20.746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18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144,82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124,00 – 169,00</w:t>
            </w:r>
          </w:p>
        </w:tc>
      </w:tr>
    </w:tbl>
    <w:p>
      <w:pPr>
        <w:spacing w:after="160" w:before="0"/>
      </w:pPr>
    </w:p>
    <w:p>
      <w:pPr>
        <w:pStyle w:val="Heading2"/>
      </w:pPr>
      <w:r>
        <w:t xml:space="preserve">Revisiones de estimaciones</w:t>
      </w:r>
    </w:p>
    <w:p>
      <w:pPr>
        <w:spacing w:after="100"/>
      </w:pPr>
      <w:r>
        <w:t xml:space="preserve">Tras el 3T26 el consenso de MarketScreener baja el BPA core de 2026e de 8,54 a 8,31 USD (−2,7 %) y el de 2027e de 8,47 a 8,41 (−0,7 %); el EBITDA baja un 1,4 % en 2026e (de 19.370 a 19.095 M USD) y un 1,1 % en 2027e, mientras las ventas suben un 0,5 % por la divisa y las compras [84]. Stock Analysis (S&amp;P Global) baja el BPA de 2026 de 8,55 a 8,40 y el de 2027 de 8,91 a 8,80 [86]. El precio objetivo medio cae de 148,64 a 144,82 USD y el máximo de 180 a 169 [85, 86]. El 9 de octubre Piper Sandler lo recortó de 176 a 140 USD (mantiene compra) y Bank of America de 152 a 145 (neutral); Evercore ISI (135), Wells Fargo (135) y RBC (150) lo mantuvieron [86]. Las recomendaciones siguen en 5 compras, 18 mantener y 1 venta [86]. No hay series gratuitas de revisiones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r>
    </w:tbl>
    <w:p>
      <w:pPr>
        <w:spacing w:after="160" w:before="0"/>
      </w:pPr>
    </w:p>
    <w:p>
      <w:pPr>
        <w:spacing w:after="100"/>
      </w:pPr>
      <w:r>
        <w:t xml:space="preserve">PepsiCo cerró el 8 de octubre de 2026 en 128,34 USD, un 25,2 % por debajo del máximo de 52 semanas (171,48 USD, 12 de febrero) y un día después de marcar el mínimo (123,47 USD, 7 de octubre) [81]. El día de los resultados del 3T26 subió un 3,7 % aunque la empresa rebajó la guía de BPA core a tipo constante a +1-2 %, desde la parte baja de +4-6 % [21]: el crecimiento orgánico se aceleró al 3,1 % y el recorte ya estaba en el precio, después de que varios bancos bajaran su precio objetivo la semana anterior [86]. Parte del alza fue del sector: Coca-Cola, Mondelez, Kraft Heinz y General Mills subieron entre un 2,2 % y un 2,6 % ese día [81]. En cinco años la acción pierde un 0,7 % anual con dividendos, frente al +13,6 % del S&amp;P 500 (SPY) y el +6,3 % del consumo básico (XLP) [81]; la brecha se abre en 2023, con tres años seguidos en negativo. La caída máxima es del 30,3 % (mayo de 2023 a mayo de 2025) [81] y la posición corta, del 1,90 % del capital [87].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PepsiCo cotiza a 11,2 veces el EBITDA de los últimos 12 meses, por debajo del mínimo de los diez cierres de ejercicio (12,9 veces en 2025) y un 28 % por debajo de la media (15,5 veces). El PER de 16,1 veces también está en el percentil 10 de su historia, aunque la media de 26,2 veces está inflada por años con el beneficio contable deprimido por cargos. Dos cosas estructurales explican parte del descuento: el bono a 10 años ha pasado de menos del 1 % en 2020 al 5,22 % de hoy [82], lo que castiga a los valores que se compran por el dividendo, y el volumen de Norteamérica cae desde 2023 [1]. Lo que el múltiplo no recoge es que el margen recurrente de los últimos 12 meses (19,5 %) sigue cerca de sus máximos de cinco años.</w:t>
      </w:r>
    </w:p>
    <w:p>
      <w:pPr>
        <w:pStyle w:val="Heading1"/>
      </w:pPr>
      <w:r>
        <w:t xml:space="preserve">18. Comparables cotizados</w:t>
      </w:r>
    </w:p>
    <w:p>
      <w:pPr>
        <w:pStyle w:val="Confianza"/>
        <w:spacing w:after="100"/>
      </w:pPr>
      <w:r>
        <w:t xml:space="preserve">Confianza: Media</w:t>
      </w:r>
    </w:p>
    <w:p>
      <w:pPr>
        <w:spacing w:after="100"/>
      </w:pPr>
      <w:r>
        <w:t xml:space="preserve">Seis cotizadas estadounidenses de marca en bebidas y alimentación envasada, las dos actividades de PepsiCo: Coca-Cola y Keurig Dr Pepper (refrescos), Monster (energéticas), Mondelez (aperitivos dulces y galletas), Kraft Heinz y General Mills (alimentación envasada en EE. UU.). Fuera Nestlé y Hershey: MarketScreener no dio sus estimaciones de EBITDA por la vía usada y mezclar proveedores rompería la comparación entre los múltiplos de los últimos y los próximos 12 meses. Keurig Dr Pepper está distorsionada por la compra de JDE Peet's (ventas +58 % en 2026e).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PepsiCo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Coca-Cola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377.630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Keurig Dr Pepper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Monster Beverage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Kraft Heinz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General Mills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 / 11,9x / 20,2x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 / 13,3x / 21,5x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 / 15,9x / 24,1x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 / 2,8x / 6,9x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14,6 + 0,07 × crecimiento; R² = 0,01. El crecimiento explica poco los múltiplos de estos comparables (R² &lt; 0,3): la regresión no se usa en la valoración.</w:t>
      </w:r>
    </w:p>
    <w:p>
      <w:pPr>
        <w:spacing w:after="100"/>
      </w:pPr>
      <w:r>
        <w:t xml:space="preserve">PepsiCo cotiza a 10,9 veces el EBITDA de los próximos 12 meses y a 15,3 veces el beneficio, por debajo de las medianas de la muestra (11,9 y 15,9 veces). Con la mediana, su valor implícito es 142,33 USD por EV/EBITDA y 132,94 USD por PER. La mediana es frágil: quitando una sola empresa va de 10,1 a 13,7 veces (de 116,45 a 168,21 USD por acción), porque la muestra tiene dos grupos. Coca-Cola (22,4 veces) y Monster (25,1 veces) son negocios de concentrado o de marca sin fábricas, con márgenes EBITDA del 31-33 %. Kraft Heinz (8,7 veces) y General Mills (9,9 veces) venden alimentación envasada sin crecimiento [88, 89, 90, 91, 92, 93, 94, 95, 96, 97, 98, 99]. PepsiCo está en medio: margen del 19,5 %, pero ROIC del 21,3 %, muy por encima de Mondelez o Kraft Heinz. Un descuento frente a Mondelez (13,7 veces) no se justifica por rentabilidad sino por el volumen de Norteamérica. La regresión entre múltiplo y crecimiento no explica nada (R² 0,01) y no se usa.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JDE Peet's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Keurig Dr Pepper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31,85 EUR por acción; valor empresa ~23.000 M USD (EUR/USD 1,16); 12,9x el EBITDA ajustado estimado de 2026 (10,5x con sinergias), múltiplo de los próximos 12 meses y no de los últimos [103].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WK Kellogg 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Ferrero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23,00 USD por acción en efectivo; valor empresa 3.100 M USD; prima del 40 % sobre la media ponderada de 30 sesiones. La nota no publica múltiplo [104].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poppi</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1.950 M USD en efectivo más 200 M de pago contingente (valor razonable). Sin múltiplo publicado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(Garza Food Ventures)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 M USD en efectivo. Sin múltiplo publicado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Kellanova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83,50 USD por acción en efectivo; valor empresa 35.900 M USD con la deuda neta asumida; 16,4x el EBITDA ajustado de los últimos 12 meses a junio de 2024; prima del 44 % sobre la media de 30 sesiones sin afectar. Ventas de 2023 de más de 13.000 M USD [100].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Hostess 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J.M. Smucker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34,25 USD por acción en efectivo y acciones; valor empresa ~5.600 M USD con ~900 M de deuda neta; 17,2x el EBITDA ajustado estimado de 2023 (13,2x con 100 M de sinergias) [101].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Sovos 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 Soup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23,00 USD por acción en efectivo; valor empresa 2.700 M USD; 19,8x el EBITDA ajustado de los últimos 12 meses sin sinergias (14,6x con ~50 M de sinergias) [102].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16,8x (15,5x – 17,9x)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206,66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188,79 – 221,37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cuatro operaciones con múltiplo publicado se pagaron entre 12,9 y 19,8 veces el EBITDA ajustado (mediana de 16,8 veces), muy por encima de las 11,2 veces a las que cotiza PepsiCo [100, 101, 102, 103, 104]. Son objetivos mucho más pequeños, salvo Kellanova (35.900 M USD) y JDE Peet's (unos 23.000 M). Con 214.526 M USD de valor empresa, PepsiCo no es un objetivo verosímil: los únicos compradores con tamaño serían otros grandes de consumo, y el antimonopolio en bebidas y snacks lo hace inviable. Desde la primera iteración consta otra operación del sector: en julio de 2026 Intersnack acordó comprar Utz, el rival puro de Frito-Lay, a 14,25 USD por acción en efectivo [56]; el 8-K no publica valor empresa ni múltiplo y no entra en la tabla. Las propias compras de PepsiCo de 2025 (Siete y poppi, 3.150 M USD) tampoco publicaron múltiplo [1].</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primer año (2026e) se fija en el +5,8 %: es el consenso de ventas tras el 3T26 (99.359 M) [84] y cae en la nueva guía de un 6 % publicado, que suma un 3 % orgánico, 1,5 puntos de divisa y 1,5 puntos de las compras de 2025 [21]. En las 36 semanas las ventas crecieron un 6,7 %, un 2,7 % orgánico, y el 3T26 se aceleró al 3,1 % orgánico [21]. A partir de 2027 el crecimiento se apoya solo en el orgánico: +2,8 % en 2027 (consenso +2,3 %), +3,5 % en 2028-2029 (consenso de 2028 +3,5 %) y una bajada hasta el 3,0 % al final [84]. Es menos que la tasa anual compuesta de 2016-2025 (4,6 %), que llevaba dentro la inflación de precios de 2021-2023, y más que el orgánico de 2024-2025 (2,0 % y 1,7 %) [13, 14]. Supone que internacional siga creciendo al 6-8 % y que Norteamérica deje de restar.</w:t>
      </w:r>
    </w:p>
    <w:p>
      <w:pPr>
        <w:keepNext/>
        <w:spacing w:after="100"/>
      </w:pPr>
      <w:r>
        <w:rPr>
          <w:b/>
          <w:bCs/>
        </w:rPr>
        <w:t xml:space="preserve">Márgenes.</w:t>
      </w:r>
    </w:p>
    <w:p>
      <w:pPr>
        <w:spacing w:after="100"/>
      </w:pPr>
      <w:r>
        <w:t xml:space="preserve">El margen EBITDA recurrente fue del 19,6 % en 2025 y del 19,5 % en los últimos 12 meses. El de 2026e (19,2 %) coincide con el consenso tras el 3T26 (19.095 M) [84], que recoge la rebaja de la guía: la dirección espera que el margen de Norteamérica siga presionado en el 4T y que la inversión en publicidad e innovación crezca [23]. En 2027 se queda en el 19,2 %, tres décimas por debajo del consenso, porque los nuevos recortes de costes no tienen cifra y tardarán en compensar la inflación de materias primas [23]. Después sube al 19,4 % en 2028 y al 19,6 % desde 2029, dos décimas menos que en la primera iteración. Queda por debajo del consenso de 2028 (19,7 %) a propósito: los cargos de reestructuración se repiten cada año [1]. La dirección promete al menos 100 pb más de margen operativo core en tres años [25]; no se le da crédito, porque ha rebajado la guía a mitad de año en 2024, 2025 y 2026 [21, 71, 72].</w:t>
      </w:r>
    </w:p>
    <w:p>
      <w:pPr>
        <w:keepNext/>
        <w:spacing w:after="100"/>
      </w:pPr>
      <w:r>
        <w:rPr>
          <w:b/>
          <w:bCs/>
        </w:rPr>
        <w:t xml:space="preserve">Inversión y circulante.</w:t>
      </w:r>
    </w:p>
    <w:p>
      <w:pPr>
        <w:spacing w:after="100"/>
      </w:pPr>
      <w:r>
        <w:t xml:space="preserve">La inversión baja del 5,4-6,0 % de las ventas en 2019-2024 al 4,1 % en 2025 [1], y en las 36 semanas de 2026 se queda en el 3,2 % [22]; la guía la deja por debajo del 5 % [21]. El modelo usa un 4,6 % en 2026e y un 4,8 % en 2027-2029, para no suponer que el recorte se mantiene. Después converge al 4,5 %, por encima de la amortización (3,7 %), como corresponde a un negocio que sigue creciendo. El circulante comercial se mantiene en el 6,0 % de las ventas, igual que en 2025 (4,7-5,4 % en 2016-2024). El tipo impositivo es del 21,0 % en 2026e, el core de la nueva guía [21], y del 21,5 % después, entre el efectivo de 2025 (19,0 %) y el 22 % que guiaba la empresa con el impuesto mínimo global [16].</w:t>
      </w:r>
    </w:p>
    <w:p>
      <w:pPr>
        <w:keepNext/>
        <w:spacing w:after="100"/>
      </w:pPr>
      <w:r>
        <w:rPr>
          <w:b/>
          <w:bCs/>
        </w:rPr>
        <w:t xml:space="preserve">Coste del capital.</w:t>
      </w:r>
    </w:p>
    <w:p>
      <w:pPr>
        <w:spacing w:after="100"/>
      </w:pPr>
      <w:r>
        <w:t xml:space="preserve">Tasa libre: el bono del Tesoro a 10 años al 5,22 % el 8-oct-2026 [82]. Prima de mercado: 5,0 %, en línea con la histórica a largo plazo; la implícita de hoy (4,20 %) se usa en la regla relativa [83]. Beta: 0,65, reapalancada desde las betas desapalancadas del sector de Damodaran (bebidas no alcohólicas 0,58 y alimentación 0,47, ponderadas por ventas, 0,52) con la deuda de PepsiCo a precios de mercado [105]. La regresión frente al S&amp;P 500 da 0,55 ajustada (0,33 sin ajustar) y frente al MSCI World 0,58; frente al índice de consumo básico, 0,91, pero esa mide el riesgo relativo al sector, no al mercado, y no sirve para el CAPM [81]. La de dos años semanal (0,15) está deprimida por la caída propia de la acción mientras el mercado subía. Coste de la deuda: 5,8 % antes de impuestos (tasa libre más medio punto de un A1; estimación propia) [77]; peso de la deuda del 24 %. Resultado: coste del capital propio del 8,47 % y WACC del 7,54 %.</w:t>
      </w:r>
    </w:p>
    <w:p>
      <w:pPr>
        <w:keepNext/>
        <w:spacing w:after="100"/>
      </w:pPr>
      <w:r>
        <w:rPr>
          <w:b/>
          <w:bCs/>
        </w:rPr>
        <w:t xml:space="preserve">Valor terminal.</w:t>
      </w:r>
    </w:p>
    <w:p>
      <w:pPr>
        <w:spacing w:after="100"/>
      </w:pPr>
      <w:r>
        <w:t xml:space="preserve">Crecimiento a perpetuidad del 3,0 %: un 2,5 % de inflación en dólares y medio punto real, coherente con un bono al 5,22 % (queda por debajo de la tasa libre menos medio punto). Es menos que el crecimiento orgánico medio de 2016-2025 y supone que PepsiCo crece con la economía nominal, no por encima. El múltiplo de salida implícito es de 13,3 veces el EBITDA, frente a 12,0 veces de contraste (por debajo de la media histórica de 15,5 veces y cerca de los comparables de alimentación). Con 12 veces el crecimiento implícito sería del 2,52 %, así que los dos métodos son coherentes entre sí. El valor terminal pesa un 67 % del valor de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308.821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222.646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163,03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221,34</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 (base: 3,1 %)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16,9 % (base: 19,6 %)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 (WACC: 7,5 %)</w:t>
            </w:r>
          </w:p>
        </w:tc>
      </w:tr>
    </w:tbl>
    <w:p>
      <w:pPr>
        <w:spacing w:after="160" w:before="0"/>
      </w:pPr>
    </w:p>
    <w:p>
      <w:pPr>
        <w:spacing w:after="100"/>
      </w:pPr>
      <w:r>
        <w:t xml:space="preserve">El DCF da 163,03 USD por acción, un 27,0 % por encima del precio, con un valor terminal que pesa el 67 %. Sube 1,40 USD frente a la primera iteración pese a recortar los márgenes: el bono a 10 años ha bajado de 5,28 % a 5,22 % y las ventas de 2026 crecen más por la divisa y las compras. Lo importante es lo que descuenta el precio. A 128,34 USD, el mercado paga un crecimiento de las ventas del 0,2 % anual en 2027-2035 con nuestros márgenes, o un margen EBITDA del 16,9 % con nuestro crecimiento, frente al 19,6 % que suponemos. El 16,9 % está por debajo del peor año de la década (17,5 % en 2022, con todo el choque de costes). Dicho de otra forma, el precio implica una rentabilidad anual del 8,6 %, frente a un WACC del 7,54 % y al 7,14 % que pide el mercado con su prima actual. Nuestras cifras están en el consenso o algo por debajo (−0,9 % de EBITDA en 2027 y −1,1 % en 2028), así que la diferencia no viene de ser más optimistas en ventas o márgenes: viene de que el mercado pide a PepsiCo más rentabilidad por el riesgo de volumen. Con un WACC del 8,5 % el valor sería de 128,72 USD, 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de Norteamérica no se recupera pese a las bajadas de precio: los fármacos GLP-1 en pastilla llegan a más hogares y la marca blanca sigue ganando. El margen vuelve al 17,1 %, cerca del de 2021-2022, y el crecimiento se queda en el 1,7 % de 2025. Los tipos siguen altos y el WACC sube medio punto.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Internacional crece al 6-8 % y Norteamérica se estabiliza con volumen plano y precio ligeramente positivo desde 2028. El margen recurrente baja al 19,2 % en 2026-2027 y vuelve al 19,6 % con los recortes de costes, sin llegar a lo prometido.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asequibilidad y la innovación devuelven el volumen y el precio a los snacks de Norteamérica, poppi, Siete y Celsius aceleran bebidas y los nuevos recortes estructurales dan los 100 pb de margen prometidos. El crecimiento medio llega al 4,2 % y el margen al 20,6 %.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28,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149,52 USD (+16,5 %).</w:t>
      </w:r>
    </w:p>
    <w:p>
      <w:pPr>
        <w:spacing w:after="100"/>
      </w:pPr>
      <w:r>
        <w:t xml:space="preserve">La asimetría favorece la compra, pero menos que en la primera iteración. El alcista gana un 55,6 % y el bajista pierde un 27,1 %, con una asimetría de 2,05 veces (2,40 antes del 3T26). El bajista no es cosmético: es la combinación de dos cosas que ya han pasado, un margen como el de 2021-2022 y el crecimiento de 2025, más medio punto de tipos, y lleva el valor a 93,54 USD. Le damos un 30 % de probabilidad porque la dirección acaba de rebajar la guía por tercer año seguido [21] y el consenso de BPA de 2027 (8,41 USD) apenas crece sobre el de 2026 (8,31 USD) [84]. El valor ponderado de los tres casos (149,52 USD) supera el precio: incluso con un bajista tan probable, el precio descuenta más de lo que pesa.</w:t>
      </w:r>
    </w:p>
    <w:p>
      <w:pPr>
        <w:pStyle w:val="Heading1"/>
      </w:pPr>
      <w:r>
        <w:t xml:space="preserve">22. Suma de partes</w:t>
      </w:r>
    </w:p>
    <w:p>
      <w:pPr>
        <w:pStyle w:val="Confianza"/>
        <w:spacing w:after="100"/>
      </w:pPr>
      <w:r>
        <w:t xml:space="preserve">Confianza: Media</w:t>
      </w:r>
    </w:p>
    <w:p>
      <w:pPr>
        <w:spacing w:after="100"/>
      </w:pPr>
      <w:r>
        <w:t xml:space="preserve">No se aplica. Los segmentos comparten fábricas, distribución directa a tienda y compras, y no hay comparables puros con cifras homogéneas para separar los snacks de Norteamérica, las bebidas de Norteamérica y el negocio internacional. La separación del embotellado que pidió Elliott quedó descartada por la dirección en diciembre de 2025 [74].</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28,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128,98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objetivo ponderado:</w:t>
      </w:r>
      <w:r>
        <w:t xml:space="preserve"> 152,55 USD (+18,9 % sobre 128,34).</w:t>
      </w:r>
    </w:p>
    <w:p>
      <w:pPr>
        <w:spacing w:after="100"/>
      </w:pPr>
      <w:r>
        <w:t xml:space="preserve">El DCF y los escenarios pesan un 40 % cada uno porque son los únicos métodos que miden lo que está en duda: cuánto dura el crecimiento y a qué margen. Los comparables pesan un 20 %: la muestra está partida entre empresas de concentrado a 22-25 veces y de alimentación a 9-10 veces, y la mediana se mueve de 10,1 a 13,7 veces quitando una sola. Las transacciones no pesan: llevan prima de control (mediana de 16,8 veces el EBITDA) y con una capitalización de 175.274 M nadie va a comprar PepsiCo entera. La dispersión es amplia pero tiene una lectura clara: los métodos de mercado (132,94 USD por PER y 142,33 USD por EV/EBITDA) quedan entre el precio y el DCF, y los de flujos (163,03 USD el DCF) bastante por encima. La diferencia es el coste del capital que el mercado aplica hoy a PepsiCo.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 y 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 y calendario de los nuevos recortes estructurales de costes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los anunció el 8-oct sin cuantificarlos, para pagar publicidad e innovación y compensar la inflación de insumos [23]; una cifra creíble sostendría el margen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un BPA de 8,41 USD en 2027, casi igual que los 8,31 de 2026 [84]; una guía de crecimiento de un dígito medio lo desmentiría. También dirá si el dividendo sube por 55.º año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Conclusiones de la revisión de la cadena de suministro y la distribución de Norteamérica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queda del plan pactado con Elliott; una separación parcial del embotellado o de la distribución liberaría capital [25, 74]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Plazo de la FDA para retirar seis colorantes sintéticos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reformulación en snacks y bebidas de colores (Cheetos, Doritos, Gatorade) [54]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consejo Joaquin Duato (J&amp;J)</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Continúa la renovación del consejo comprometida en diciembre de 2025 [62]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el 3T27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Hitos del pago aplazado de poppi y prueba de deterioro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pago aplazado vale 12 M frente a 278 M en diciembre [22]: si poppi sigue por debajo del plan, puede llegar un deterioro de parte de los 1.950 M pagados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Exenciones del SNAP que excluyen refrescos y golosinas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 aprobadas en 22 estados y ocho más en trámite; afecta al volumen de bebidas de Norteamérica [53]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de Norteamérica sigue cayendo pese a recuperar volumen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(margen 1 punto más bajo: 149,98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Frito-Lay tiene el 56 % de las patatas fritas de EE. UU. y la marca blanca solo el 9,5 % [50]; nuevos recortes de costes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core de PFNA a la baja otro trimestre (−280 pb en el 3T26) [23]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fármacos GLP-1 reducen el consumo de snacks y refrescos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(crecimiento 1 punto menor cada año: 150,35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raciones pequeñas, proteína y fibra; internacional menos expuesto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gasto en snacks salados de los hogares de EE. UU. medida por Circana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altos o mayor prima exigida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(WACC del 8,0 %: 144,16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con un coste medio del 3,8 % y vencimientos escalonados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en bebidas de Norteamérica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a −6 % (estimación propia: PBNA es el 30 % de las ventas con un margen del 3,9 %)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poppi, Celsius y Alani Nu en las categorías que crecen [1]; la alianza con Celsius ronda el 20 % de cuota en energéticas, según la empresa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orgánico de PBNA negativo (−3 puntos en el 3T26) [21]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 la guía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directo en el DCF; mantiene alta la rentabilidad que pide el mercado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sí cumple la guía (en torno al 3 %)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BPA de 2027 por debajo de un dígito medio en febrero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Rusia: 5,1 %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a −5 % por las ventas (estimación propia), más la caja retenida: el 20 % de la caja del grupo estaba en Rusia a dic-2025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la empresa, la caja retenida en Rusia no ha afectado hasta ahora a sus fuentes y usos de caja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Restricciones a la salida de dividendos o expropiación de activos extranjeros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salud: SNAP, colorantes, impuestos al azúcar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Reformulaciones ya en marcha y versiones sin azúcar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estados con exenciones del SNAP (22 en marzo de 2026) [53]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que no rinden (poppi)</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(deterioro de la mitad de lo pagado por poppi y Siete)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Importes pequeños frente al grupo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 del fondo de comercio de PBNA; pago aplazado de poppi ya en 12 M [22]</w:t>
            </w:r>
          </w:p>
        </w:tc>
      </w:tr>
    </w:tbl>
    <w:p>
      <w:pPr>
        <w:spacing w:after="160" w:before="0"/>
      </w:pPr>
    </w:p>
    <w:p>
      <w:pPr>
        <w:pStyle w:val="Heading2"/>
      </w:pPr>
      <w:r>
        <w:t xml:space="preserve">Pre-mortem</w:t>
      </w:r>
    </w:p>
    <w:p>
      <w:pPr>
        <w:spacing w:after="100"/>
      </w:pPr>
      <w:r>
        <w:t xml:space="preserve">Octubre de 2029: la acción ha perdido un 40 % y cotiza a unos 77 USD. La historia más probable empieza con la guía de 2027. Las bajadas de precio de Frito-Lay compraron volumen en 2026, pero el margen de Norteamérica no volvió: los recortes de costes anunciados en octubre de 2026 se fueron en publicidad y en materias primas, y las devoluciones de aranceles, que dieron 4 puntos al beneficio del 3T26, no se repitieron. Los GLP-1 en pastilla, más baratos que los inyectables, llegaron a más del 15 % de los adultos de EE. UU., y el gasto en snacks salados de esos hogares cayó por encima del 5 % del estudio de Cornell [49]. En bebidas, la cuota siguió bajando del 16 % y poppi acabó deteriorada. El margen recurrente volvió al 17-18 %, pero la dirección mantuvo el dividendo para no romper la racha de 55 años. La deuda neta subió por encima de 2,5 veces el EBITDA y Moody's rebajó la nota a A2. Con el bono por encima del 5 %, el mercado pagó por PepsiCo lo que paga por Kraft Heinz: 9 veces el EBITDA. La señal que lo habría avisado: el margen core de PFNA, que cayó 280 pb en el 3T26 [23], y una guía de 2027 sin crecimiento del BPA.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Para PepsiCo pesan tres asuntos. </w:t>
      </w:r>
      <w:r>
        <w:rPr>
          <w:b/>
        </w:rPr>
        <w:t xml:space="preserve">Salud y nutrición</w:t>
      </w:r>
      <w:r>
        <w:t xml:space="preserve">: es a la vez riesgo regulatorio (SNAP, colorantes, impuestos al azúcar [1, 53, 54]) y de demanda (GLP-1 [49]); la empresa reformula para reducir azúcar, sal y grasa saturada y retira colorantes artificiales de Lay's, Cheetos y Doritos [1]. </w:t>
      </w:r>
      <w:r>
        <w:rPr>
          <w:b/>
        </w:rPr>
        <w:t xml:space="preserve">Envases y plástico</w:t>
      </w:r>
      <w:r>
        <w:t xml:space="preserve">: es el origen de cuatro demandas de autoridades públicas por contaminación (Nueva York, Baltimore, Los Ángeles e Islas Vírgenes) [1] y de costes por depósitos y responsabilidad ampliada del productor [1]. </w:t>
      </w:r>
      <w:r>
        <w:rPr>
          <w:b/>
        </w:rPr>
        <w:t xml:space="preserve">Clima y agricultura</w:t>
      </w:r>
      <w:r>
        <w:t xml:space="preserve">: depende de patata, maíz y aceites expuestos al clima; tiene objetivos validados por SBTi alineados con 1,5 °C, pero en 2025 retrasó su objetivo de cero emisiones netas de 2040 a 2050 [55], y aspira a llevar 10 millones de acres a agricultura regenerativa en 2030 [55].</w:t>
      </w:r>
    </w:p>
    <w:p>
      <w:pPr>
        <w:pStyle w:val="Heading2"/>
      </w:pPr>
      <w:r>
        <w:t xml:space="preserve">Controversias</w:t>
      </w:r>
    </w:p>
    <w:p>
      <w:pPr>
        <w:spacing w:after="100"/>
      </w:pPr>
      <w:r>
        <w:t xml:space="preserve">Demandas por contaminación plástica: fiscal general de Nueva York (noviembre de 2023; desestimada en noviembre de 2024 y recurrida), Baltimore (junio de 2024; el tribunal desestimó la última acusación, la de molestia pública, el 21-jul-2026 y la ciudad recurrió todas las acusaciones el 18-ago-2026 ante el tribunal de apelación de Maryland [22]), condado de Los Ángeles (octubre de 2024) e Islas Vírgenes de EE. UU. (abril de 2025); ninguna fija cuantía [1]. Retirada de barritas y cereales de Quaker en 2023-2024, con 323 M USD de cargos acumulados [1]. En 2025 retrasó su objetivo de cero emisiones netas a 2050 [55].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Norteamérica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margen core de PFNA y PBNA espera recuperar en 2027 y en qué plazo, y cuánto ahorrarán los nuevos recortes estructurales?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3T26 el margen core de PFNA bajó 280 pb y la dirección admite que la mejora «está llevando más tiempo» [23]; los recortes se anunciaron sin cifra.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Devoluciones de 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devoluciones de aranceles (178 M en el 3T26) se repetirá en el 4T26 y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ellas, el beneficio operativo core del 3T26 habría caído un 0,9 % en vez de subir un 3 % (estimación propia: 4.277 M menos 178 M frente a 4.137 M) [21, 23].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Cargos recurrentes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un plan de productividad nuevo cuando termine el actual, o los cargos de reestructuración bajarán de forma permanente?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«no recurrentes» suman entre 1.800 y 3.400 M al año desde 2023 [1]; si son permanentes, el margen sostenible es un punto menor y el valor baja a 149,98 USD.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poppi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ha rebajado el pago aplazado de poppi de 278 M a 12 M y hay riesgo de deterioro de lo pagado?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compra más grande de 2025 (1.950 M) y la rebaja dice que no cumple los hitos [22].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de Norteamérica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opciones estudia la revisión de la cadena de suministro y la distribución, y cuánto capital liberaría una separación parcial?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queda del plan pactado con Elliott y la decisión llega a finales de 2026 [25].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GLP-1</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diferencia de consumo mide la empresa entre hogares con y sin usuario de GLP-1 en sus marcas?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estructural que más mueve el crecimiento a perpetuidad; el único dato público es un estudio de panel con datos de 2023-2024 [49].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la subida del dividendo si el flujo libre no supera los 9.000 M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el dividendo se llevó el 93 % del flujo libre [1], y en las 36 semanas de 2026 lo repartido (6.674 M) superó al flujo libre (5.857 M) [22].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Rusia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beneficio operativo y qué caja aporta Rusia, y qué pasaría con el negocio si tuviera que salir?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Pesa el 5,1 % de las ventas [1] y no está separado en la información por segmentos.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16 de 18 controles correctos y 2 explicados. Fuentes: 105 (75 primarias); citas distintas en el texto: 105.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6,0 % frente a 6,0 % real: genera una variación de circulante de 315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0,01: el crecimiento no explica los múltiplos de estos comparables; no uses el valor de la regresión. Explicación: Con seis comparables de modelos muy distintos (concentrado de bebidas, energéticas, alimentación envasada), el crecimiento no explica los múltiplos (R² 0,01). La regresión no se usa en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10,1x a 13,7x según qué comparable se quite (116,45 a 168,21 por acción): la muestra es frágil; explícalo y no le des mucho peso. Explicación: La muestra está partida en dos grupos (Coca-Cola y Monster a 22-25 veces el EBITDA de los próximos 12 meses frente a Kraft Heinz y General Mills a 9-10 veces). Por eso los comparables pesan solo un 20 % en el valor objetivo y el texto da el rango.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rentabilidad del 23,4 % (&lt; 25 %); bajista del -27,1 % (pierde más del 25 %); el precio descuenta solo 2,9 puntos menos de crecimiento que el caso base (&lt; 3))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105 fuentes (75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de cada uno de los 8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4T24-3T26 (no citan el consenso); 2) transcripción del 2T26 y comentarios preparados del 3T26 (sin cifra previa de los analistas); 3) búsqueda web descartada por cupo reservado a gobierno y activistas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 conferencia del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URL de la web de inversores con el patrón del 2T26 (q1-2026-pep-transcript.pdf), redirige al índice; 2) descargar.mjs --lista de la página de resultados (web con JavaScript, sin enlaces); 3) se usan los comentarios preparados del 1T26 y la nota de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8 del 10-K 2025 (no la publica; agrupa 25.956 M en 2031-2060); 2) 10-Q 2T26 (sin dato); 3) cálculo propio imposible sin el reparto de los tramos posteriores a 2031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2021-2022 con la segmentación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(reexpresa solo 2023-2025); 2) 10-K 2024 (segmentación antigua: FLNA, QFNA, PBNA, LatAm, Europe, AMESA, APAC); 3) reconstrucción descartada porque los segmentos internacionales cambiaron de perímetro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URL de la web de inversores con el patrón del 2T26 (q3-2026-pep-transcript.pdf), redirige al índice de resultados el 9-oct-26; 2) EDGAR: el 8-K del 8-oct-26 solo incluye la nota de prensa; 3) se usan los comentarios preparados del 3T26 y la nota de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previsto del mercado (próximos cinco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Utz, Monster y Celsius: dan crecimiento pasado, no previsiones; 2) Beverage Marketing Corporation: las previsiones de volumen y valor de 2025 solo están en informes de pago; 3) búsqueda web de previsiones de snacks salados (Circana/Euromonitor): solo resúmenes de buscador sin documento abierto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mundial de snacks salados y bebidas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PepsiCo y de Coca-Cola: no publican el tamaño mundial; 2) Euromonitor y Statista: de pago; 3) páginas de historia e inversores de PepsiCo (404) y cupo de búsquedas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los cinco primeros (CR5) del total de snacks salados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Utz: solo su cuota regional (~7 %) y la cola de 1.300 marcas; 2) Circana vía Snack &amp; Bakery: cuotas por fabricante solo en patatas fritas; 3) cálculo propio con los cinco primeros fabricantes de patatas fritas (Frito-Lay, Kellanova, Campbell's, Utz, Herr): 9.397 / 11.600 M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Pepsi frente a Dr Pepper en refrescos de EE. UU. en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Keurig Dr Pepper y de PepsiCo: no dan cuotas por marca; 2) Beverage Digest 2025 vía AJC: página bloqueada en Europa por RGPD; 3) Beverage Digest 2024 vía FOX: solo el ranking (Pepsi 4.ª tras Coca-Cola, Dr Pepper y Sprite), sin cuotas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el ranking de 2024)</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gasto en snacks salados de los usuarios de GLP-1 (cifra por categoría)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Cornell Chronicle (404); 2) eMarketer, Baking Business, NJBIZ y Supermarket Perimeter: 403; 3) AgFunderNews: confirma el −5,5 % total y que la mayor caída es en snacks salados, sin la cifra por categoría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buscador decía −11 %, sin documento abierto)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y 10-K 2025: no citan calificaciones; 2) página de Sustainalytics: solo metodología, sin la puntuación de la empresa sin registro; 3) MSCI y CDP necesitan JavaScript o registro y el cupo de búsquedas estaba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participación económica total de Elliott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13F-HR de Elliott del 3T25 al 2T26 en EDGAR: solo 1.275.000 acciones, sin derivados; 2) presentaciones de PepsiCo en EDGAR: Elliott no ha presentado 13D ni 13G; 3) nota de prensa de Elliott (2-sep-2025): solo «4.000 M USD», sin número de acciones ni porcentaje; la prensa habla de ~2 % sin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da la posición del 13F (0,09 %) y los 4.000 M USD anunciados; el ~2 % no se usa como dato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participación actual de BlackRock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cita la 13G de ene-2024 (8,2 %); 2) lista de presentaciones de PepsiCo en EDGAR: ninguna 13G de BlackRock posterior a ene-2024; 3) sin fuente secundaria fiable con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da el 8,2 % de la última 13G, con su fecha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sucesión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solo dice que el consejo revisa la sucesión del CEO y de la dirección; 2) 8-K de 2024-2026: ningún anuncio; 3) búsqueda web: nada sobre un sucesor de Laguarta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dice en el comentario que no hay sucesor anunciado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de S&amp;P: última acción posterior a feb-2025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y 10-Q 2T26: solo los umbrales A2/A de las cláusulas de garantías; 2) Alacra Store (S&amp;P): la última ficha localizada es del 5-feb-2025, A+ estable; 3) búsqueda web: sin acción posterior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da A+ estable con la fecha de feb-2025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en el capital de Krishnan, Willemsen y Kanioura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no son consejeros ni directivos con retribución publicada, así que no aparecen en la tabla de participaciones; 2) Form 4 del último año: solo operaciones, sin saldo total agregado; 3) 10-K: no da participaciones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numéricas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gráficos, sin cifras en texto; 2) Zacks, estimaciones detalladas (7/30/60/90 días): bloqueo antibot; 3) Internet Archive para una captura antigua de Stock Analysis: WebFetch no puede abrir web.archive.org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de revisiones usa el cambio de recomendaciones y de precios objetivo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y Hershey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sin dirección de la ficha (dos búsquedas no la devolvieron); 2) página del sector Food &amp; Beverages de MarketScreener: no lista los enlaces; 3) Stock Analysis da sus múltiplos de los últimos 12 meses pero no el EBITDA estimado, y mezclar proveedores rompe la comparación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seis comparables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dcf.wacc</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Tasa libre desde FRED (DGS10)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FRED DGS10 con descargar-sec.mjs (serie completa): timeout; 2) FRED con rango corto: timeout; 3) descargar.mjs sobre FRED: timeout (iteración 1). En la iteración 2, la curva diaria del Tesoro de EE. UU. (fuente original de DGS10) bajó bien con descargar.mjs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Tomado de la fuente original (Tesoro): 5,22 % al 8-oct-2026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Siete, poppi y WK Kellogg; Hershey-LesserEvil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FY2025 de PepsiCo: solo el precio; 2) nota de prensa de WK Kellogg en EDGAR: solo valor empresa y prima; 3) búsqueda de texto completo de EDGAR para LesserEvil: solo menciones en los resultados de Hershey, sin precio ni múltiplo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Siete, poppi y WK Kellogg con múltiplo null; LesserEvil omitida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Inc. Form 10-K, ejercicio 2025 (cerrado el 27-dic-2025)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https://www.sec.gov/Archives/edgar/data/77476/000007747626000007/pep-20251227.htm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Inc. Form 10-K,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https://www.sec.gov/Archives/edgar/data/77476/000007747625000007/pep-20241228.htm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https://www.sec.gov/Archives/edgar/data/77476/000007747624000008/pep-20231230.htm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https://www.sec.gov/Archives/edgar/data/77476/000007747622000010/pep-20211225.htm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https://www.sec.gov/Archives/edgar/data/77476/000007747620000015/pepsico201910-k.htm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https://www.sec.gov/Archives/edgar/data/77476/000007747618000012/pepsico201710-k.htm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2T26 (24 semanas cerradas el 13-jun-2026)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https://www.sec.gov/Archives/edgar/data/77476/000007747626000035/pep-20260613.htm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1T26 (12 semanas cerradas el 21-mar-2026)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https://www.sec.gov/Archives/edgar/data/77476/000007747626000017/pep-20260321.htm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3T25 (36 semanas cerradas el 6-sep-2025)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https://www.sec.gov/Archives/edgar/data/77476/000007747625000053/pep-20250906.htm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2T25 (24 semanas cerradas el 14-jun-2025)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https://www.sec.gov/Archives/edgar/data/77476/000007747625000044/pep-20250614.htm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1T25 (12 semanas cerradas el 22-mar-2025)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https://www.sec.gov/Archives/edgar/data/77476/000007747625000019/pep-20250322.htm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3T24 (36 semanas cerradas el 7-sep-2024)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https://www.sec.gov/Archives/edgar/data/77476/000007747624000052/pep-20240907.htm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4T25 y del ejercicio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https://www.sec.gov/Archives/edgar/data/77476/000007747626000009/q420258-kxexhibit991.htm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4T24 y del ejercicio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https://www.sec.gov/Archives/edgar/data/77476/000007747625000008/q420248-kxexhibit991.htm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https://www.sec.gov/Archives/edgar/data/77476/000007747626000019/q120268-kxexhibit991.htm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https://www.sec.gov/Archives/edgar/data/77476/000007747626000037/q220268-kxexhibit991.htm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Second-Quarter 2026 Earnings Prepared Management Remarks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https://investors.pepsico.com/docs/pepsico-5v9wci20/media/Files/investors/q2-2026-prepared-management-remarks.pdf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First-Quarter 2026 Earnings Prepared Management Remarks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https://investors.pepsico.com/docs/pepsico-5v9wci20/media/Files/investors/q1-2026-prepared-management-remarks.pdf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Q2 2026 Earnings Call, Corrected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CallStreet (publicada por PepsiCo)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https://investors.pepsico.com/docs/pepsico-5v9wci20/media/Files/investors/q2-2026-pep-transcript.pdf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PepsiCo (CIK 0000077476): series anuales 2016-2025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(data.sec.gov)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https://data.sec.gov/api/xbrl/companyfacts/CIK0000077476.json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https://www.sec.gov/Archives/edgar/data/77476/000007747626000050/q320268-kxexhibit991.htm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3T26 (36 semanas cerradas el 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https://www.sec.gov/Archives/edgar/data/77476/000007747626000048/pep-20260905.htm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Third-Quarter 2026 Earnings Prepared Management Remarks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https://investors.pepsico.com/docs/pepsico-5v9wci20/media/Files/investors/q3-2026-prepared-management-remarks.pdf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Suplemento preliminar de folleto (424B2) de una emisión de bonos en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https://www.sec.gov/Archives/edgar/data/77476/000110465926114806/tm2626837-1_424b2.htm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Announces Priorities to Enhance Shareholder Value and Provides Preliminary 2026 Financial Outlook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https://www.sec.gov/Archives/edgar/data/77476/000007747625000059/exhibit991-pepsicopressrel.htm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Coca-Cola Company,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https://data.sec.gov/api/xbrl/companyfacts/CIK0000021344.json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Inc.,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https://data.sec.gov/api/xbrl/companyfacts/CIK0001418135.json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Corp.,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https://data.sec.gov/api/xbrl/companyfacts/CIK0000865752.json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Holdings, Inc.,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https://data.sec.gov/api/xbrl/companyfacts/CIK0001341766.json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Mondelez International, Inc.,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https://data.sec.gov/api/xbrl/companyfacts/CIK0001103982.json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Mills, Inc., cifras anuales del 10-K del ejercicio a mayo de 2026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https://data.sec.gov/api/xbrl/companyfacts/CIK0000040704.json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Campbell's Company, cifras anuales del 10-K del ejercicio a agosto de 2026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https://data.sec.gov/api/xbrl/companyfacts/CIK0000016732.json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https://data.sec.gov/api/xbrl/companyfacts/CIK0001739566.json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https://www.sec.gov/Archives/edgar/data/1739566/000162828026007757/utz-20251228.htm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Holdings,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https://www.sec.gov/Archives/edgar/data/1341766/000134176626000024/celh-20251231.htm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https://www.sec.gov/Archives/edgar/data/1418135/000141813526000016/kdp-20251231.htm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Corp.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https://www.sec.gov/Archives/edgar/data/865752/000110465926020831/mnst-20251231x10k.htm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Campbell's Company Form 10-K ejercicio a 2-ago-2026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https://www.sec.gov/Archives/edgar/data/16732/000001673226000026/cpb-20260802.htm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2002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https://www.sec.gov/Archives/edgar/data/77476/000007747602000024/k01b.htm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https://www.sec.gov/Archives/edgar/data/77476/000119312511040427/d10k.htm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https://www.sec.gov/Archives/edgar/data/77476/000007747619000017/pepsico201810-k.htm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https://www.sec.gov/Archives/edgar/data/77476/000007747621000007/pep-20201226.htm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https://www.sec.gov/Archives/edgar/data/77476/000007747623000007/pep-20221231.htm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https://www.sec.gov/Archives/edgar/data/1739566/000173956625000053/utz-20241229.htm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https://www.sec.gov/Archives/edgar/data/1739566/000173956624000054/utz-20231231.htm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https://www.sec.gov/Archives/edgar/data/1739566/000173956623000034/utz-20230101.htm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https://www.sec.gov/Archives/edgar/data/1739566/000173956622000086/utz-20220102.htm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Liquid Refreshment Beverage Market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Beverage Marketing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https://www.beveragemarketing.com/news-detail.asp?id=824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How are GLP-1 drugs impacting spending on food and dietary supplements? (estudio de Cornell con datos de Numerator)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AgFunderNews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https://agfundernews.com/how-are-glp-1-drugs-impacting-spending-on-food-and-dietary-supplements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 of the Industry 2025: Chips are down, and up (datos de Circana)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Snack Food &amp; Wholesale Bakery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https://www.snackandbakery.com/articles/114108-state-of-the-industry-2025-chips-are-down-and-up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private label industry reaches $282.8B in 2025 sales (PLMA, datos de Circana)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Snack Food &amp; Wholesale Bakery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https://www.snackandbakery.com/articles/115057-us-private-label-industry-reaches-2828b-in-2025-sales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 knocked out of America's top selling soft drinks (datos de Beverage Digest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11 Los Angeles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https://www.foxla.com/news/coca-cola-pepsi-best-selling-soda-pop-soft-drink-beverage-digest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USDA Approves More SNAP Waivers Limiting Soda and Candy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Civil Eats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https://civileats.com/2026/03/04/usda-approves-more-snap-waivers-limiting-soda-and-candy/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HHS, FDA to Phase Out Petroleum-Based Synthetic Dyes in Nation's Food Supply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https://www.fda.gov/news-events/press-announcements/hhs-fda-phase-out-petroleum-based-synthetic-dyes-nations-food-supply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2026 Proxy Statement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https://www.sec.gov/Archives/edgar/data/77476/000130817926000169/pep015012_def14a.htm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8-K (acuerdo de fusión con Intersnack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https://www.sec.gov/Archives/edgar/data/1739566/000119312526311373/d152441d8k.htm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https://www.sec.gov/Archives/edgar/data/77476/000007747626000024/pep-20260506.htm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https://www.sec.gov/Archives/edgar/data/77476/000007747625000025/pep-20250507.htm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https://www.sec.gov/Archives/edgar/data/77476/000007747624000026/pep-20240501.htm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2.02 y 5.02: nombramiento de Steve Schmitt como CFO y salida de Darren Walker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https://www.sec.gov/Archives/edgar/data/77476/000007747625000055/pep-20251003.htm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Steven Williams deja el puesto de CEO de Norteamérica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https://www.sec.gov/Archives/edgar/data/77476/000007747625000062/pep-20251215.htm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Joaquin Duato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https://www.sec.gov/Archives/edgar/data/77476/000007747626000042/pep-20260917.htm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PepsiCo, 8-oct-2025 a 8-oct-2026 (agregado con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https://www.sec.gov/cgi-bin/browse-edgar?action=getcompany&amp;CIK=0000077476&amp;type=4&amp;owner=include&amp;count=100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PepsiCo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https://www.sec.gov/Archives/edgar/data/77476/000210011926000055/primary_doc.xml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n.º 13 de The Vanguard Group sobre PepsiCo (reorganización interna)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https://www.sec.gov/Archives/edgar/data/77476/000010290926002037/primary_doc.xml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n.º 12 de The Vanguard Group sobre PepsiCo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https://www.sec.gov/Archives/edgar/data/77476/000093247125000680/primary_doc.xml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2023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https://www.sec.gov/Archives/edgar/data/77476/000007747624000010/q420238-kxexhibit991.htm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2022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https://www.sec.gov/Archives/edgar/data/77476/000007747623000009/q420228-kxexhibit991.htm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2021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https://www.sec.gov/Archives/edgar/data/77476/000007747622000011/q420218-kxexhibit991.htm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2020, con la guía de 2021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https://www.sec.gov/Archives/edgar/data/77476/000007747621000009/q420208-kxexhibit991.htm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3T24, con la guía de 2024 actualizada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https://www.sec.gov/Archives/edgar/data/77476/000007747624000054/q320248-kxexhibit991.htm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1T25, con la guía de 2025 actualizada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https://www.sec.gov/Archives/edgar/data/77476/000007747625000022/q120258-kxexhibit991.htm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Sends Presentation to Board of Directors of PepsiCo Inc. (nota de prensa con la carta al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Investment Management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https://elliottletters.com/wp-content/uploads/Press-Release_Elliott-Sends-Presentation-to-Board-of-Directors-of-PepsiCo-Inc.pdf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sesión de preguntas del 9-dic-2025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(FactSet CallStreet)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https://www.pepsico.com/docs/pepsico-5v9wci20/media/Files/investors/PepsiCo-Inc-December-9-2025-730-AM-ET-Transcript.pdf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Investment Management, Form 13F-HR del 2T26 (tabla de posiciones)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https://www.sec.gov/Archives/edgar/data/1791786/000101359426000915/form13fInfoTable.xml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Investment Management, Form 13F-HR del 3T25 (tabla de posiciones)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https://www.sec.gov/Archives/edgar/data/1791786/000101359425001440/informationtable.xml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assigns A1 to PepsiCo's new Euro unsecured notes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Market Forces (cita la nota de Moody's)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https://dmarketforces.com/moodys-assigns-a1-to-pepsicos-new-euro-unsecured-notes/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Inc.'s Senior Unsecured Notes Rated 'A+'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Ratings (ficha en Alacra Store)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https://www.alacrastore.com/s-and-p-credit-research/PepsiCo-Inc-s-Senior-Unsecured-Notes-Rated-A-3318769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dismisses lawsuit against PepsiCo that was filed by Biden-era FTC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Associated Press (ClickOnDetroit)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https://www.clickondetroit.com/business/2025/05/22/ftc-dismisses-lawsuit-against-pepsico-that-was-filed-by-biden-era-ftc/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Christine Tammara como interventora general (Controller)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https://www.sec.gov/Archives/edgar/data/77476/000007747624000058/pep-20241211.htm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PEP, SPY, XLP y URTH (cierres ajustados por dividendos) y cierres del 7 y 8 de octubre de KO, MDLZ, KDP, MNST, KHC y GIS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https://finance.yahoo.com/quote/PEP/history/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Yr al 8 de octubre de 2026: 5,22 %)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https://www.marketscreener.com/quote/stock/PEPSICO-INC-39085159/finances/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https://www.marketscreener.com/quote/stock/PEPSICO-INC-39085159/consensus/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(PEP) Stock Forecast &amp; Analyst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 y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https://stockanalysis.com/stocks/pep/forecast/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(PEP)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https://stockanalysis.com/stocks/pep/statistics/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Coca-Cola (KO)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https://stockanalysis.com/stocks/ko/statistics/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Mondelez (MDLZ)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https://stockanalysis.com/stocks/mdlz/statistics/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(KDP)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https://stockanalysis.com/stocks/kdp/statistics/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(MNST)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https://stockanalysis.com/stocks/mnst/statistics/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Kraft Heinz (KHC)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https://stockanalysis.com/stocks/khc/statistics/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Mills (GIS)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https://stockanalysis.com/stocks/gis/statistics/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Coca-Cola: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https://www.marketscreener.com/quote/stock/THE-COCA-COLA-COMPANY-4819/finances/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Mondelez: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https://www.marketscreener.com/quote/stock/MONDELEZ-INTERNATIONAL-IN-11499018/finances/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https://www.marketscreener.com/quote/stock/KEURIG-DR-PEPPER-INC-44644712/finances/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https://www.marketscreener.com/quote/stock/MONSTER-BEVERAGE-CORPORAT-22497283/finances/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Kraft Heinz: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https://www.marketscreener.com/quote/stock/KRAFT-HEINZ-22816979/finances/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Mills: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https://www.marketscreener.com/quote/stock/GENERAL-MILLS-INC-12763/finances/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 to acquire Kellanova (nota de prensa conjunta, Exhibit 99.4 del 8-K de Kellanova)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Kellanova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https://www.sec.gov/Archives/edgar/data/55067/000119312524200233/d884455dex994.htm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J.M. Smucker Co. to Acquire Hostess Brands, Inc.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J.M. Smucker Co.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https://www.sec.gov/Archives/edgar/data/91419/000119312523232051/d450269dex991.htm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 to acquire Sovos Brands: presentación a inversores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 Soup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https://www.sec.gov/Archives/edgar/data/16732/000095010323011620/dp198090_ex9901.htm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to acquire JDE Peet's: presentación a inversores (Exhibit 99.2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https://www.sec.gov/Archives/edgar/data/1418135/000095014225002257/eh250670939_ex9902.htm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Ferrero to acquire WK Kellogg Co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WK Kellogg Co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https://www.sec.gov/Archives/edgar/data/1959348/000119312525157425/d72421dex991.htm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 bebidas no alcohólicas y alimentación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91,5 %</w:t>
      </w:r>
      <w:r>
        <w:t xml:space="preserve"> · Secciones con menos del 60 % de campos cubiertos: </w:t>
      </w:r>
      <w:r>
        <w:rPr>
          <w:b/>
          <w:bCs/>
        </w:rPr>
        <w:t xml:space="preserve">ninguna</w:t>
      </w:r>
      <w:r>
        <w:t xml:space="preserve"> · Generado el 9 oct 2026.</w:t>
      </w:r>
    </w:p>
    <w:p>
      <w:pPr>
        <w:pStyle w:val="Nota"/>
        <w:spacing w:after="100"/>
      </w:pPr>
      <w:r>
        <w:t xml:space="preserve">Línea cotizada única (Nasdaq: PEP), cuentas y cotización en USD, US GAAP. El ejercicio es de 52 o 53 semanas y cierra el último sábado de diciembre (2025, el 27-dic); 2022 tuvo 53 semanas. Los trimestres son de 12 semanas y el cuarto de 16, así que el 4T no es comparable en margen con los demás [1]. Es la segunda iteración: la primera (corte 8-oct-2026) se cerró sin los resultados del 3T26; esta los incorpora [21, 22]. El precio es el cierre del 8-oct-2026, el día de los resultados, porque la sesión del 9 no había cerrado a la fecha de corte [81]. El último periodo publicado es el 3T26 (36 semanas al 5-sep-2026) y los últimos 12 meses van de septiembre de 2025 a septiembre de 2026 [22]. A la fecha de corte no estaba publicada la transcripción de las preguntas de la conferencia del 3T26: se usan los comentarios preparados de la dirección [23]. El EBITDA del informe es el recurrente: beneficio operativo más amortizaciones, con los cargos de reestructuración, deterioros, valoración a mercado de coberturas y costes de compras devueltos con la conciliación de la propia empresa [1, 21]. Los pasivos por arrendamiento operativo (3.846 M) no van a la deuda, al puente ni al capital invertido, porque su gasto ya está dentro del EBITDA [1]. La segmentación vigente (seis segmentos) solo está publicada para 2023-2025 [1]. El consenso de estimaciones sale de un solo proveedor gratuito, actualizado tras el 3T26; las revisiones a 3 y 12 meses no están disponibles en cifras [84, 86]. Sin servicios de pago: faltan las calificaciones ESG, la cuota de mercado mundial y el consenso previo de cada trimestre.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PepsiCo, Inc. (PEP)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128,34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(123,47 – 171,48)</c:v>
                </c:pt>
                <c:pt idx="1">
                  <c:v>Precio objetivo de los analistas (124,00 – 169,00)</c:v>
                </c:pt>
                <c:pt idx="2">
                  <c:v>Comparables: EV/EBITDA NTM (114,30 – 262,01)</c:v>
                </c:pt>
                <c:pt idx="3">
                  <c:v>Comparables: PER NTM (98,13 – 201,71)</c:v>
                </c:pt>
                <c:pt idx="4">
                  <c:v>Transacciones precedentes (EV/EBITDA) (188,79 – 221,37)</c:v>
                </c:pt>
                <c:pt idx="5">
                  <c:v>DCF (WACC y g ± 0,5) (133,66 – 208,73)</c:v>
                </c:pt>
                <c:pt idx="6">
                  <c:v>Escenarios (bajista – alcista) (93,54 – 199,71)</c:v>
                </c:pt>
                <c:pt idx="7">
                  <c:v>DCF con la prima implícita del mercado (4,2 %)</c:v>
                </c:pt>
                <c:pt idx="8">
                  <c:v>Precio actual (128,34)</c:v>
                </c:pt>
              </c:strCache>
            </c:strRef>
          </c:cat>
          <c:val>
            <c:numRef>
              <c:f>Hoja1!$B$2:$B$10</c:f>
              <c:numCache>
                <c:formatCode>#,##0</c:formatCode>
                <c:ptCount val="9"/>
                <c:pt idx="0">
                  <c:v>123.47</c:v>
                </c:pt>
                <c:pt idx="1">
                  <c:v>124</c:v>
                </c:pt>
                <c:pt idx="2">
                  <c:v>114.3</c:v>
                </c:pt>
                <c:pt idx="3">
                  <c:v>98.13</c:v>
                </c:pt>
                <c:pt idx="4">
                  <c:v>188.79</c:v>
                </c:pt>
                <c:pt idx="5">
                  <c:v>133.66</c:v>
                </c:pt>
                <c:pt idx="6">
                  <c:v>93.54</c:v>
                </c:pt>
                <c:pt idx="7">
                  <c:v>158.73</c:v>
                </c:pt>
                <c:pt idx="8">
                  <c:v>127.7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(123,47 – 171,48)</c:v>
                </c:pt>
                <c:pt idx="1">
                  <c:v>Precio objetivo de los analistas (124,00 – 169,00)</c:v>
                </c:pt>
                <c:pt idx="2">
                  <c:v>Comparables: EV/EBITDA NTM (114,30 – 262,01)</c:v>
                </c:pt>
                <c:pt idx="3">
                  <c:v>Comparables: PER NTM (98,13 – 201,71)</c:v>
                </c:pt>
                <c:pt idx="4">
                  <c:v>Transacciones precedentes (EV/EBITDA) (188,79 – 221,37)</c:v>
                </c:pt>
                <c:pt idx="5">
                  <c:v>DCF (WACC y g ± 0,5) (133,66 – 208,73)</c:v>
                </c:pt>
                <c:pt idx="6">
                  <c:v>Escenarios (bajista – alcista) (93,54 – 199,71)</c:v>
                </c:pt>
                <c:pt idx="7">
                  <c:v>DCF con la prima implícita del mercado (4,2 %)</c:v>
                </c:pt>
                <c:pt idx="8">
                  <c:v>Precio actual (128,34)</c:v>
                </c:pt>
              </c:strCache>
            </c:strRef>
          </c:cat>
          <c:val>
            <c:numRef>
              <c:f>Hoja1!$C$2:$C$10</c:f>
              <c:numCache>
                <c:formatCode>#,##0</c:formatCode>
                <c:ptCount val="9"/>
                <c:pt idx="0">
                  <c:v>48.00999999999999</c:v>
                </c:pt>
                <c:pt idx="1">
                  <c:v>45</c:v>
                </c:pt>
                <c:pt idx="2">
                  <c:v>147.70999999999998</c:v>
                </c:pt>
                <c:pt idx="3">
                  <c:v>103.58000000000001</c:v>
                </c:pt>
                <c:pt idx="4">
                  <c:v>32.58000000000001</c:v>
                </c:pt>
                <c:pt idx="5">
                  <c:v>75.07</c:v>
                </c:pt>
                <c:pt idx="6">
                  <c:v>106.17</c:v>
                </c:pt>
                <c:pt idx="7">
                  <c:v>51.08000000000001</c:v>
                </c:pt>
                <c:pt idx="8">
                  <c:v>1.279999999999987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PFNA (alimentación Norteamérica)</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28015</c:v>
                </c:pt>
                <c:pt idx="1">
                  <c:v>27431</c:v>
                </c:pt>
                <c:pt idx="2">
                  <c:v>27528</c:v>
                </c:pt>
              </c:numCache>
            </c:numRef>
          </c:val>
        </c:ser>
        <c:ser>
          <c:idx val="1"/>
          <c:order val="1"/>
          <c:tx>
            <c:strRef>
              <c:f>Hoja1!$C$1</c:f>
              <c:strCache>
                <c:ptCount val="1"/>
                <c:pt idx="0">
                  <c:v>PBNA (bebidas Norteamérica)</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27626</c:v>
                </c:pt>
                <c:pt idx="1">
                  <c:v>27769</c:v>
                </c:pt>
                <c:pt idx="2">
                  <c:v>28197</c:v>
                </c:pt>
              </c:numCache>
            </c:numRef>
          </c:val>
        </c:ser>
        <c:ser>
          <c:idx val="2"/>
          <c:order val="2"/>
          <c:tx>
            <c:strRef>
              <c:f>Hoja1!$D$1</c:f>
              <c:strCache>
                <c:ptCount val="1"/>
                <c:pt idx="0">
                  <c:v>IB Franchise</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4559</c:v>
                </c:pt>
                <c:pt idx="1">
                  <c:v>4879</c:v>
                </c:pt>
                <c:pt idx="2">
                  <c:v>4997</c:v>
                </c:pt>
              </c:numCache>
            </c:numRef>
          </c:val>
        </c:ser>
        <c:ser>
          <c:idx val="3"/>
          <c:order val="3"/>
          <c:tx>
            <c:strRef>
              <c:f>Hoja1!$E$1</c:f>
              <c:strCache>
                <c:ptCount val="1"/>
                <c:pt idx="0">
                  <c:v>EMEA</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16210</c:v>
                </c:pt>
                <c:pt idx="1">
                  <c:v>16658</c:v>
                </c:pt>
                <c:pt idx="2">
                  <c:v>18025</c:v>
                </c:pt>
              </c:numCache>
            </c:numRef>
          </c:val>
        </c:ser>
        <c:ser>
          <c:idx val="4"/>
          <c:order val="4"/>
          <c:tx>
            <c:strRef>
              <c:f>Hoja1!$F$1</c:f>
              <c:strCache>
                <c:ptCount val="1"/>
                <c:pt idx="0">
                  <c:v>LatAm Foods</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10576</c:v>
                </c:pt>
                <c:pt idx="1">
                  <c:v>10568</c:v>
                </c:pt>
                <c:pt idx="2">
                  <c:v>10549</c:v>
                </c:pt>
              </c:numCache>
            </c:numRef>
          </c:val>
        </c:ser>
        <c:ser>
          <c:idx val="5"/>
          <c:order val="5"/>
          <c:tx>
            <c:strRef>
              <c:f>Hoja1!$G$1</c:f>
              <c:strCache>
                <c:ptCount val="1"/>
                <c:pt idx="0">
                  <c:v>Asia Pacific Foods</c:v>
                </c:pt>
              </c:strCache>
            </c:strRef>
          </c:tx>
          <c:spPr>
            <a:solidFill>
              <a:srgbClr val="008300"/>
            </a:solidFill>
            <a:ln w="12700">
              <a:solidFill>
                <a:srgbClr val="FFFFFF"/>
              </a:solidFill>
            </a:ln>
          </c:spPr>
          <c:invertIfNegative val="0"/>
          <c:cat>
            <c:strRef>
              <c:f>Hoja1!$A$2:$A$4</c:f>
              <c:strCache>
                <c:ptCount val="3"/>
                <c:pt idx="0">
                  <c:v>2023</c:v>
                </c:pt>
                <c:pt idx="1">
                  <c:v>2024</c:v>
                </c:pt>
                <c:pt idx="2">
                  <c:v>2025</c:v>
                </c:pt>
              </c:strCache>
            </c:strRef>
          </c:cat>
          <c:val>
            <c:numRef>
              <c:f>Hoja1!$G$2:$G$4</c:f>
              <c:numCache>
                <c:formatCode>#,##0</c:formatCode>
                <c:ptCount val="3"/>
                <c:pt idx="0">
                  <c:v>4485</c:v>
                </c:pt>
                <c:pt idx="1">
                  <c:v>4549</c:v>
                </c:pt>
                <c:pt idx="2">
                  <c:v>4629</c:v>
                </c:pt>
              </c:numCache>
            </c:numRef>
          </c:val>
        </c:ser>
        <c:ser>
          <c:idx val="6"/>
          <c:order val="6"/>
          <c:tx>
            <c:strRef>
              <c:f>Hoja1!$H$1</c:f>
              <c:strCache>
                <c:ptCount val="1"/>
                <c:pt idx="0">
                  <c:v>Gastos corporativos no asignados</c:v>
                </c:pt>
              </c:strCache>
            </c:strRef>
          </c:tx>
          <c:spPr>
            <a:solidFill>
              <a:srgbClr val="4A3AA7"/>
            </a:solidFill>
            <a:ln w="12700">
              <a:solidFill>
                <a:srgbClr val="FFFFFF"/>
              </a:solidFill>
            </a:ln>
          </c:spPr>
          <c:invertIfNegative val="0"/>
          <c:cat>
            <c:strRef>
              <c:f>Hoja1!$A$2:$A$4</c:f>
              <c:strCache>
                <c:ptCount val="3"/>
                <c:pt idx="0">
                  <c:v>2023</c:v>
                </c:pt>
                <c:pt idx="1">
                  <c:v>2024</c:v>
                </c:pt>
                <c:pt idx="2">
                  <c:v>2025</c:v>
                </c:pt>
              </c:strCache>
            </c:strRef>
          </c:cat>
          <c:val>
            <c:numRef>
              <c:f>Hoja1!$H$2:$H$4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PFNA (alimentación Norteamérica)</c:v>
                </c:pt>
                <c:pt idx="1">
                  <c:v>PBNA (bebidas Norteamérica)</c:v>
                </c:pt>
                <c:pt idx="2">
                  <c:v>IB Franchise</c:v>
                </c:pt>
                <c:pt idx="3">
                  <c:v>EMEA</c:v>
                </c:pt>
                <c:pt idx="4">
                  <c:v>LatAm Foods</c:v>
                </c:pt>
                <c:pt idx="5">
                  <c:v>Asia Pacific Foods</c:v>
                </c:pt>
                <c:pt idx="6">
                  <c:v>Gastos corporativos no asignados</c:v>
                </c:pt>
              </c:strCache>
            </c:strRef>
          </c:cat>
          <c:val>
            <c:numRef>
              <c:f>Hoja1!$B$2:$B$8</c:f>
              <c:numCache>
                <c:formatCode>General</c:formatCode>
                <c:ptCount val="7"/>
                <c:pt idx="0">
                  <c:v>29.3</c:v>
                </c:pt>
                <c:pt idx="1">
                  <c:v>30</c:v>
                </c:pt>
                <c:pt idx="2">
                  <c:v>5.3</c:v>
                </c:pt>
                <c:pt idx="3">
                  <c:v>19.2</c:v>
                </c:pt>
                <c:pt idx="4">
                  <c:v>11.2</c:v>
                </c:pt>
                <c:pt idx="5">
                  <c:v>4.9</c:v>
                </c:pt>
                <c:pt idx="6">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Estados Unidos</c:v>
                </c:pt>
                <c:pt idx="1">
                  <c:v>México</c:v>
                </c:pt>
                <c:pt idx="2">
                  <c:v>Rusia</c:v>
                </c:pt>
                <c:pt idx="3">
                  <c:v>Canadá</c:v>
                </c:pt>
                <c:pt idx="4">
                  <c:v>China</c:v>
                </c:pt>
                <c:pt idx="5">
                  <c:v>Reino Unido</c:v>
                </c:pt>
                <c:pt idx="6">
                  <c:v>Otros (incl. Brasil 1,9 % y Sudáfrica 1,9 %)</c:v>
                </c:pt>
              </c:strCache>
            </c:strRef>
          </c:cat>
          <c:val>
            <c:numRef>
              <c:f>Hoja1!$B$2:$B$8</c:f>
              <c:numCache>
                <c:formatCode>0"%"</c:formatCode>
                <c:ptCount val="7"/>
                <c:pt idx="0">
                  <c:v>55.61</c:v>
                </c:pt>
                <c:pt idx="1">
                  <c:v>7.4</c:v>
                </c:pt>
                <c:pt idx="2">
                  <c:v>5.08</c:v>
                </c:pt>
                <c:pt idx="3">
                  <c:v>3.97</c:v>
                </c:pt>
                <c:pt idx="4">
                  <c:v>2.79</c:v>
                </c:pt>
                <c:pt idx="5">
                  <c:v>2.28</c:v>
                </c:pt>
                <c:pt idx="6">
                  <c:v>22.87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ventas minoristas de snacks salados en EE. UU. (Circana, vía Utz))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c:formatCode>
                <c:ptCount val="5"/>
                <c:pt idx="0">
                  <c:v>30000</c:v>
                </c:pt>
                <c:pt idx="1">
                  <c:v>35000</c:v>
                </c:pt>
                <c:pt idx="2">
                  <c:v>38000</c:v>
                </c:pt>
                <c:pt idx="3">
                  <c:v>39000</c:v>
                </c:pt>
                <c:pt idx="4">
                  <c:v>42000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PepsiCo</c:v>
                </c:pt>
                <c:pt idx="1">
                  <c:v>The Coca-Cola Company</c:v>
                </c:pt>
                <c:pt idx="2">
                  <c:v>Keurig Dr Pepper</c:v>
                </c:pt>
                <c:pt idx="3">
                  <c:v>Monster Beverage</c:v>
                </c:pt>
                <c:pt idx="4">
                  <c:v>Celsius Holdings</c:v>
                </c:pt>
                <c:pt idx="5">
                  <c:v>Mondelez International</c:v>
                </c:pt>
                <c:pt idx="6">
                  <c:v>Campbell's (Snyder's-Lance)</c:v>
                </c:pt>
                <c:pt idx="7">
                  <c:v>General Mills</c:v>
                </c:pt>
                <c:pt idx="8">
                  <c:v>Utz Brands</c:v>
                </c:pt>
              </c:strCache>
            </c:strRef>
          </c:cat>
          <c:val>
            <c:numRef>
              <c:f>Hoja1!$B$2:$B$10</c:f>
              <c:numCache>
                <c:formatCode>0.0"%"</c:formatCode>
                <c:ptCount val="9"/>
                <c:pt idx="0">
                  <c:v>15.9</c:v>
                </c:pt>
                <c:pt idx="1">
                  <c:v>28.7</c:v>
                </c:pt>
                <c:pt idx="2">
                  <c:v>21.5</c:v>
                </c:pt>
                <c:pt idx="3">
                  <c:v>29.2</c:v>
                </c:pt>
                <c:pt idx="4">
                  <c:v>5.6</c:v>
                </c:pt>
                <c:pt idx="5">
                  <c:v>9.2</c:v>
                </c:pt>
                <c:pt idx="6">
                  <c:v>8.7</c:v>
                </c:pt>
                <c:pt idx="7">
                  <c:v>4.8</c:v>
                </c:pt>
                <c:pt idx="8">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62799</c:v>
                </c:pt>
                <c:pt idx="1">
                  <c:v>63525</c:v>
                </c:pt>
                <c:pt idx="2">
                  <c:v>64661</c:v>
                </c:pt>
                <c:pt idx="3">
                  <c:v>67161</c:v>
                </c:pt>
                <c:pt idx="4">
                  <c:v>70372</c:v>
                </c:pt>
                <c:pt idx="5">
                  <c:v>79474</c:v>
                </c:pt>
                <c:pt idx="6">
                  <c:v>86392</c:v>
                </c:pt>
                <c:pt idx="7">
                  <c:v>91471</c:v>
                </c:pt>
                <c:pt idx="8">
                  <c:v>91854</c:v>
                </c:pt>
                <c:pt idx="9">
                  <c:v>93925</c:v>
                </c:pt>
                <c:pt idx="10">
                  <c:v>99373</c:v>
                </c:pt>
                <c:pt idx="11">
                  <c:v>102155</c:v>
                </c:pt>
                <c:pt idx="12">
                  <c:v>105731</c:v>
                </c:pt>
                <c:pt idx="13">
                  <c:v>109431</c:v>
                </c:pt>
                <c:pt idx="14">
                  <c:v>112988</c:v>
                </c:pt>
                <c:pt idx="15">
                  <c:v>116660</c:v>
                </c:pt>
                <c:pt idx="16">
                  <c:v>120159</c:v>
                </c:pt>
                <c:pt idx="17">
                  <c:v>123764</c:v>
                </c:pt>
                <c:pt idx="18">
                  <c:v>127477</c:v>
                </c:pt>
                <c:pt idx="19">
                  <c:v>131302</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12780</c:v>
                </c:pt>
                <c:pt idx="1">
                  <c:v>12859</c:v>
                </c:pt>
                <c:pt idx="2">
                  <c:v>13019</c:v>
                </c:pt>
                <c:pt idx="3">
                  <c:v>13034</c:v>
                </c:pt>
                <c:pt idx="4">
                  <c:v>13079</c:v>
                </c:pt>
                <c:pt idx="5">
                  <c:v>14124</c:v>
                </c:pt>
                <c:pt idx="6">
                  <c:v>15088</c:v>
                </c:pt>
                <c:pt idx="7">
                  <c:v>16823</c:v>
                </c:pt>
                <c:pt idx="8">
                  <c:v>17858</c:v>
                </c:pt>
                <c:pt idx="9">
                  <c:v>18363</c:v>
                </c:pt>
                <c:pt idx="10">
                  <c:v>19080</c:v>
                </c:pt>
                <c:pt idx="11">
                  <c:v>19614</c:v>
                </c:pt>
                <c:pt idx="12">
                  <c:v>20512</c:v>
                </c:pt>
                <c:pt idx="13">
                  <c:v>21448</c:v>
                </c:pt>
                <c:pt idx="14">
                  <c:v>22146</c:v>
                </c:pt>
                <c:pt idx="15">
                  <c:v>22865</c:v>
                </c:pt>
                <c:pt idx="16">
                  <c:v>23551</c:v>
                </c:pt>
                <c:pt idx="17">
                  <c:v>24258</c:v>
                </c:pt>
                <c:pt idx="18">
                  <c:v>24986</c:v>
                </c:pt>
                <c:pt idx="19">
                  <c:v>25735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55.1</c:v>
                </c:pt>
                <c:pt idx="1">
                  <c:v>54.7</c:v>
                </c:pt>
                <c:pt idx="2">
                  <c:v>54.6</c:v>
                </c:pt>
                <c:pt idx="3">
                  <c:v>55.1</c:v>
                </c:pt>
                <c:pt idx="4">
                  <c:v>54.8</c:v>
                </c:pt>
                <c:pt idx="5">
                  <c:v>53.3</c:v>
                </c:pt>
                <c:pt idx="6">
                  <c:v>53</c:v>
                </c:pt>
                <c:pt idx="7">
                  <c:v>54.2</c:v>
                </c:pt>
                <c:pt idx="8">
                  <c:v>54.6</c:v>
                </c:pt>
                <c:pt idx="9">
                  <c:v>54.1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20.4</c:v>
                </c:pt>
                <c:pt idx="1">
                  <c:v>20.2</c:v>
                </c:pt>
                <c:pt idx="2">
                  <c:v>20.1</c:v>
                </c:pt>
                <c:pt idx="3">
                  <c:v>19.4</c:v>
                </c:pt>
                <c:pt idx="4">
                  <c:v>18.6</c:v>
                </c:pt>
                <c:pt idx="5">
                  <c:v>17.8</c:v>
                </c:pt>
                <c:pt idx="6">
                  <c:v>17.5</c:v>
                </c:pt>
                <c:pt idx="7">
                  <c:v>18.4</c:v>
                </c:pt>
                <c:pt idx="8">
                  <c:v>19.4</c:v>
                </c:pt>
                <c:pt idx="9">
                  <c:v>19.6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16.6</c:v>
                </c:pt>
                <c:pt idx="1">
                  <c:v>16.5</c:v>
                </c:pt>
                <c:pt idx="2">
                  <c:v>16.4</c:v>
                </c:pt>
                <c:pt idx="3">
                  <c:v>15.8</c:v>
                </c:pt>
                <c:pt idx="4">
                  <c:v>15</c:v>
                </c:pt>
                <c:pt idx="5">
                  <c:v>14.4</c:v>
                </c:pt>
                <c:pt idx="6">
                  <c:v>14.3</c:v>
                </c:pt>
                <c:pt idx="7">
                  <c:v>15.2</c:v>
                </c:pt>
                <c:pt idx="8">
                  <c:v>16</c:v>
                </c:pt>
                <c:pt idx="9">
                  <c:v>15.9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10.1</c:v>
                </c:pt>
                <c:pt idx="1">
                  <c:v>7.6</c:v>
                </c:pt>
                <c:pt idx="2">
                  <c:v>19.4</c:v>
                </c:pt>
                <c:pt idx="3">
                  <c:v>10.9</c:v>
                </c:pt>
                <c:pt idx="4">
                  <c:v>10.1</c:v>
                </c:pt>
                <c:pt idx="5">
                  <c:v>9.6</c:v>
                </c:pt>
                <c:pt idx="6">
                  <c:v>10.3</c:v>
                </c:pt>
                <c:pt idx="7">
                  <c:v>9.9</c:v>
                </c:pt>
                <c:pt idx="8">
                  <c:v>10.4</c:v>
                </c:pt>
                <c:pt idx="9">
                  <c:v>8.8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-0.2</c:v>
                </c:pt>
                <c:pt idx="1">
                  <c:v>-1.8</c:v>
                </c:pt>
                <c:pt idx="2">
                  <c:v>1</c:v>
                </c:pt>
                <c:pt idx="3">
                  <c:v>2.7</c:v>
                </c:pt>
                <c:pt idx="4">
                  <c:v>5.6</c:v>
                </c:pt>
                <c:pt idx="5">
                  <c:v>8.5</c:v>
                </c:pt>
                <c:pt idx="6">
                  <c:v>6.4</c:v>
                </c:pt>
                <c:pt idx="7">
                  <c:v>5.6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2.1</c:v>
                </c:pt>
                <c:pt idx="1">
                  <c:v>1</c:v>
                </c:pt>
                <c:pt idx="2">
                  <c:v>2</c:v>
                </c:pt>
                <c:pt idx="3">
                  <c:v>1</c:v>
                </c:pt>
                <c:pt idx="4">
                  <c:v>2.1</c:v>
                </c:pt>
                <c:pt idx="5">
                  <c:v>2.6</c:v>
                </c:pt>
                <c:pt idx="6">
                  <c:v>2.4</c:v>
                </c:pt>
                <c:pt idx="7">
                  <c:v>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39</c:v>
                </c:pt>
                <c:pt idx="1">
                  <c:v>40</c:v>
                </c:pt>
                <c:pt idx="2">
                  <c:v>40</c:v>
                </c:pt>
                <c:pt idx="3">
                  <c:v>43</c:v>
                </c:pt>
                <c:pt idx="4">
                  <c:v>44</c:v>
                </c:pt>
                <c:pt idx="5">
                  <c:v>40</c:v>
                </c:pt>
                <c:pt idx="6">
                  <c:v>43</c:v>
                </c:pt>
                <c:pt idx="7">
                  <c:v>43</c:v>
                </c:pt>
                <c:pt idx="8">
                  <c:v>41</c:v>
                </c:pt>
                <c:pt idx="9">
                  <c:v>45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35</c:v>
                </c:pt>
                <c:pt idx="1">
                  <c:v>37</c:v>
                </c:pt>
                <c:pt idx="2">
                  <c:v>39</c:v>
                </c:pt>
                <c:pt idx="3">
                  <c:v>40</c:v>
                </c:pt>
                <c:pt idx="4">
                  <c:v>48</c:v>
                </c:pt>
                <c:pt idx="5">
                  <c:v>43</c:v>
                </c:pt>
                <c:pt idx="6">
                  <c:v>47</c:v>
                </c:pt>
                <c:pt idx="7">
                  <c:v>46</c:v>
                </c:pt>
                <c:pt idx="8">
                  <c:v>46</c:v>
                </c:pt>
                <c:pt idx="9">
                  <c:v>50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80</c:v>
                </c:pt>
                <c:pt idx="1">
                  <c:v>85</c:v>
                </c:pt>
                <c:pt idx="2">
                  <c:v>90</c:v>
                </c:pt>
                <c:pt idx="3">
                  <c:v>97</c:v>
                </c:pt>
                <c:pt idx="4">
                  <c:v>102</c:v>
                </c:pt>
                <c:pt idx="5">
                  <c:v>97</c:v>
                </c:pt>
                <c:pt idx="6">
                  <c:v>97</c:v>
                </c:pt>
                <c:pt idx="7">
                  <c:v>101</c:v>
                </c:pt>
                <c:pt idx="8">
                  <c:v>96</c:v>
                </c:pt>
                <c:pt idx="9">
                  <c:v>99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7722</c:v>
                </c:pt>
                <c:pt idx="1">
                  <c:v>7241</c:v>
                </c:pt>
                <c:pt idx="2">
                  <c:v>6267</c:v>
                </c:pt>
                <c:pt idx="3">
                  <c:v>5587</c:v>
                </c:pt>
                <c:pt idx="4">
                  <c:v>6428</c:v>
                </c:pt>
                <c:pt idx="5">
                  <c:v>7157</c:v>
                </c:pt>
                <c:pt idx="6">
                  <c:v>5855</c:v>
                </c:pt>
                <c:pt idx="7">
                  <c:v>8122</c:v>
                </c:pt>
                <c:pt idx="8">
                  <c:v>7531</c:v>
                </c:pt>
                <c:pt idx="9">
                  <c:v>8200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6329</c:v>
                </c:pt>
                <c:pt idx="1">
                  <c:v>4857</c:v>
                </c:pt>
                <c:pt idx="2">
                  <c:v>12515</c:v>
                </c:pt>
                <c:pt idx="3">
                  <c:v>7314</c:v>
                </c:pt>
                <c:pt idx="4">
                  <c:v>7120</c:v>
                </c:pt>
                <c:pt idx="5">
                  <c:v>7618</c:v>
                </c:pt>
                <c:pt idx="6">
                  <c:v>8910</c:v>
                </c:pt>
                <c:pt idx="7">
                  <c:v>9074</c:v>
                </c:pt>
                <c:pt idx="8">
                  <c:v>9578</c:v>
                </c:pt>
                <c:pt idx="9">
                  <c:v>8240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24.1</c:v>
                </c:pt>
                <c:pt idx="1">
                  <c:v>20</c:v>
                </c:pt>
                <c:pt idx="2">
                  <c:v>30.9</c:v>
                </c:pt>
                <c:pt idx="3">
                  <c:v>21.2</c:v>
                </c:pt>
                <c:pt idx="4">
                  <c:v>18.6</c:v>
                </c:pt>
                <c:pt idx="5">
                  <c:v>18.1</c:v>
                </c:pt>
                <c:pt idx="6">
                  <c:v>20.4</c:v>
                </c:pt>
                <c:pt idx="7">
                  <c:v>21.5</c:v>
                </c:pt>
                <c:pt idx="8">
                  <c:v>22.4</c:v>
                </c:pt>
                <c:pt idx="9">
                  <c:v>21.3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7.5</c:v>
                </c:pt>
                <c:pt idx="1">
                  <c:v>7.5</c:v>
                </c:pt>
                <c:pt idx="2">
                  <c:v>7.5</c:v>
                </c:pt>
                <c:pt idx="3">
                  <c:v>7.5</c:v>
                </c:pt>
                <c:pt idx="4">
                  <c:v>7.5</c:v>
                </c:pt>
                <c:pt idx="5">
                  <c:v>7.5</c:v>
                </c:pt>
                <c:pt idx="6">
                  <c:v>7.5</c:v>
                </c:pt>
                <c:pt idx="7">
                  <c:v>7.5</c:v>
                </c:pt>
                <c:pt idx="8">
                  <c:v>7.5</c:v>
                </c:pt>
                <c:pt idx="9">
                  <c:v>7.5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56.3</c:v>
                </c:pt>
                <c:pt idx="1">
                  <c:v>43.6</c:v>
                </c:pt>
                <c:pt idx="2">
                  <c:v>97.9</c:v>
                </c:pt>
                <c:pt idx="3">
                  <c:v>49.9</c:v>
                </c:pt>
                <c:pt idx="4">
                  <c:v>50.4</c:v>
                </c:pt>
                <c:pt idx="5">
                  <c:v>51.7</c:v>
                </c:pt>
                <c:pt idx="6">
                  <c:v>53.7</c:v>
                </c:pt>
                <c:pt idx="7">
                  <c:v>50.9</c:v>
                </c:pt>
                <c:pt idx="8">
                  <c:v>52.4</c:v>
                </c:pt>
                <c:pt idx="9">
                  <c:v>42.9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1.63</c:v>
                </c:pt>
                <c:pt idx="1">
                  <c:v>1.54</c:v>
                </c:pt>
                <c:pt idx="2">
                  <c:v>1.79</c:v>
                </c:pt>
                <c:pt idx="3">
                  <c:v>2.02</c:v>
                </c:pt>
                <c:pt idx="4">
                  <c:v>2.65</c:v>
                </c:pt>
                <c:pt idx="5">
                  <c:v>2.43</c:v>
                </c:pt>
                <c:pt idx="6">
                  <c:v>2.24</c:v>
                </c:pt>
                <c:pt idx="7">
                  <c:v>2.03</c:v>
                </c:pt>
                <c:pt idx="8">
                  <c:v>1.96</c:v>
                </c:pt>
                <c:pt idx="9">
                  <c:v>2.16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6861</c:v>
                </c:pt>
                <c:pt idx="1">
                  <c:v>3933</c:v>
                </c:pt>
                <c:pt idx="2">
                  <c:v>4203</c:v>
                </c:pt>
                <c:pt idx="3">
                  <c:v>4043</c:v>
                </c:pt>
                <c:pt idx="4">
                  <c:v>4171</c:v>
                </c:pt>
                <c:pt idx="5">
                  <c:v>25971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212</c:v>
                </c:pt>
                <c:pt idx="1">
                  <c:v>61</c:v>
                </c:pt>
                <c:pt idx="2">
                  <c:v>1496</c:v>
                </c:pt>
                <c:pt idx="3">
                  <c:v>2717</c:v>
                </c:pt>
                <c:pt idx="4">
                  <c:v>6372</c:v>
                </c:pt>
                <c:pt idx="5">
                  <c:v>61</c:v>
                </c:pt>
                <c:pt idx="6">
                  <c:v>873</c:v>
                </c:pt>
                <c:pt idx="7">
                  <c:v>314</c:v>
                </c:pt>
                <c:pt idx="8">
                  <c:v>256</c:v>
                </c:pt>
                <c:pt idx="9">
                  <c:v>3391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4227</c:v>
                </c:pt>
                <c:pt idx="1">
                  <c:v>4472</c:v>
                </c:pt>
                <c:pt idx="2">
                  <c:v>4930</c:v>
                </c:pt>
                <c:pt idx="3">
                  <c:v>5304</c:v>
                </c:pt>
                <c:pt idx="4">
                  <c:v>5509</c:v>
                </c:pt>
                <c:pt idx="5">
                  <c:v>5815</c:v>
                </c:pt>
                <c:pt idx="6">
                  <c:v>6172</c:v>
                </c:pt>
                <c:pt idx="7">
                  <c:v>6682</c:v>
                </c:pt>
                <c:pt idx="8">
                  <c:v>7229</c:v>
                </c:pt>
                <c:pt idx="9">
                  <c:v>7638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3000</c:v>
                </c:pt>
                <c:pt idx="1">
                  <c:v>2000</c:v>
                </c:pt>
                <c:pt idx="2">
                  <c:v>2000</c:v>
                </c:pt>
                <c:pt idx="3">
                  <c:v>3000</c:v>
                </c:pt>
                <c:pt idx="4">
                  <c:v>2000</c:v>
                </c:pt>
                <c:pt idx="5">
                  <c:v>106</c:v>
                </c:pt>
                <c:pt idx="6">
                  <c:v>1500</c:v>
                </c:pt>
                <c:pt idx="7">
                  <c:v>1000</c:v>
                </c:pt>
                <c:pt idx="8">
                  <c:v>1000</c:v>
                </c:pt>
                <c:pt idx="9">
                  <c:v>1000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The Vanguard Group (hasta la reorganización de 2026)</c:v>
                </c:pt>
                <c:pt idx="1">
                  <c:v>Vanguard Capital Management (y filiales)</c:v>
                </c:pt>
                <c:pt idx="2">
                  <c:v>BlackRock, Inc.</c:v>
                </c:pt>
                <c:pt idx="3">
                  <c:v>Elliott Investment Management</c:v>
                </c:pt>
                <c:pt idx="4">
                  <c:v>Consejeros y directivos (21 personas)</c:v>
                </c:pt>
                <c:pt idx="5">
                  <c:v>Autocartera (acciones recompradas)</c:v>
                </c:pt>
              </c:strCache>
            </c:strRef>
          </c:cat>
          <c:val>
            <c:numRef>
              <c:f>Hoja1!$B$2:$B$7</c:f>
              <c:numCache>
                <c:formatCode>0.0"%"</c:formatCode>
                <c:ptCount val="6"/>
                <c:pt idx="0">
                  <c:v>10.04</c:v>
                </c:pt>
                <c:pt idx="1">
                  <c:v>7.51</c:v>
                </c:pt>
                <c:pt idx="2">
                  <c:v>8.2</c:v>
                </c:pt>
                <c:pt idx="3">
                  <c:v>0.09</c:v>
                </c:pt>
                <c:pt idx="4">
                  <c:v>0.12</c:v>
                </c:pt>
                <c:pt idx="5">
                  <c:v>26.8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7.8</c:v>
                </c:pt>
                <c:pt idx="1">
                  <c:v>17.8</c:v>
                </c:pt>
                <c:pt idx="2">
                  <c:v>-4.8</c:v>
                </c:pt>
                <c:pt idx="3">
                  <c:v>27.4</c:v>
                </c:pt>
                <c:pt idx="4">
                  <c:v>11.7</c:v>
                </c:pt>
                <c:pt idx="5">
                  <c:v>20.6</c:v>
                </c:pt>
                <c:pt idx="6">
                  <c:v>6.8</c:v>
                </c:pt>
                <c:pt idx="7">
                  <c:v>-3.3</c:v>
                </c:pt>
                <c:pt idx="8">
                  <c:v>-7.6</c:v>
                </c:pt>
                <c:pt idx="9">
                  <c:v>-1.8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13.5</c:v>
                </c:pt>
                <c:pt idx="1">
                  <c:v>15</c:v>
                </c:pt>
                <c:pt idx="2">
                  <c:v>13.9</c:v>
                </c:pt>
                <c:pt idx="3">
                  <c:v>16.9</c:v>
                </c:pt>
                <c:pt idx="4">
                  <c:v>18.1</c:v>
                </c:pt>
                <c:pt idx="5">
                  <c:v>19.1</c:v>
                </c:pt>
                <c:pt idx="6">
                  <c:v>18.9</c:v>
                </c:pt>
                <c:pt idx="7">
                  <c:v>16</c:v>
                </c:pt>
                <c:pt idx="8">
                  <c:v>13.8</c:v>
                </c:pt>
                <c:pt idx="9">
                  <c:v>12.9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15.5</c:v>
                </c:pt>
                <c:pt idx="1">
                  <c:v>15.5</c:v>
                </c:pt>
                <c:pt idx="2">
                  <c:v>15.5</c:v>
                </c:pt>
                <c:pt idx="3">
                  <c:v>15.5</c:v>
                </c:pt>
                <c:pt idx="4">
                  <c:v>15.5</c:v>
                </c:pt>
                <c:pt idx="5">
                  <c:v>15.5</c:v>
                </c:pt>
                <c:pt idx="6">
                  <c:v>15.5</c:v>
                </c:pt>
                <c:pt idx="7">
                  <c:v>15.5</c:v>
                </c:pt>
                <c:pt idx="8">
                  <c:v>15.5</c:v>
                </c:pt>
                <c:pt idx="9">
                  <c:v>15.5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PepsiCo</c:v>
                </c:pt>
                <c:pt idx="1">
                  <c:v>Coca-Cola</c:v>
                </c:pt>
                <c:pt idx="2">
                  <c:v>Mondelez</c:v>
                </c:pt>
                <c:pt idx="3">
                  <c:v>Keurig Dr Pepper</c:v>
                </c:pt>
                <c:pt idx="4">
                  <c:v>Monster Beverage</c:v>
                </c:pt>
                <c:pt idx="5">
                  <c:v>Kraft Heinz</c:v>
                </c:pt>
                <c:pt idx="6">
                  <c:v>General Mills</c:v>
                </c:pt>
              </c:strCache>
            </c:strRef>
          </c:cat>
          <c:val>
            <c:numRef>
              <c:f>Hoja1!$B$2:$B$8</c:f>
              <c:numCache>
                <c:formatCode>0.0"x"</c:formatCode>
                <c:ptCount val="7"/>
                <c:pt idx="0">
                  <c:v>10.9</c:v>
                </c:pt>
                <c:pt idx="1">
                  <c:v>22.4</c:v>
                </c:pt>
                <c:pt idx="2">
                  <c:v>13.7</c:v>
                </c:pt>
                <c:pt idx="3">
                  <c:v>10.1</c:v>
                </c:pt>
                <c:pt idx="4">
                  <c:v>25.1</c:v>
                </c:pt>
                <c:pt idx="5">
                  <c:v>8.7</c:v>
                </c:pt>
                <c:pt idx="6">
                  <c:v>9.9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PepsiCo</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2.7</c:v>
                </c:pt>
              </c:numCache>
            </c:numRef>
          </c:xVal>
          <c:yVal>
            <c:numRef>
              <c:f>Hoja1!$C$2</c:f>
              <c:numCache>
                <c:formatCode>0.0"x"</c:formatCode>
                <c:ptCount val="1"/>
                <c:pt idx="0">
                  <c:v>10.9</c:v>
                </c:pt>
              </c:numCache>
            </c:numRef>
          </c:yVal>
          <c:smooth val="0"/>
        </c:ser>
        <c:ser>
          <c:idx val="1"/>
          <c:order val="1"/>
          <c:tx>
            <c:strRef>
              <c:f>Hoja1!$A$3</c:f>
              <c:strCache>
                <c:ptCount val="1"/>
                <c:pt idx="0">
                  <c:v>Coca-Cola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0.9</c:v>
                </c:pt>
              </c:numCache>
            </c:numRef>
          </c:xVal>
          <c:yVal>
            <c:numRef>
              <c:f>Hoja1!$C$3</c:f>
              <c:numCache>
                <c:formatCode>0.0"x"</c:formatCode>
                <c:ptCount val="1"/>
                <c:pt idx="0">
                  <c:v>22.4</c:v>
                </c:pt>
              </c:numCache>
            </c:numRef>
          </c:yVal>
          <c:smooth val="0"/>
        </c:ser>
        <c:ser>
          <c:idx val="2"/>
          <c:order val="2"/>
          <c:tx>
            <c:strRef>
              <c:f>Hoja1!$A$4</c:f>
              <c:strCache>
                <c:ptCount val="1"/>
                <c:pt idx="0">
                  <c:v>Mondelez</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3.2</c:v>
                </c:pt>
              </c:numCache>
            </c:numRef>
          </c:xVal>
          <c:yVal>
            <c:numRef>
              <c:f>Hoja1!$C$4</c:f>
              <c:numCache>
                <c:formatCode>0.0"x"</c:formatCode>
                <c:ptCount val="1"/>
                <c:pt idx="0">
                  <c:v>13.7</c:v>
                </c:pt>
              </c:numCache>
            </c:numRef>
          </c:yVal>
          <c:smooth val="0"/>
        </c:ser>
        <c:ser>
          <c:idx val="3"/>
          <c:order val="3"/>
          <c:tx>
            <c:strRef>
              <c:f>Hoja1!$A$5</c:f>
              <c:strCache>
                <c:ptCount val="1"/>
                <c:pt idx="0">
                  <c:v>Keurig Dr Pepper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20.9</c:v>
                </c:pt>
              </c:numCache>
            </c:numRef>
          </c:xVal>
          <c:yVal>
            <c:numRef>
              <c:f>Hoja1!$C$5</c:f>
              <c:numCache>
                <c:formatCode>0.0"x"</c:formatCode>
                <c:ptCount val="1"/>
                <c:pt idx="0">
                  <c:v>10.1</c:v>
                </c:pt>
              </c:numCache>
            </c:numRef>
          </c:yVal>
          <c:smooth val="0"/>
        </c:ser>
        <c:ser>
          <c:idx val="4"/>
          <c:order val="4"/>
          <c:tx>
            <c:strRef>
              <c:f>Hoja1!$A$6</c:f>
              <c:strCache>
                <c:ptCount val="1"/>
                <c:pt idx="0">
                  <c:v>Monster Beverage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11.1</c:v>
                </c:pt>
              </c:numCache>
            </c:numRef>
          </c:xVal>
          <c:yVal>
            <c:numRef>
              <c:f>Hoja1!$C$6</c:f>
              <c:numCache>
                <c:formatCode>0.0"x"</c:formatCode>
                <c:ptCount val="1"/>
                <c:pt idx="0">
                  <c:v>25.1</c:v>
                </c:pt>
              </c:numCache>
            </c:numRef>
          </c:yVal>
          <c:smooth val="0"/>
        </c:ser>
        <c:ser>
          <c:idx val="5"/>
          <c:order val="5"/>
          <c:tx>
            <c:strRef>
              <c:f>Hoja1!$A$7</c:f>
              <c:strCache>
                <c:ptCount val="1"/>
                <c:pt idx="0">
                  <c:v>Kraft Heinz</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-0.1</c:v>
                </c:pt>
              </c:numCache>
            </c:numRef>
          </c:xVal>
          <c:yVal>
            <c:numRef>
              <c:f>Hoja1!$C$7</c:f>
              <c:numCache>
                <c:formatCode>0.0"x"</c:formatCode>
                <c:ptCount val="1"/>
                <c:pt idx="0">
                  <c:v>8.7</c:v>
                </c:pt>
              </c:numCache>
            </c:numRef>
          </c:yVal>
          <c:smooth val="0"/>
        </c:ser>
        <c:ser>
          <c:idx val="6"/>
          <c:order val="6"/>
          <c:tx>
            <c:strRef>
              <c:f>Hoja1!$A$8</c:f>
              <c:strCache>
                <c:ptCount val="1"/>
                <c:pt idx="0">
                  <c:v>General Mills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-2.6</c:v>
                </c:pt>
              </c:numCache>
            </c:numRef>
          </c:xVal>
          <c:yVal>
            <c:numRef>
              <c:f>Hoja1!$C$8</c:f>
              <c:numCache>
                <c:formatCode>0.0"x"</c:formatCode>
                <c:ptCount val="1"/>
                <c:pt idx="0">
                  <c:v>9.9</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JDE Peet's</c:v>
                </c:pt>
                <c:pt idx="1">
                  <c:v>WK Kellogg Co</c:v>
                </c:pt>
                <c:pt idx="2">
                  <c:v>poppi</c:v>
                </c:pt>
                <c:pt idx="3">
                  <c:v>Siete (Garza Food Ventures)</c:v>
                </c:pt>
                <c:pt idx="4">
                  <c:v>Kellanova</c:v>
                </c:pt>
                <c:pt idx="5">
                  <c:v>Hostess Brands</c:v>
                </c:pt>
                <c:pt idx="6">
                  <c:v>Sovos Brands</c:v>
                </c:pt>
              </c:strCache>
            </c:strRef>
          </c:cat>
          <c:val>
            <c:numRef>
              <c:f>Hoja1!$B$2:$B$8</c:f>
              <c:numCache>
                <c:formatCode>0.0"x"</c:formatCode>
                <c:ptCount val="7"/>
                <c:pt idx="0">
                  <c:v>12.9</c:v>
                </c:pt>
                <c:pt idx="4">
                  <c:v>16.4</c:v>
                </c:pt>
                <c:pt idx="5">
                  <c:v>17.2</c:v>
                </c:pt>
                <c:pt idx="6">
                  <c:v>19.8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10958</c:v>
                </c:pt>
                <c:pt idx="1">
                  <c:v>11139</c:v>
                </c:pt>
                <c:pt idx="2">
                  <c:v>11653</c:v>
                </c:pt>
                <c:pt idx="3">
                  <c:v>12233</c:v>
                </c:pt>
                <c:pt idx="4">
                  <c:v>12759</c:v>
                </c:pt>
                <c:pt idx="5">
                  <c:v>13174</c:v>
                </c:pt>
                <c:pt idx="6">
                  <c:v>13706</c:v>
                </c:pt>
                <c:pt idx="7">
                  <c:v>14117</c:v>
                </c:pt>
                <c:pt idx="8">
                  <c:v>14668</c:v>
                </c:pt>
                <c:pt idx="9">
                  <c:v>15109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86455</c:v>
                </c:pt>
                <c:pt idx="1">
                  <c:v>175443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128,34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93.54</c:v>
                </c:pt>
                <c:pt idx="1">
                  <c:v>163.03</c:v>
                </c:pt>
                <c:pt idx="2">
                  <c:v>199.71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128,34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(123,47 – 171,48)</c:v>
                </c:pt>
                <c:pt idx="1">
                  <c:v>Precio objetivo de los analistas (124,00 – 169,00)</c:v>
                </c:pt>
                <c:pt idx="2">
                  <c:v>Comparables: EV/EBITDA NTM (114,30 – 262,01)</c:v>
                </c:pt>
                <c:pt idx="3">
                  <c:v>Comparables: PER NTM (98,13 – 201,71)</c:v>
                </c:pt>
                <c:pt idx="4">
                  <c:v>Transacciones precedentes (EV/EBITDA) (188,79 – 221,37)</c:v>
                </c:pt>
                <c:pt idx="5">
                  <c:v>DCF (WACC y g ± 0,5) (133,66 – 208,73)</c:v>
                </c:pt>
                <c:pt idx="6">
                  <c:v>Escenarios (bajista – alcista) (93,54 – 199,71)</c:v>
                </c:pt>
                <c:pt idx="7">
                  <c:v>DCF con la prima implícita del mercado (4,2 %)</c:v>
                </c:pt>
                <c:pt idx="8">
                  <c:v>Precio actual (128,34)</c:v>
                </c:pt>
              </c:strCache>
            </c:strRef>
          </c:cat>
          <c:val>
            <c:numRef>
              <c:f>Hoja1!$B$2:$B$10</c:f>
              <c:numCache>
                <c:formatCode>#,##0</c:formatCode>
                <c:ptCount val="9"/>
                <c:pt idx="0">
                  <c:v>123.47</c:v>
                </c:pt>
                <c:pt idx="1">
                  <c:v>124</c:v>
                </c:pt>
                <c:pt idx="2">
                  <c:v>114.3</c:v>
                </c:pt>
                <c:pt idx="3">
                  <c:v>98.13</c:v>
                </c:pt>
                <c:pt idx="4">
                  <c:v>188.79</c:v>
                </c:pt>
                <c:pt idx="5">
                  <c:v>133.66</c:v>
                </c:pt>
                <c:pt idx="6">
                  <c:v>93.54</c:v>
                </c:pt>
                <c:pt idx="7">
                  <c:v>158.73</c:v>
                </c:pt>
                <c:pt idx="8">
                  <c:v>127.7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(123,47 – 171,48)</c:v>
                </c:pt>
                <c:pt idx="1">
                  <c:v>Precio objetivo de los analistas (124,00 – 169,00)</c:v>
                </c:pt>
                <c:pt idx="2">
                  <c:v>Comparables: EV/EBITDA NTM (114,30 – 262,01)</c:v>
                </c:pt>
                <c:pt idx="3">
                  <c:v>Comparables: PER NTM (98,13 – 201,71)</c:v>
                </c:pt>
                <c:pt idx="4">
                  <c:v>Transacciones precedentes (EV/EBITDA) (188,79 – 221,37)</c:v>
                </c:pt>
                <c:pt idx="5">
                  <c:v>DCF (WACC y g ± 0,5) (133,66 – 208,73)</c:v>
                </c:pt>
                <c:pt idx="6">
                  <c:v>Escenarios (bajista – alcista) (93,54 – 199,71)</c:v>
                </c:pt>
                <c:pt idx="7">
                  <c:v>DCF con la prima implícita del mercado (4,2 %)</c:v>
                </c:pt>
                <c:pt idx="8">
                  <c:v>Precio actual (128,34)</c:v>
                </c:pt>
              </c:strCache>
            </c:strRef>
          </c:cat>
          <c:val>
            <c:numRef>
              <c:f>Hoja1!$C$2:$C$10</c:f>
              <c:numCache>
                <c:formatCode>#,##0</c:formatCode>
                <c:ptCount val="9"/>
                <c:pt idx="0">
                  <c:v>48.00999999999999</c:v>
                </c:pt>
                <c:pt idx="1">
                  <c:v>45</c:v>
                </c:pt>
                <c:pt idx="2">
                  <c:v>147.70999999999998</c:v>
                </c:pt>
                <c:pt idx="3">
                  <c:v>103.58000000000001</c:v>
                </c:pt>
                <c:pt idx="4">
                  <c:v>32.58000000000001</c:v>
                </c:pt>
                <c:pt idx="5">
                  <c:v>75.07</c:v>
                </c:pt>
                <c:pt idx="6">
                  <c:v>106.17</c:v>
                </c:pt>
                <c:pt idx="7">
                  <c:v>51.08000000000001</c:v>
                </c:pt>
                <c:pt idx="8">
                  <c:v>1.279999999999987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2026-10-08T08:22:21.875Z</dcterms:created>
  <dcterms:modified xsi:type="dcterms:W3CDTF">2026-10-08T08:22:21.879Z</dcterms:modified>
</cp:coreProperties>
</file>

<file path=docProps/custom.xml><?xml version="1.0" encoding="utf-8"?>
<Properties xmlns="http://schemas.openxmlformats.org/officeDocument/2006/custom-properties" xmlns:vt="http://schemas.openxmlformats.org/officeDocument/2006/docPropsVTypes"/>
</file>