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S&amp;P Global Inc.</w:t>
      </w:r>
    </w:p>
    <w:p>
      <w:pPr>
        <w:spacing w:after="60"/>
        <w:rPr>
          <w:color w:val="52514E"/>
          <w:sz w:val="22"/>
          <w:szCs w:val="22"/>
        </w:rPr>
      </w:pPr>
      <w:r>
        <w:rPr>
          <w:color w:val="52514E"/>
          <w:sz w:val="22"/>
          <w:szCs w:val="22"/>
        </w:rPr>
        <w:t xml:space="preserve">SPGI · New York Stock Exchange · ISIN US78409V1044 · Financials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12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407,82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351,69 USD · mercado 398,10</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-12,8 % · mercado -1,4 %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120.266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17,1x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1,3x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Global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SPGI / US78409V1044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New York Stock Exchange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Financials / Capital Markets (Financial Exchanges &amp; Data)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Nueva York (55 Water Street) · 1888</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www.spglobal.com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407,82 (9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361,03 – 522,47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294,9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120.266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138.023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797 M USD/día (1,91 M de acciones;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Valor objetivo </w:t>
      </w:r>
      <w:r>
        <w:rPr>
          <w:b/>
          <w:bCs/>
        </w:rPr>
        <w:t xml:space="preserve">351,69 USD</w:t>
      </w:r>
      <w:r>
        <w:t xml:space="preserve"> frente a 407,82 · con la prima implícita del mercado: 398,10 (-2,4 %) · Rentabilidad total esperada a 12 meses </w:t>
      </w:r>
      <w:r>
        <w:rPr>
          <w:b/>
          <w:bCs/>
        </w:rPr>
        <w:t xml:space="preserve">-12,8 %</w:t>
      </w:r>
      <w:r>
        <w:t xml:space="preserve"> · Alcista / bajista +3,6 % / -48,2 %</w:t>
      </w:r>
    </w:p>
    <w:p>
      <w:pPr>
        <w:spacing w:after="100"/>
      </w:pPr>
      <w:r>
        <w:rPr>
          <w:b/>
        </w:rPr>
        <w:t xml:space="preserve">La recomendación y por qué.</w:t>
      </w:r>
      <w:r>
        <w:t xml:space="preserve"> Mantener, con convicción baja. El valor objetivo es de 351,69 USD frente a un precio de 407,82 USD (cierre del 9-oct-2026), un −13,8 %; con el dividendo, la rentabilidad total esperada a 12 meses es del −12,8 %. Con la prima de riesgo que hoy pide el mercado (4,20 %), el objetivo sube a 398,10 USD y la rentabilidad total a −1,4 %. Manda esa regla relativa, que da Mantener; la absoluta, con nuestro WACC del 10,38 %, da Vender. La convicción es baja precisamente porque las dos reglas discrepan y porque nuestras cifras coinciden con el consenso: lo que nos separa del precio es la tasa de descuento, no el negocio. La subiría un bono a 10 años por debajo del 4,5 % o un precio por debajo de 338,33 USD.</w:t>
      </w:r>
    </w:p>
    <w:p>
      <w:pPr>
        <w:spacing w:after="100"/>
      </w:pPr>
      <w:r>
        <w:rPr>
          <w:b/>
        </w:rPr>
        <w:t xml:space="preserve">El negocio.</w:t>
      </w:r>
      <w:r>
        <w:t xml:space="preserve"> S&amp;P Global, ya sin Mobility (escindida el 1-jul-2026) [9], es un grupo de referencias de mercado con foso amplio: el 49,6 % de las calificaciones vigentes de las agencias registradas en la SEC [12], los índices S&amp;P 500 y Dow Jones (margen del 70 %), Platts en energía y los datos de Market Intelligence [2]. Ratings e Indices aportan el 61 % del beneficio operativo ajustado; el margen EBITDA es del 51,1 % y el capex, del 1,4 % de las ventas. El ROIC contable (9,5 %) aún no cubre el WACC por el fondo de comercio de IHS Markit, pagado en acciones. La calidad sí sostiene el crecimiento que proyectamos (veredicto «Sí»): el 6,4 % medio no pide capital y la mitad sale de subidas de precio que el foso permite.</w:t>
      </w:r>
    </w:p>
    <w:p>
      <w:pPr>
        <w:spacing w:after="100"/>
      </w:pPr>
      <w:r>
        <w:rPr>
          <w:b/>
        </w:rPr>
        <w:t xml:space="preserve">Finanzas.</w:t>
      </w:r>
      <w:r>
        <w:t xml:space="preserve"> Los ingresos sin Mobility crecieron un 10,9 % en el 2T26 y el BPA ajustado un 23 % [3]. La guía de 2026 es de +5,9-7,9 % de ingresos y más de 7.000 M de recompras, que llevarán el apalancamiento bruto a 2,7-2,8 veces, por encima del objetivo [10]. La deuda neta ajustada es de 9.470 M (1,3 veces el EBITDA).</w:t>
      </w:r>
    </w:p>
    <w:p>
      <w:pPr>
        <w:spacing w:after="100"/>
      </w:pPr>
      <w:r>
        <w:rPr>
          <w:b/>
        </w:rPr>
        <w:t xml:space="preserve">Equipo y gobierno.</w:t>
      </w:r>
      <w:r>
        <w:t xml:space="preserve"> Suma, con matices: presidente independiente, 90 % de consejeros independientes, compras en mercado de la consejera delegada y de dos consejeros en 2026 y guía cumplida o superada cada año salvo 2022 [26, 30]. Restan las PSU ligadas solo al BPA ajustado, el 31 % de voto en contra de la remuneración en 2025 y un auditor con 57 años en el cargo [28].</w:t>
      </w:r>
    </w:p>
    <w:p>
      <w:pPr>
        <w:spacing w:after="100"/>
      </w:pPr>
      <w:r>
        <w:rPr>
          <w:b/>
        </w:rPr>
        <w:t xml:space="preserve">Valoración.</w:t>
      </w:r>
      <w:r>
        <w:t xml:space="preserve"> El DCF da 321,80 USD y el DCF inverso dice que el precio descuenta un crecimiento anual del 9,2 % en 2027-2035 frente al 6,3 % de nuestro caso base: rinde un 9,1 % anual con nuestros flujos, por debajo de nuestro coste de capital y casi en el que pide el mercado (9,15 %). Comparables (370,37 USD) y suma de partes (417,40 USD) quedan más cerca del precio. Cotiza a 18,9 veces el EBITDA, un 24 % por debajo de su mediana de 2019-2025, pero con el bono al 5,24 % [56], muy por encima del de entonces. Los analistas (23 de 24 compran, objetivo medio de 516,86 USD) descuentan a una tasa menor [53].</w:t>
      </w:r>
    </w:p>
    <w:p>
      <w:pPr>
        <w:spacing w:after="100"/>
      </w:pPr>
      <w:r>
        <w:rPr>
          <w:b/>
        </w:rPr>
        <w:t xml:space="preserve">Riesgos y catalizadores.</w:t>
      </w:r>
      <w:r>
        <w:t xml:space="preserve"> El mayor riesgo es un frenazo de emisiones como el de 2022: el bajista vale 211,29 USD (−48,2 %). El segundo, la IA en Market Intelligence, el tema que domina los foros, donde el tono está dividido y mejora tras la caída del año [87, 90]. Los resultados del 27-oct-2026 dirán si la emisión floja del 3T pesa en Ratings y si llega una recompra acelerada [51].</w:t>
      </w:r>
    </w:p>
    <w:p>
      <w:pPr>
        <w:spacing w:after="100"/>
      </w:pPr>
      <w:r>
        <w:rPr>
          <w:b/>
        </w:rPr>
        <w:t xml:space="preserve">Qué cambiaría la decisión.</w:t>
      </w:r>
      <w:r>
        <w:t xml:space="preserve"> Compraríamos por debajo de 338,33 USD y venderíamos por encima de 446,65 USD. Pasaríamos a Vender si los ingresos por transacción de Ratings caen más de un 10 % interanual, y a Comprar si el bono baja del 4,5 % con una guía de 2027 por encima del 7 %.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Valor objetivo: </w:t>
      </w:r>
      <w:r>
        <w:rPr>
          <w:b/>
          <w:bCs/>
        </w:rPr>
        <w:t xml:space="preserve">351,69 USD</w:t>
      </w:r>
      <w:r>
        <w:t xml:space="preserve"> (-13,8 % sobre 407,82; rentabilidad total esperada -12,8 %) · con la prima implícita del mercado: 398,10 (-2,4 %)</w:t>
      </w:r>
    </w:p>
    <w:p>
      <w:pPr>
        <w:spacing w:after="100"/>
      </w:pPr>
      <w:r>
        <w:t xml:space="preserve">S&amp;P Global es, tras escindir Mobility el 1-jul-2026, un grupo de cuatro negocios de referencia: calificaciones de crédito con el 49,6 % de las vigentes [12], los índices S&amp;P 500 y Dow Jones, los precios de referencia de Platts y los datos de Market Intelligence [2]. Gana con márgenes EBITDA del 51,1 %, capex del 1,4 % de las ventas y circulante negativo; sus ingresos crecieron cada año salvo 2022, y la guía de 2026 es de +5,9-7,9 % [3].</w:t>
      </w:r>
    </w:p>
    <w:p>
      <w:pPr>
        <w:spacing w:after="100"/>
      </w:pPr>
      <w:r>
        <w:t xml:space="preserve">El precio de 407,82 USD descuenta, según el DCF inverso, un crecimiento anual del 9,2 % durante nueve años, frente al 6,3 % de nuestro caso base y al consenso, con el que coincidimos. Es decir, el mercado acepta una rentabilidad del 9,1 % anual por tener la acción. Los múltiplos (18,9 veces el EBITDA de los últimos doce meses) están en mínimos de siete años, pero el bono a 10 años está en el 5,24 % [56], muy por encima del de 2019-2021.</w:t>
      </w:r>
    </w:p>
    <w:p>
      <w:pPr>
        <w:spacing w:after="100"/>
      </w:pPr>
      <w:r>
        <w:t xml:space="preserve">El mercado acierta en la calidad y quizá se equivoca en el precio del riesgo: con nuestro coste de capital (10,38 %) la acción vale 321,80 USD; con la prima implícita del mercado, 405,64 USD. Para invertir hay que creer que el foso justifica una rentabilidad exigida por debajo de la del mercado o que el crecimiento volverá al 9 %: ni una cosa ni otra está en las cifras de hoy. Por eso es un Mantener, no un Comprar.</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351,69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 / -48,2 %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 frente a 10,4 % y 9,2 %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9,2 %)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398,10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(6,4 %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 un Comprar solo relativo exige ≥ 5 % con nuestro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Vender, relativa Mantener))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338,33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338,33 y 446,65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446,65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338,33 USD, pasaríamos a Comprar.</w:t>
      </w:r>
    </w:p>
    <w:p>
      <w:pPr>
        <w:pStyle w:val="ListParagraph"/>
        <w:numPr>
          <w:ilvl w:val="0"/>
          <w:numId w:val="2"/>
        </w:numPr>
        <w:spacing w:after="60"/>
      </w:pPr>
      <w:r>
        <w:t xml:space="preserve">Si el precio sube por encima de 446,65 USD, pasaríamos a Vender.</w:t>
      </w:r>
    </w:p>
    <w:p>
      <w:pPr>
        <w:pStyle w:val="ListParagraph"/>
        <w:numPr>
          <w:ilvl w:val="0"/>
          <w:numId w:val="2"/>
        </w:numPr>
        <w:spacing w:after="60"/>
      </w:pPr>
      <w:r>
        <w:t xml:space="preserve">Si los ingresos por transacción de Ratings caen más de un 10 % interanual en el 3T26 o el 4T26, pasaríamos a Vender.</w:t>
      </w:r>
    </w:p>
    <w:p>
      <w:pPr>
        <w:pStyle w:val="ListParagraph"/>
        <w:numPr>
          <w:ilvl w:val="0"/>
          <w:numId w:val="2"/>
        </w:numPr>
        <w:spacing w:after="60"/>
      </w:pPr>
      <w:r>
        <w:t xml:space="preserve">Si el bono a 10 años baja del 4,5 % y la guía de 2027 supera el 7 % de crecimiento, pasaríamos a Comprar.</w:t>
      </w:r>
    </w:p>
    <w:p>
      <w:pPr>
        <w:pStyle w:val="ListParagraph"/>
        <w:numPr>
          <w:ilvl w:val="0"/>
          <w:numId w:val="2"/>
        </w:numPr>
        <w:spacing w:after="60"/>
      </w:pPr>
      <w:r>
        <w:t xml:space="preserve">Si las suscripciones de Market Intelligence crecen menos de un 4 % interanual, revisaríamos el escenario base a la baja.</w:t>
      </w:r>
    </w:p>
    <w:p>
      <w:pPr>
        <w:pStyle w:val="Heading2"/>
      </w:pPr>
      <w:r>
        <w:t xml:space="preserve">Dónde discrepamos del mercado</w:t>
      </w:r>
    </w:p>
    <w:p>
      <w:pPr>
        <w:keepNext/>
        <w:spacing w:after="100"/>
      </w:pPr>
      <w:r>
        <w:rPr>
          <w:b/>
          <w:bCs/>
        </w:rPr>
        <w:t xml:space="preserve">Lo que descuenta el precio.</w:t>
      </w:r>
    </w:p>
    <w:p>
      <w:pPr>
        <w:spacing w:after="100"/>
      </w:pPr>
      <w:r>
        <w:t xml:space="preserve">Un crecimiento del 9,2 % anual en 2027-2035, o una rentabilidad exigida del 9,1 %, para un negocio que los analistas recomiendan casi por unanimidad (23 de 24 comprar, precio objetivo de 516,86 USD) [53]. El mercado ya castigó el miedo a la IA y al ciclo de emisión con una caída del 16,9 % en el año, y ve el múltiplo en mínimos de siete años como una oportunidad [50, 90].</w:t>
      </w:r>
    </w:p>
    <w:p>
      <w:pPr>
        <w:keepNext/>
        <w:spacing w:after="100"/>
      </w:pPr>
      <w:r>
        <w:rPr>
          <w:b/>
          <w:bCs/>
        </w:rPr>
        <w:t xml:space="preserve">Lo que creemos nosotros.</w:t>
      </w:r>
    </w:p>
    <w:p>
      <w:pPr>
        <w:spacing w:after="100"/>
      </w:pPr>
      <w:r>
        <w:t xml:space="preserve">Compartimos las cifras del consenso (diferencias de −1,1 % a +0,4 % en ingresos de 2026-2028), pero no su precio objetivo: con un bono al 5,24 %, un negocio que crece al 6-7 % no vale más de 18-19 veces el EBITDA salvo que se acepte una prima de riesgo inferior a la del mercado. El múltiplo bajo es el precio de los tipos, no una anomalía.</w:t>
      </w:r>
    </w:p>
    <w:p>
      <w:pPr>
        <w:keepNext/>
        <w:spacing w:after="100"/>
      </w:pPr>
      <w:r>
        <w:rPr>
          <w:b/>
          <w:bCs/>
        </w:rPr>
        <w:t xml:space="preserve">Por qué podemos tener razón.</w:t>
      </w:r>
    </w:p>
    <w:p>
      <w:pPr>
        <w:spacing w:after="100"/>
      </w:pPr>
      <w:r>
        <w:t xml:space="preserve">El DCF inverso lo muestra: el precio exige un 9,2 % de crecimiento, casi tres puntos más que la guía. Los analistas trabajan con costes de capital del 8-9 %; con la prima de Damodaran del 4,20 % llegamos al mismo valor que el precio (405,64 USD), lo que confirma que la diferencia es de tasa, no de negocio. Si los tipos bajan, tendrán razón ellos.</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407,8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319,33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pStyle w:val="Heading2"/>
      </w:pPr>
      <w:r>
        <w:t xml:space="preserve">A favor</w:t>
      </w:r>
    </w:p>
    <w:p>
      <w:pPr>
        <w:pStyle w:val="ListParagraph"/>
        <w:numPr>
          <w:ilvl w:val="0"/>
          <w:numId w:val="2"/>
        </w:numPr>
        <w:spacing w:after="60"/>
      </w:pPr>
      <w:r>
        <w:rPr>
          <w:b/>
        </w:rPr>
        <w:t xml:space="preserve">Foso amplio en calificaciones</w:t>
      </w:r>
      <w:r>
        <w:t xml:space="preserve">: el 49,6 % de las vigentes y las tres grandes con el 92,4 % de los ingresos del sector [12].</w:t>
      </w:r>
    </w:p>
    <w:p>
      <w:pPr>
        <w:pStyle w:val="ListParagraph"/>
        <w:numPr>
          <w:ilvl w:val="0"/>
          <w:numId w:val="2"/>
        </w:numPr>
        <w:spacing w:after="60"/>
      </w:pPr>
      <w:r>
        <w:rPr>
          <w:b/>
        </w:rPr>
        <w:t xml:space="preserve">Crecimiento sin capital</w:t>
      </w:r>
      <w:r>
        <w:t xml:space="preserve">: capex del 1,4 % de las ventas y circulante del −9,3 %; la reinversión neta de la proyección es negativa.</w:t>
      </w:r>
    </w:p>
    <w:p>
      <w:pPr>
        <w:pStyle w:val="ListParagraph"/>
        <w:numPr>
          <w:ilvl w:val="0"/>
          <w:numId w:val="2"/>
        </w:numPr>
        <w:spacing w:after="60"/>
      </w:pPr>
      <w:r>
        <w:rPr>
          <w:b/>
        </w:rPr>
        <w:t xml:space="preserve">Momento operativo</w:t>
      </w:r>
      <w:r>
        <w:t xml:space="preserve">: ingresos sin Mobility +10,9 % y BPA ajustado +23 % en el 2T26; guía de Ratings e Indices al alza [3].</w:t>
      </w:r>
    </w:p>
    <w:p>
      <w:pPr>
        <w:pStyle w:val="ListParagraph"/>
        <w:numPr>
          <w:ilvl w:val="0"/>
          <w:numId w:val="2"/>
        </w:numPr>
        <w:spacing w:after="60"/>
      </w:pPr>
      <w:r>
        <w:rPr>
          <w:b/>
        </w:rPr>
        <w:t xml:space="preserve">Retorno al accionista</w:t>
      </w:r>
      <w:r>
        <w:t xml:space="preserve">: más de 7.000 M de recompras en 2026, cerca del 6 % de la capitalización [3].</w:t>
      </w:r>
    </w:p>
    <w:p>
      <w:pPr>
        <w:pStyle w:val="ListParagraph"/>
        <w:numPr>
          <w:ilvl w:val="0"/>
          <w:numId w:val="2"/>
        </w:numPr>
        <w:spacing w:after="60"/>
      </w:pPr>
      <w:r>
        <w:rPr>
          <w:b/>
        </w:rPr>
        <w:t xml:space="preserve">Múltiplo en mínimos</w:t>
      </w:r>
      <w:r>
        <w:t xml:space="preserve">: 18,9 veces el EBITDA, un 24 % por debajo de su mediana de 2019-2025.</w:t>
      </w:r>
    </w:p>
    <w:p>
      <w:pPr>
        <w:pStyle w:val="Heading2"/>
      </w:pPr>
      <w:r>
        <w:t xml:space="preserve">En contra</w:t>
      </w:r>
    </w:p>
    <w:p>
      <w:pPr>
        <w:pStyle w:val="ListParagraph"/>
        <w:numPr>
          <w:ilvl w:val="0"/>
          <w:numId w:val="2"/>
        </w:numPr>
        <w:spacing w:after="60"/>
      </w:pPr>
      <w:r>
        <w:rPr>
          <w:b/>
        </w:rPr>
        <w:t xml:space="preserve">El precio pide más de lo que da la guía</w:t>
      </w:r>
      <w:r>
        <w:t xml:space="preserve">: crecimiento implícito del 9,2 % frente al 6,3 % del caso base.</w:t>
      </w:r>
    </w:p>
    <w:p>
      <w:pPr>
        <w:pStyle w:val="ListParagraph"/>
        <w:numPr>
          <w:ilvl w:val="0"/>
          <w:numId w:val="2"/>
        </w:numPr>
        <w:spacing w:after="60"/>
      </w:pPr>
      <w:r>
        <w:rPr>
          <w:b/>
        </w:rPr>
        <w:t xml:space="preserve">Ciclo de emisión</w:t>
      </w:r>
      <w:r>
        <w:t xml:space="preserve">: Ratings es el 43 % del beneficio y el bajista, como en 2022, vale 211,29 USD (−48,2 %).</w:t>
      </w:r>
    </w:p>
    <w:p>
      <w:pPr>
        <w:pStyle w:val="ListParagraph"/>
        <w:numPr>
          <w:ilvl w:val="0"/>
          <w:numId w:val="2"/>
        </w:numPr>
        <w:spacing w:after="60"/>
      </w:pPr>
      <w:r>
        <w:rPr>
          <w:b/>
        </w:rPr>
        <w:t xml:space="preserve">IA en Market Intelligence</w:t>
      </w:r>
      <w:r>
        <w:t xml:space="preserve">: el 34 % de los ingresos crece a 5,5-7 % y es el negocio con menos margen (33 %) [2].</w:t>
      </w:r>
    </w:p>
    <w:p>
      <w:pPr>
        <w:pStyle w:val="ListParagraph"/>
        <w:numPr>
          <w:ilvl w:val="0"/>
          <w:numId w:val="2"/>
        </w:numPr>
        <w:spacing w:after="60"/>
      </w:pPr>
      <w:r>
        <w:rPr>
          <w:b/>
        </w:rPr>
        <w:t xml:space="preserve">Apalancamiento al alza</w:t>
      </w:r>
      <w:r>
        <w:t xml:space="preserve">: 2,7-2,8 veces la deuda bruta sobre EBITDA a finales de 2026, para recomprar acciones [10].</w:t>
      </w:r>
    </w:p>
    <w:p>
      <w:pPr>
        <w:pStyle w:val="ListParagraph"/>
        <w:numPr>
          <w:ilvl w:val="0"/>
          <w:numId w:val="2"/>
        </w:numPr>
        <w:spacing w:after="60"/>
      </w:pPr>
      <w:r>
        <w:rPr>
          <w:b/>
        </w:rPr>
        <w:t xml:space="preserve">ROIC por debajo del WACC</w:t>
      </w:r>
      <w:r>
        <w:t xml:space="preserve">: 9,5 % frente a 10,38 %, por los 43.536 M pagados por IHS Markit [5].</w:t>
      </w:r>
    </w:p>
    <w:p>
      <w:pPr>
        <w:pStyle w:val="Heading2"/>
      </w:pPr>
      <w:r>
        <w:t xml:space="preserve">Qué tiene que pasar para que la tesis funcione</w:t>
      </w:r>
    </w:p>
    <w:p>
      <w:pPr>
        <w:spacing w:after="100"/>
      </w:pPr>
      <w:r>
        <w:t xml:space="preserve">La tesis depende de que la rentabilidad que exige el mercado no suba: con nuestros flujos el precio rinde un 9,1 % anual, y cada medio punto más de WACC quita un 8 % al valor. La señal de que se rompe sería un bono a 10 años por encima del 5,5 % o un frenazo de la emisión facturada en Ratings (ingresos por transacción por debajo del −10 % interanual), que es lo que más mueve el beneficio a corto plazo.</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por transacción de Ratings (trimestre)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 M en el 2T26 (+25 %)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Caída de más del 10 % interanual</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lo que más mueve el beneficio a corto plazo [3].</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Suscripciones de Market Intelligence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1.025 M en el 2T26 (+5,8 %)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Menos del +4 %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efecto real de la IA en datos [3].</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Bono del Tesoro a 10 años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encima del 5,5 % o por debajo del 4,5 %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el coste del capital y la recomendación [56].</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54,3 % en el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52 %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caso base supone +50 pb al año [3].</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bruta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2,7-2,8 veces previsto a cierre de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Más de 3 veces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Limita las recompras y la capacidad de comprar [10].</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18,9x / 17,1x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25,8x / 23,4x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21,5x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(2019-2025)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1,3x · 1,3x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S&amp;P Global procede de McGraw-Hill, editorial cuya historia arranca en 1888 con la compra de una revista ferroviaria por James H. McGraw y que se constituyó como McGraw-Hill Publishing Company en 1917 [17]; la sociedad cotizada actual se constituyó en Nueva York el 29 de diciembre de 1925 [4, 23]. En 1953 compró Platts y en 1966 Standard &amp; Poor's, nacida en 1941 de la unión de Standard Statistics y Poor's Publishing [17, 18]. Entre 2009 y 2016 vendió casi todo lo editorial (BusinessWeek, televisiones, McGraw-Hill Education por 2.400 M USD en 2013, J.D. Power) y se convirtió en proveedor de referencias y datos para los mercados: McGraw Hill Financial en 2013 y S&amp;P Global desde 2016 [17]. La fusión con IHS Markit (acordada en 2020 por unos 44.000 M USD y cerrada en 2022) duplicó su tamaño y le dio el negocio de energía ampliado y Mobility [17]. El 1 de julio de 2026 escindió Mobility como Mobility Global (NYSE: MBGL) y quedó con cuatro divisiones [2, 3]. Martina Cheung sustituyó a Douglas Peterson como consejera delegada en 2024 [17].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1888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James H. McGraw compra el American Journal of Railway Appliances, origen del grupo McGraw-Hill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Nace McGraw-Hill Publishing Company al unir las editoriales de McGraw y de John A. Hill; la sociedad actual se constituye en Nueva York en 1925 [4,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1953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Platts, hoy la línea de precios de referencia de la división Energy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1966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McGraw-Hill compra Standard &amp; Poor's, agencia de calificación y editora del índice S&amp;P 500 [17, 18].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Capital IQ, base de la plataforma de datos de Market Intelligence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Nace S&amp;P Dow Jones Indices como empresa conjunta que reúne los índices S&amp;P y Dow Jones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McGraw-Hill Education a Apollo por 2.400 M USD en efectivo; la empresa pasa a llamarse McGraw Hill Financial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SNL Financial (unos 2.230 M USD) y acuerdo de 1.375 M USD con el Departamento de Justicia y varios estados por las calificaciones de la crisis financiera [17, 18].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junta aprueba el nombre S&amp;P Global Inc. (27 de abril); venta de J.D. Power por 1.100 M USD [17, 23].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Kensho Technologies (IA), hoy marca de la línea Kensho Data &amp; Platforms de Market Intelligence [2,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fusión con IHS Markit, acordada en 2020 por unos 44.000 M USD en acciones: aporta datos de energía y upstream, software financiero y Mobility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Escisión de Mobility (1 de julio) como Mobility Global, NYSE: MBGL; el grupo queda en Ratings, Dow Jones Indices, Energy y Market Intelligence [2, 3].</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S&amp;P Global vende referencias, datos y software a los mercados de capitales y de materias primas. Sin Mobility, sus ingresos pro forma de 2025 fueron 13.589 M USD [2], repartidos en cuatro divisiones. </w:t>
      </w:r>
      <w:r>
        <w:rPr>
          <w:b/>
        </w:rPr>
        <w:t xml:space="preserve">Ratings</w:t>
      </w:r>
      <w:r>
        <w:t xml:space="preserve"> (34 % de los ingresos y 43 % del beneficio operativo ajustado) califica deuda de empresas, bancos, Estados, municipios y titulizaciones. </w:t>
      </w:r>
      <w:r>
        <w:rPr>
          <w:b/>
        </w:rPr>
        <w:t xml:space="preserve">Dow Jones Indices</w:t>
      </w:r>
      <w:r>
        <w:t xml:space="preserve"> (13 % y 18 %) licencia el S&amp;P 500, el Dow Jones y miles de índices a gestoras de ETF y fondos, bolsas de derivados y emisores de productos estructurados. </w:t>
      </w:r>
      <w:r>
        <w:rPr>
          <w:b/>
        </w:rPr>
        <w:t xml:space="preserve">Energy</w:t>
      </w:r>
      <w:r>
        <w:t xml:space="preserve"> (18 % y 16 %) publica los precios de referencia Platts y los datos y la investigación de CERA para productores, consumidores y comerciantes de petróleo, gas, electricidad, metales, química, agricultura y transporte marítimo. </w:t>
      </w:r>
      <w:r>
        <w:rPr>
          <w:b/>
        </w:rPr>
        <w:t xml:space="preserve">Market Intelligence</w:t>
      </w:r>
      <w:r>
        <w:t xml:space="preserve"> (34 % y 22 %) vende Capital IQ, Compustat, datos de crédito y valoración y software de préstamos sindicados, colocaciones y cumplimiento normativo a gestoras, bancos, capital riesgo, aseguradoras y empresas [2]. Vende directamente y por canales de terceros (agregadores, API, nubes) [4]. A finales de 2025 tenía unos 44.500 empleados (con Mobility), 26.200 de ellos en Asia [4].</w:t>
      </w:r>
    </w:p>
    <w:p>
      <w:pPr>
        <w:pStyle w:val="Heading2"/>
      </w:pPr>
      <w:r>
        <w:t xml:space="preserve">Cómo gana dinero</w:t>
      </w:r>
    </w:p>
    <w:p>
      <w:pPr>
        <w:spacing w:after="100"/>
      </w:pPr>
      <w:r>
        <w:t xml:space="preserve">La mayor parte de los ingresos es recurrente. En el 2T26 pro forma (3.678 M USD), las suscripciones fueron el 45,7 %, los ingresos no transaccionales de calificación (vigilancia de calificaciones, programas anuales por relación, Crisil) el 14,7 %, las comisiones ligadas a los activos de ETF y fondos indexados el 9,5 %, los ingresos variables recurrentes de MI el 4,7 % y las regalías por volumen de derivados y por licencias de precios el 3,4 % [3]. Solo el 22 % es transaccional: las calificaciones de emisiones nuevas, que dependen del volumen de deuda emitido (4,3 billones USD facturados en 2025, +11 %) [3, 4]. Estimación propia: alrededor del 78 % de los ingresos no depende de la emisión. Los costes son casi fijos (analistas, datos, tecnología): Ratings tiene un margen ajustado del 65 % e Indices del 70 %, frente al 46 % de Energy y el 33 % de MI [2]. El apalancamiento operativo se vio en el 2T26: ingresos +11 % y beneficio operativo pro forma +21 % [3]. Energy tiene estacionalidad por CERAWeek, en el primer trimestre (118 M USD de ingresos no de suscripción en el 1T25 frente a 29 M en el 2T25) [2].</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88"/>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Ratings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Indices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Energy</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Market Intelligence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Eliminaciones y corporativo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33"/>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Ratings</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Indices</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Energy</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Market Intelligence</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Eliminaciones y corporativo</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n.d.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La base de clientes está atomizada: ningún cliente supera el 10 % de los ingresos consolidados y ningún país extranjero el 7 % [4]. En MI y Energy predominan las suscripciones anuales o plurianuales, con una parte que se cobra por uso: operaciones procesadas, activos gestionados o posiciones valoradas [4]. En Ratings paga el emisor, pero la demanda la crean los inversores: los mandatos de las gestoras, los fondos de pensiones y los índices de renta fija exigen calificaciones de agencias concretas y suelen citar por su nombre a S&amp;P, Moody's y Fitch [12]. Hay pruebas de poder de precios. La empresa atribuye parte del crecimiento de Ratings en 2025 a «mejores condiciones contractuales» en todas las categorías de producto [4, 12], y los márgenes ajustados de Ratings (65 %) e Indices (70 %) se mantienen con la inflación salarial [2]. No publica tasa de renovación ni de bajas.</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Emisión facturada de Ratings (miles de millones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3.911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4.327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Grado de inversión +11 %, alto rendimiento +17 %, otras +9 %; en 2024 había crecido un 54 %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Patrimonio en ETF ligados a índices S&amp;P DJI (billones USD, fin de periodo)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 (2024, implícito)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media de 2025 fue 4,772 billones (+24 %) [4]; al cierre de 2T26, 6,35 billones según la conferencia [10].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por transacción de Ratings (M USD, trimestre)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Impulsados por emisión de grado de inversión ligada a centros de datos (hiperescaladores: 169.000 M en 1S26) [3, 10].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Comisiones ligadas a activos de Indices (M USD, trimestre)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Decimotercer trimestre seguido de ingresos récord en Indices [3, 10].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Suscripciones de Market Intelligence (M USD, trimestre, reexpresado)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1.025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ACV en torno al 6 % según la dirección [3, 10].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a tipo constante, pro forma sin Mobility</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n.a.</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3.638 M frente a 3.288 M; guía 2026: +6,0 % a +8,0 %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 operativo ajustado pro forma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52,3 %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54,3 %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 pb</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OSTTRA, +270 pb; guía 2026: +75 a +100 pb sin OSTTRA [3, 10].</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w:t>
      </w:r>
      <w:r>
        <w:rPr>
          <w:b/>
        </w:rPr>
        <w:t xml:space="preserve">datos, análisis y referencias para los mercados financieros y de materias primas</w:t>
      </w:r>
      <w:r>
        <w:t xml:space="preserve">, de ámbito mundial. Es un multimercado con tres submercados que pesan distinto en el beneficio: calificaciones de crédito (43 % del beneficio ajustado de S&amp;P), índices (18 %) y datos y análisis financieros y de materias primas (MI y Energy, 38 %) [2]. Para el tamaño se usa la serie de Burton-Taylor (TP ICAP) de gasto mundial en datos y análisis de mercados financieros, que cubre MI, buena parte de Energy y los datos de Ratings e Indices, pero no las comisiones de calificación ni las de los índices. Se contrasta con el estudio de índices de Burton-Taylor (7.200 M USD en 2025) [16] y con los ingresos de las agencias que publica la SEC [12]. No hay una serie independiente de otra casa para el agregado: los dos estudios de tamaño son de Burton-Taylor.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49.200 M USD de gasto mundial en datos y análisis de mercados financieros en 2025, +6,5 % [14]; a lo que se suman unos 7.200 M USD de ingresos de proveedores de índices (+13,4 %) [16] y las comisiones de las agencias de calificación (S&amp;P cobró 4.724 M USD y Moody's unos 4.100 M en 2025) [4, 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gasto mundial en datos y análisis de mercados financieros, Burton-Taylor; solo un segmento del mercado: excluye comisiones de calificación e índices))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Emisión y refinanciación de deuda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emisión facturada de Ratings subió de 2,54 billones USD en 2023 a 4,33 billones en 2025; el alto rendimiento +17 % en 2025 por refinanciación con diferenciales estrechos, y el grado de inversión +11 % por emisiones ligadas a la IA [4]. En 2022 los ingresos de Ratings cayeron un 26 % al frenarse la emisión [5]. En el 2T26 los ingresos transaccionales crecieron un 25 %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Gestión pasiva y ETF</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activos en ETF ligados a índices de S&amp;P DJI cerraron 2025 en 5,48 billones USD (+25 %) y la media anual subió un 24 % [4]; las comisiones ligadas a activos crecieron un 22 % en el 2T26 [3]. Los ingresos mundiales de índices subieron un 13,4 % en 2025 [16].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Crédito privado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SEC señala que el crecimiento rápido del crédito privado ha disparado la demanda de calificaciones privadas y examinó en 2025 los planes de negocio de las agencias en ese mercado [12]; S&amp;P cita los mercados privados como iniciativa de 2026 que ya aportó crecimiento en 2025 [4] y compró With Intelligence (datos de mercados privados) por 1.800 M USD [17].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en datos de las entidades financieras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gasto mundial en datos y análisis creció un 6,5 % en 2025 hasta 49.200 M USD, empujado por el trading automatizado, la IA y la volatilidad [14]; la serie creció un 7,4 % anual de 2019 a 2025 (estimación propia con [14, 15, 19]).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generativa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Amenaza: competidores no tradicionales y clientes que construyen sus propios datos con IA [4]. Oportunidad: S&amp;P vende datos «listos para LLM» y conexiones MCP a través de Kensho y lanzó CERA Titan, nativo en IA [2]; MI creció un 6 % en suscripciones en el 2T26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Precios y volumen de materias primas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Energy crece por suscripciones a precios Platts y por regalías de las bolsas de materias primas, que dependen del volumen negociado; en 2025 subieron por mayor volumen de contratos referenciados a Platts [4]. Suscripciones de Energy +4 % en el 2T26 [3].</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calificaciones, tres agencias tienen el 93,38 % de las calificaciones vigentes y el 92,4 % de los ingresos de las NRSRO en 2024 (91,9 % en 2023) [12, 13]; en índices, los tres primeros reúnen más de dos tercios de los ingresos [16]. La rivalidad es mayor en datos (Bloomberg tenía el 32,7 % del gasto en 2019 [19]).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atomizada: ningún cliente llega al 10 % de los ingresos [4]. El emisor puede elegir agencia, pero los mandatos de inversión y los índices de renta fija exigen las tres grandes [12]. Las gestoras de ETF presionan las comisiones de los índices más usados, pero las comisiones ligadas a activos crecieron un 22 % en el 2T26 [3].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insumo principal es el personal (44.500 empleados, 26.200 en Asia) y los datos propios [4]; los datos de terceros (bolsas, contribuidores de precios) pesan menos. El margen ajustado de Ratings (65 %) e Indices (70 %) muestra poco poder de los proveedores [2].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SEC describe barreras de entrada persistentes: la aceptación histórica por los inversores y los requisitos de mandatos e índices [12]. Las grandes agencias tenían el 98,8 % de las calificaciones vigentes en 2007 y aún el 93,38 % en 2024 [12]. Los precios Platts y el S&amp;P 500 tienen además licencias de regulador (BMR, IOSCO) [4].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IA generativa y los datos alternativos abaratan la producción de datos y análisis, y los propios clientes (gestoras, bancos, capital riesgo) añaden capacidades de contenido [4]. Las calificaciones y los índices de referencia son más difíciles de sustituir; los datos de MI (margen 33 %) son los más expuestos [2].</w:t>
            </w:r>
          </w:p>
        </w:tc>
      </w:tr>
    </w:tbl>
    <w:p>
      <w:pPr>
        <w:spacing w:after="160" w:before="0"/>
      </w:pPr>
    </w:p>
    <w:p>
      <w:pPr>
        <w:pStyle w:val="Heading2"/>
      </w:pPr>
      <w:r>
        <w:t xml:space="preserve">Ciclo</w:t>
      </w:r>
    </w:p>
    <w:p>
      <w:pPr>
        <w:spacing w:after="100"/>
      </w:pPr>
      <w:r>
        <w:t xml:space="preserve">La emisión facturada creció un 54 % en 2024 y un 11 % en 2025 [4], y los ingresos transaccionales de Ratings subieron otro 25 % en el 2T26 [3]: el ciclo de crédito está en expansión, con diferenciales estrechos que impulsan la refinanciación [4]. Los activos de los ETF están en máximos (5,48 billones USD a cierre de 2025) [4]. En 2022 la subida de tipos hundió la emisión y los ingresos de Ratings cayeron un 26 % [5], mientras suscripciones e índices aguantaron. El comportamiento en 2008-09 y 2020 no se ha verificado con documentos de la empresa en este análisis. El riesgo es de mitad o final de ciclo: la emisión ya está muy por encima de 2023.</w:t>
      </w:r>
    </w:p>
    <w:p>
      <w:pPr>
        <w:pStyle w:val="Heading2"/>
      </w:pPr>
      <w:r>
        <w:t xml:space="preserve">Regulación</w:t>
      </w:r>
    </w:p>
    <w:p>
      <w:pPr>
        <w:spacing w:after="100"/>
      </w:pPr>
      <w:r>
        <w:t xml:space="preserve">Ratings está registrada en la SEC como NRSRO (Credit Rating Agency Reform Act de 2006 y Dodd-Frank), que puede censurar, suspender o revocar el registro; en la UE la supervisa ESMA desde 2011 (CRA1-CRA3: responsabilidad civil, rotación en retitulizaciones, normas sobre precios), y en el Reino Unido la FCA desde 2021 [4]. Indices tiene administradores de índices autorizados en Países Bajos (ESMA, Reglamento de Índices de Referencia de la UE), en el Reino Unido (FCA) y en Australia (ASIC), y se audita anualmente frente a los Principios de IOSCO [4]. Platts está autorizado por la AFM neerlandesa bajo el BMR y alineado con los Principios de IOSCO para agencias de precios de petróleo (2012) [4]. Novedades: el Reglamento europeo de calificaciones ESG se aplica desde mediados de 2026 y el régimen británico desde junio de 2028; DORA (enero de 2025) y la Ley de IA de la UE añaden costes de cumplimiento [4]. En septiembre de 2024 la SEC multó a S&amp;P Global Ratings con 20 M USD por comunicaciones fuera de canal [20].</w:t>
      </w:r>
    </w:p>
    <w:p>
      <w:pPr>
        <w:pStyle w:val="Heading2"/>
      </w:pPr>
      <w:r>
        <w:t xml:space="preserve">Tendencias y disrupción</w:t>
      </w:r>
    </w:p>
    <w:p>
      <w:pPr>
        <w:spacing w:after="100"/>
      </w:pPr>
      <w:r>
        <w:t xml:space="preserve">Cuatro tendencias. La </w:t>
      </w:r>
      <w:r>
        <w:rPr>
          <w:b/>
        </w:rPr>
        <w:t xml:space="preserve">IA generativa</w:t>
      </w:r>
      <w:r>
        <w:t xml:space="preserve"> es a la vez amenaza y oportunidad: abarata los datos y análisis genéricos y atrae a nuevos competidores, pero S&amp;P se posiciona como proveedor de datos propios para modelos (Kensho LLM-ready API, conexiones MCP, CERA Titan) [2, 4]. El </w:t>
      </w:r>
      <w:r>
        <w:rPr>
          <w:b/>
        </w:rPr>
        <w:t xml:space="preserve">crédito privado</w:t>
      </w:r>
      <w:r>
        <w:t xml:space="preserve"> crece rápido y genera demanda de calificaciones privadas, que la SEC vigila por conflictos de interés [12]; S&amp;P lo ha convertido en prioridad y compró With Intelligence [4, 17]. La </w:t>
      </w:r>
      <w:r>
        <w:rPr>
          <w:b/>
        </w:rPr>
        <w:t xml:space="preserve">gestión pasiva</w:t>
      </w:r>
      <w:r>
        <w:t xml:space="preserve"> sigue ganando activos (ETF ligados a S&amp;P DJI +25 % en 2025) [4]. Los </w:t>
      </w:r>
      <w:r>
        <w:rPr>
          <w:b/>
        </w:rPr>
        <w:t xml:space="preserve">nuevos competidores en calificaciones</w:t>
      </w:r>
      <w:r>
        <w:t xml:space="preserve"> (DBRS, KBRA) ganan cuota en titulizaciones, pero las tres grandes conservan el 93 % de las calificaciones vigentes [12]. Neto, S&amp;P gana con las tres primeras y pierde algo de margen relativo en titulizaciones.</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calificaciones de crédito**: 49,60 % de las calificaciones vigentes de todas las NRSRO a 31-dic-2024, frente al 31,39 % de Moody's y el 12,40 % de Fitch [12]; sin bonos públicos su cuota baja en 18,16 puntos (≈ 31,4 %) [12]. Por ingresos, Ratings facturó 4.724 M USD en 2025 frente a unos 4.100 M de Moody's [4, 12]. **1.º en índices**: 1.850 M USD de ingresos en 2025 [4], ≈ 25,7 % de los 7.200 M del sector (estimación propia con [16]), por delante de MSCI (1.787 M, ≈ 24,8 %) [21] y LSEG FTSE Russell (≈ 1.290 M según la prensa del mismo estudio, no verificado). **3.º en datos financieros**, detrás de Bloomberg y LSEG Data &amp; Analytics; los tres son los únicos con cuota de dos cifras [15]. **En precios de energía**, Platts compite sobre todo con Argus Media (privada, sin cifras publicadas).</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Moody's Corporation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MCO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Duopolio con S&amp;P en calificaciones (cuota de calificaciones vigentes a 2024) [12]; Moody's Investors Service ingresó unos 4.100 M USD en 2025 (+9 %) [12]. Moody's Analytics compite con MI en datos de crédito y riesgo. Margen operativo GAAP 2025: 3.351 / 7.718 M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 Inc.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MSCI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Principal rival en índices: 1.787 M USD de ingresos de índices en 2025 (+11,9 %) [21]; cuota sobre los 7.200 M del sector, estimación propia [16]. Fuerte en índices de renta variable internacional y ESG; también analítica de carteras. Margen operativo 1.714 / 3.134 M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London Stock Exchange Group (LSEG)</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LSEG</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12.084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Segundo en datos (Data &amp; Analytics, antiguo Refinitiv/Workspace) y tercero en índices (FTSE Russell). Ingresos sin recuperaciones 2025: 8.986 M GBP, convertidos a 1,3447 USD/GBP (cierre del 31-dic-2025, FRED) [24, 25]. Margen con el beneficio operativo reportado (2.127 M GBP); el ajustado fue 3.506 M GBP [24].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Intercontinental Exchange (ICE)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ICE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12.640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Compite con MI en precios y datos de referencia de renta fija e índices de bonos (ICE Fixed Income &amp; Data Services) y con Platts en precios de energía vía sus bolsas. Ingresos totales incluyen gastos ligados a transacciones; margen 4.929 / 12.640 M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FactSet Research Systems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FDS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Competidor directo de Capital IQ en terminales y datos para gestoras y banca de inversión. Ejercicio cerrado en agosto de 2025; margen operativo 748 / 2.322 M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Morningstar Inc.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MORN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Dueña de DBRS Morningstar, cuarta agencia (3,13 % de las calificaciones vigentes [12]; 354,4 M USD de ingresos de Morningstar Credit en 2025, +21,7 % [12]); compite también en datos de fondos, índices y Sustainalytics. Margen 527 / 2.446 M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Fitch Ratings (Hearst)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 / 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Tercera agencia (12,40 % de las calificaciones vigentes; sube 7,72 puntos sin bonos públicos, fuerte en titulizaciones y financieras) [12]. Propiedad al 100 % de Hearst desde 2018; no publica cuentas.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Bloomberg L.P.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Líder en datos financieros con el 32,7 % del gasto mundial en 2019 según Burton-Taylor [19], y el mayor en 2023 [15]. Compite con MI (Capital IQ) y con Indices (índices de renta fija Bloomberg). Privada; no publica cuentas.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calificaciones y los índices valen porque todos los usan: los mandatos de inversión y los índices de renta fija exigen calificaciones de agencias concretas [4]; los productos sobre el S&amp;P 500 generan liquidez que atrae más productos (ETF con activos de 5,48 billones USD ligados a S&amp;P DJI) [1]; los precios Platts son la referencia de contratos de derivados en bolsas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Cambiar el índice de un ETF o la referencia de un contrato de materias primas tiene coste fiscal, legal y de liquidez; en MI, el software de préstamos (WSO, ClearPar) y Capital IQ están integrados en los flujos de trabajo de los clientes [2]. Las suscripciones crecieron un 5 % en el 2T26 pese a la presión de la IA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Registro NRSRO, registros de ESMA y FCA y autorizaciones BMR para índices y Platts [1]; marcas S&amp;P 500 y Dow Jones; 150 años de historial de calificaciones [1]. La cuota de las grandes agencias solo ha bajado del 98,8 % (2007) al 93,38 % (2024) [4].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26.200 de los 44.500 empleados están en Asia [1], y la escala permite márgenes ajustados del 65 % (Ratings) y 70 % (Indices) [2], por encima del 43,4 % de margen operativo de Moody's y del 54,7 % de MSCI, aunque estos son márgenes GAAP de grupo [15].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calificaciones y los índices de referencia son mercados naturalmente oligopolísticos: tres agencias con el 92,4 % de los ingresos [4] y tres proveedores de índices con más de dos tercios del sector [8]; un entrante necesita décadas de historial para que lo acepten los inversores [4].</w:t>
            </w:r>
          </w:p>
        </w:tc>
      </w:tr>
    </w:tbl>
    <w:p>
      <w:pPr>
        <w:spacing w:after="160" w:before="0"/>
      </w:pPr>
    </w:p>
    <w:p>
      <w:pPr>
        <w:pStyle w:val="Heading2"/>
      </w:pPr>
      <w:r>
        <w:t xml:space="preserve">Amenazas</w:t>
      </w:r>
    </w:p>
    <w:p>
      <w:pPr>
        <w:spacing w:after="100"/>
      </w:pPr>
      <w:r>
        <w:t xml:space="preserve">La amenaza más probable es la </w:t>
      </w:r>
      <w:r>
        <w:rPr>
          <w:b/>
        </w:rPr>
        <w:t xml:space="preserve">IA generativa en Market Intelligence</w:t>
      </w:r>
      <w:r>
        <w:t xml:space="preserve"> (34 % de los ingresos, 22 % del beneficio): los datos genéricos se abaratan y los clientes pueden construir herramientas propias [2, 4]; probabilidad media, efecto acotado al negocio de menor margen. En calificaciones, </w:t>
      </w:r>
      <w:r>
        <w:rPr>
          <w:b/>
        </w:rPr>
        <w:t xml:space="preserve">DBRS y KBRA ganan cuota en titulizaciones</w:t>
      </w:r>
      <w:r>
        <w:t xml:space="preserve"> y las grandes han pasado del 94,15 % al 93,38 % de las calificaciones vigentes en un año [12]; probabilidad alta, efecto lento. La </w:t>
      </w:r>
      <w:r>
        <w:rPr>
          <w:b/>
        </w:rPr>
        <w:t xml:space="preserve">regulación</w:t>
      </w:r>
      <w:r>
        <w:t xml:space="preserve"> (responsabilidad civil, rotación, rebaja de la dependencia de las calificaciones, posibles agencias públicas) es una amenaza recurrente pero no se ha materializado en quince años [4]. En índices, la </w:t>
      </w:r>
      <w:r>
        <w:rPr>
          <w:b/>
        </w:rPr>
        <w:t xml:space="preserve">presión de comisiones</w:t>
      </w:r>
      <w:r>
        <w:t xml:space="preserve"> de las gestoras de ETF baratos y los índices propios de las gestoras pueden recortar la tarifa por dólar gestionado.</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11.181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11.013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12.599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13.589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6.701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5.839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4.192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r>
    </w:tbl>
    <w:p>
      <w:pPr>
        <w:spacing w:after="160" w:before="0"/>
      </w:pPr>
    </w:p>
    <w:p>
      <w:pPr>
        <w:spacing w:after="100"/>
      </w:pPr>
      <w:r>
        <w:t xml:space="preserve">Crecimiento anual compuesto 2019-2025: ingresos </w:t>
      </w:r>
      <w:r>
        <w:rPr>
          <w:b/>
          <w:bCs/>
        </w:rPr>
        <w:t xml:space="preserve">12,5 %</w:t>
      </w:r>
      <w:r>
        <w:t xml:space="preserve">, EBITDA </w:t>
      </w:r>
      <w:r>
        <w:rPr>
          <w:b/>
          <w:bCs/>
        </w:rPr>
        <w:t xml:space="preserve">12,1 %</w:t>
      </w:r>
      <w:r>
        <w:t xml:space="preserve">, BPA </w:t>
      </w:r>
      <w:r>
        <w:rPr>
          <w:b/>
          <w:bCs/>
        </w:rPr>
        <w:t xml:space="preserve">8,1 %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Sin Mobility, los ingresos pasan de 11.013 M en 2023 a 13.589 M en 2025 (+14,4 % en 2024 y +7,9 % en 2025) [1]. El salto de 2022 es inorgánico: IHS Markit aporta diez meses y eleva los ingresos un 35 % [5]. El crecimiento de 2024 lo empuja Ratings por la reapertura de la emisión de deuda; 2025 añade With Intelligence (nov-2025) y resta Fincentric (ago-2024) [4]. El margen EBITDA pro forma sube del 41,2 % en 2023 al 48,1 % en 2024 y al 51,5 % en 2025: unos 1.000 pb por apalancamiento operativo de Ratings e Indices, por la caída de los costes de fusión de IHS (236 M en 2023, 133 M en 2024, 0 en 2025) y por la ganancia de 273 M de 2025 [1, 4]. En el LTM a jun-26 el margen llega al 54,3 %, pero incluye 456 M de ganancias por ventas (OSTTRA en 4T25, 270 M; dos negocios de MI en 1T26, 175 M) [2, 3]. 2019-2022 no son comparables con 2023-2025: incluyen Mobility desde 2022 y la estructura previa a IHS.</w:t>
      </w:r>
    </w:p>
    <w:p>
      <w:pPr>
        <w:pStyle w:val="Heading2"/>
      </w:pPr>
      <w:r>
        <w:t xml:space="preserve">Ajustes y partidas no recurrentes</w:t>
      </w:r>
    </w:p>
    <w:p>
      <w:pPr>
        <w:spacing w:after="100"/>
      </w:pPr>
      <w:r>
        <w:t xml:space="preserve">Usamos cifras publicadas (GAAP) y, para 2023-2025, 1T26 y 2T26, el pro forma GAAP del artículo 11 sin Mobility; no usamos las ajustadas de la empresa, que excluyen además unos 800 M anuales de amortización de intangibles de adquisiciones [2]. Como partidas no recurrentes dentro del EBITDA solo tratamos las ganancias o pérdidas por ventas de negocios (2019 −49 M, 2020 −16 M, 2021 −11 M, 2022 −1.898 M, 2023 +70 M, 2024 −59 M, 2025 −273 M y −456 M en los últimos doce meses), los costes de la fusión con IHS Markit (24 M en 2020, 249 M en 2021, 619 M en 2022, 236 M en 2023 y 133 M en 2024), la donación de 200 M a la S&amp;P Global Foundation en 2022 y los deterioros de arrendamientos y tecnología de 2020 (132 M) [4, 5]. Las indemnizaciones por despido (157-289 M al año) se repiten todos los años y quedan dentro del EBITDA. Los costes de fusión de 2023-2024 son los publicados con Mobility, que no se desglosa. La participación del 50 % en OSTTRA, vendida en el 4T25, se trata como participada fuera del EBITDA [4]. Ojo: hay ganancias por ventas casi todos los años y la guía GAAP de 2026 incluye unos 1,20 USD por acción de esas ganancias [3].</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3.678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la conferencia del 2T26 (28-jul-2026), la primera tras la escisión de Mobility, Martina Cheung destacó el crecimiento del 11 % de los ingresos, el 15 % de los negocios de referencia (Ratings e Indices) y un margen ajustado del 54,3 % (+200 pb) [3, 10]. La dirección subió la guía de Ratings (+5 % a +8 %) e Indices (+12 % a +14 %), mantuvo Market Intelligence (+5,5 % a +7 %) y Energy (+4,5 % a +6 %), y elevó las recompras de 2026 a más de 7.000 M (casi 3.000 M más): las financia con unos 2.000 M de la distribución de Mobility y unos 2.000 M de deuda nueva en el segundo semestre, y deja el apalancamiento bruto en 2,7-2,8 veces el EBITDA a cierre de 2026, por encima de su objetivo de 2,0-2,5 veces hasta finales de 2027 [10]. Los analistas preguntaron sobre todo por la monetización de la IA en Kensho y las API para modelos de lenguaje (el volumen de llamadas se multiplicó por cinco en el trimestre), por la reorganización de Market Intelligence, por la emisión de deuda de los hiperescaladores (250.000-300.000 M previstos en 2026) y por los ciclos de venta más largos. La dirección evitó cuantificar los productos de MI que podría vender, la renta anticipada de una renovación a diez años, las concesiones de precio en Energy y la renovación de la licencia de índices con Cboe («no comentamos») [10]. En la del 1T26 (28-abr-2026) la guía aún incluía Mobility y el BPA ajustado de 4,97 USD superó los 4,84 USD esperados [11]. Bases de la tabla: 3T24 y 4T24 son cifras publicadas con Mobility (4T24 derivado del año menos nueve meses) [6]; 1T25-2T26 son pro forma sin Mobility [1, 2, 3]; el crecimiento de 1T25-4T25 es el publicado con Mobility, y el de 1T26-2T26, pro forma frente a pro forma; EBITDA = beneficio operativo + depreciación + amortización, con las ganancias por ventas dentro (175 M en 1T26 y 270 M en 4T25).</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11.348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12.537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15.026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61.784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10.956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36.388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60.589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11.459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34.200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60.221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51.473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11.398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33.159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61.200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52.746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13.088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31.127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(2022: Fusión con IHS Markit (todo en acciones), consolidada desde el 28-feb-2022: diez meses en la cuenta y entera en el balance; activo de 15.026 M a 61.784 M. Ese año se venden además Engineering Solutions, CUSIP, LCD, OPIS, CMM y otras (ganancia de 1.898 M).; 2023: Empieza la serie pro forma sin Mobility (escindida el 1-jul-2026 [9]): 2023-2025 son operaciones continuadas del pro forma del artículo 11; 2019-2022 son cifras publicadas que incluyen Mobility desde 2022 (unos 1.484 M de ingresos en 2023). El balance de todos los años es el publicado, con Mobility.).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rPr>
          <w:b/>
        </w:rPr>
        <w:t xml:space="preserve">Puente de la escisión</w:t>
      </w:r>
      <w:r>
        <w:t xml:space="preserve">: el 19-may-2026 Mobility Global emitió 2.000 M en bonos (650 M al 5,05 % 2029, 650 M al 5,45 % 2031 y 700 M al 6,05 % 2036), contabilizados en el balance consolidado de S&amp;P Global a 30-jun-2026 (1.981 M) y que pasaron a ser solo de Mobility Global el 1-jul-2026; con ellos Mobility pagó a S&amp;P Global una distribución neta de 1.974 M [1, 7]. Así, la deuda de S&amp;P Global sin Mobility a 30-jun-2026 es de 13.189 M (15.170 M consolidados menos 1.981 M), con 825 M en pagarés y 1.747 M que vencen en 2027 [7]. La caja de 4.141 M incluye la de Mobility, no publicada a esa fecha (121 M a 31-mar-2026) [1, 3]. La serie histórica es la publicada, con Mobility en 2022-2025. La deuda pasó de 4.114 M en 2021 a 10.956 M en 2022 por la deuda heredada de IHS Markit y a 13.088 M en 2025 tras los bonos de diciembre de 2025 [6, 7]. El circulante es negativo por los ingresos anticipados (4.088 M en 2025), y el fondo de comercio más los intangibles suman 52.746 M, el 86 % del activo [3, 6].</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5.651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4.192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2019-2025: FCF </w:t>
      </w:r>
      <w:r>
        <w:rPr>
          <w:b/>
          <w:bCs/>
        </w:rPr>
        <w:t xml:space="preserve">26.817</w:t>
      </w:r>
      <w:r>
        <w:t xml:space="preserve">, conversión </w:t>
      </w:r>
      <w:r>
        <w:rPr>
          <w:b/>
          <w:bCs/>
        </w:rPr>
        <w:t xml:space="preserve">129 %</w:t>
      </w:r>
      <w:r>
        <w:t xml:space="preserve"> del beneficio neto; adquisiciones 2.805, dividendos 6.423, recompras 26.011.</w:t>
      </w:r>
    </w:p>
    <w:p>
      <w:pPr>
        <w:spacing w:after="100"/>
      </w:pPr>
      <w:r>
        <w:t xml:space="preserve">Series publicadas de los 10-K, con Mobility en 2022-2025 [4, 5, 6]. La conversión es alta: en 2025 el flujo operativo menos el capex (5.456 M) supera el beneficio neto publicado (4.471 M) porque se suman ~1.070 M de amortización de intangibles de adquisiciones sin salida de caja, y el capex es pequeño (195 M, el 1,3 % de las ventas; guía 2026: 190-210 M) [3, 4]. 2022 es anómalo: el flujo operativo cae a 2.603 M por los costes de la fusión con IHS Markit, los impuestos de las ventas obligadas por los reguladores y la donación de 200 M a la fundación; las adquisiciones salen negativas (−210 M) porque la fusión fue en acciones y entró la caja de IHS [5]. Las recompras de 12.004 M de 2022 se financiaron con las ventas (3.509 M) y caja previa. La definición de flujo libre de la empresa resta además las distribuciones a minoritarios (321 M en 2025, sobre todo CME en Indices) [3, 4]. El capex no se desglosa entre mantenimiento y crecimiento; estimación propia: casi todo es mantenimiento de tecnología, ya que el crecimiento llega por compras. El dato de desinversiones de 2019 no figura en los documentos leídos.</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también sobre el control interno [4]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EY audita la compañía desde 1969, 57 ejercicios seguidos: muy por encima de lo habitual [4]. Su asunto clave de auditoría es la valoración de la participación minoritaria rescatable de CME en S&amp;P Dow Jones Indices (4.914 M), que depende de supuestos de flujos, beta y múltiplos [4]. La remuneración en acciones es moderada: 236 M en 2025, el 5,3 % del beneficio neto, frente a 214 M en 2022 [6]. No hubo deterioros del fondo de comercio en 2023-2025, pese a que este y los intangibles son el 86 % del activo tras IHS Markit [4]. Las cifras ajustadas de la empresa excluyen cada año indemnizaciones (127-289 M), costes de adquisición y ventas y ganancias por desinversiones: partidas que se repiten y que el análisis deja dentro del EBITDA salvo las ganancias por ventas y los costes de fusión de IHS [2, 4, 5]. Las ventas de negocios dan ganancias casi todos los años (1.898 M en 2022, 273 M en 2025, 186 M en 1S26), lo que infla el beneficio publicado. El pro forma sin Mobility no está auditado y la empresa avisa de que la contabilidad de operaciones interrumpidas puede cambiar en el 10-Q del 3T26 [1].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Ganancias por ventas de negocios recurrentes dentro del beneficio operativo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273 M en 2025 y 186 M en 1S26 (OSTTRA, negocios de MI); el BPA GAAP de 2026 incluye 1,20 USD por ventas según la guía [3,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Fondo de comercio e intangibles muy por encima del patrimonio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 forma a 31-mar-2026: 39.802 M frente a 21.174 M de patrimonio atribuido; sin deterioros en 2023-2025 [1,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Ajustes no GAAP que se repiten cada año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Indemnizaciones, costes de transición de la cúpula y de adquisiciones excluidos cada trimestre de 2025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57 años de permanencia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EY desde 1969; opinión limpia sobre cuentas y control interno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 forma no auditado y sujeto a cambios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cifras sin Mobility de 2023-2025 pueden variar con el 10-Q del 3T26 y el 10-K 2026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26.284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48.842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47.755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47.368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4,6 % · </w:t>
      </w:r>
      <w:r>
        <w:rPr>
          <w:b/>
          <w:bCs/>
        </w:rPr>
        <w:t xml:space="preserve">WACC</w:t>
      </w:r>
      <w:r>
        <w:t xml:space="preserve">: 10,4 %.</w:t>
      </w:r>
    </w:p>
    <w:p>
      <w:pPr>
        <w:spacing w:after="100"/>
      </w:pPr>
      <w:r>
        <w:t xml:space="preserve">El ROIC contable se hundió con la fusión de IHS Markit: del 107,4 % de 2021 (capital invertido de 3.254 M) al 6,4 % de 2023, porque la compra se pagó en acciones a 43.536 M y casi todo quedó como fondo de comercio e intangibles [5]. Desde entonces se recupera (8,6 % en 2024 y 9,5 % en 2025) con el beneficio, no con la rotación, que sigue en 0,22 veces. Con un WACC del 10,38 % el grupo aún no cubre su coste de capital sobre el precio pagado, aunque el negocio orgánico, con un capex del 1,4 % de las ventas y un circulante negativo, rinde muy por encima: la reinversión que necesita es casi nula. El ROIC incremental de 2019-2025 es del 4,6 %, lastrado por la fusión. Frente a los competidores, S&amp;P queda lejos de Moody's (32 %) y MSCI (39,9 %), que no hicieron una compra de ese tamaño, y al nivel de ICE (8,6 %), que sí la hizo con Black Knight [59, 60, 61]. El capital invertido de 2022-2025 incluye Mobility, que se fue con unos 1.981 M de deuda [7].</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9.181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9.470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30-jun-2026: caja y efectivo restringido de 4.141 M (con los ~2.000 M de los bonos de Mobility, depositados hasta la escisión) y una línea de crédito de 2.000 M no dispuesta hasta el 17-dic-2029, que respalda el programa de pagarés (825 M emitidos) [3, 7]. Pro forma a 31-mar-2026, sin Mobility y con la distribución de 1.974 M, la caja era de 3.663 M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Calificada por Moody's y Fitch, las dos agencias de referencia de sus emisiones (no se califica a sí misma); grado de inversión, nota concreta no localizada en los documentos leídos [8].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La participación minoritaria rescatable del 27 % de CME en S&amp;P Dow Jones Indices figura a valor razonable fuera del pasivo: 4.917 M a cierre de 2025 y 5.024 M a 30-jun-2026; es el asunto clave de auditoría de EY y en el puente es deuda de hecho [3, 4]. El único covenant de la línea de crédito es deuda / flujo de caja ≤ 4 veces, nunca superado [7]. Pensiones netas pequeñas (175 M pro forma a 31-mar-2026) y pasivo por impuestos diferidos de 2.264 M pro forma [1]. La escisión dejó 50 M de impuestos adicionales y 106 M de costes pendientes (pro forma a 31-mar-2026) [1]. Arrendamientos operativos: 618 M de pasivo en 2025 (US GAAP, ya dentro del EBITDA, fuera del puente) [6]. Activos y pasivos mantenidos para la venta de 120 M y 28 M a 30-jun-2026 (software de geociencia de Energy) [3].</w:t>
      </w:r>
    </w:p>
    <w:p>
      <w:pPr>
        <w:pStyle w:val="Heading1"/>
      </w:pPr>
      <w:r>
        <w:t xml:space="preserve">12. Asignación de capital</w:t>
      </w:r>
    </w:p>
    <w:p>
      <w:pPr>
        <w:pStyle w:val="Confianza"/>
        <w:spacing w:after="100"/>
      </w:pPr>
      <w:r>
        <w:t xml:space="preserve">Confianza: Media</w:t>
      </w:r>
    </w:p>
    <w:p>
      <w:pPr>
        <w:spacing w:after="100"/>
      </w:pPr>
      <w:r>
        <w:t xml:space="preserve">Dividendo trimestral de 0,97 USD en 2026 (3,84 USD declarados en 2025, 2,28 USD en 2019) [3, 6]. Recompras mediante programas acelerados (ASR): 1.000 M en febrero y 500 M en mayo de 2026, 1.500 M en el semestre, y la previsión de más de 7.000 M en 2026, financiadas en parte con la distribución de 1.974 M de Mobility y con deuda nueva [3, 7, 10]. La dirección acepta un apalancamiento bruto de 2,7-2,8 veces a cierre de 2026, por encima de su objetivo de 2,0-2,5 veces, que espera recuperar a finales de 2027 [10]. Los documentos leídos no fijan un porcentaje del flujo libre a devolver.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305,1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IHS Markit (fusión en acciones)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43.536</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Acciones (contraprestación a valor razonable de 43.536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obligadas y posteriores (OPIS, CMM, Engineering Solutions con pérdida de 120 M en 2023) y escisión de Mobility en 2026; sin deterioros del fondo de comercio; costes de fusión de 1.261 M en 2020-2024 [4,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Visible Alpha (datos de consenso de analistas, MI)</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Capital IQ Pro; contribuyó al crecimiento de suscripciones de MI en 2025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ProntoNLP (herramientas de IA generativa, MI)</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Pequeña; sin datos de resultado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TeraHelix (tecnología de datos, MI)</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Pequeña; sin datos de resultado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With Intelligence (datos de mercados privados, MI)</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y bonos emitidos en diciembre de 2025 (993 M netos)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Demasiado reciente; la empresa la considera no material [4].</w:t>
            </w:r>
          </w:p>
        </w:tc>
      </w:tr>
    </w:tbl>
    <w:p>
      <w:pPr>
        <w:spacing w:after="160" w:before="0"/>
      </w:pPr>
    </w:p>
    <w:p>
      <w:pPr>
        <w:spacing w:after="100"/>
      </w:pPr>
      <w:r>
        <w:t xml:space="preserve">Ventas recientes: Engineering Solutions (may-2023, pérdida de 120 M), Fincentric y PrimeOne (2024, ganancias de 21 M y 38 M), el 50 % de OSTTRA a KKR (oct-2025, valor empresa total de 3.100 M a repartir con CME, ganancia de 270 M), dos negocios de MI en 1T26 (ganancia de 172 M) y la escisión de Mobility (jul-2026) [1, 2, 4]. Entre 2019 y 2025 la empresa pagó 6.423 M en dividendos y 26.011 M en recompras (12.004 M en 2022, para compensar la dilución de IHS Markit), frente a 27.594 M de flujo operativo [6]. Las acciones diluidas medias bajan de 318,9 M en 2023 a 295,5 M en 2T26 [1, 3].</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Martina L. Cheung</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y consejera delegada (President and CEO); consejera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la empresa desde 2010: presidenta de Market Intelligence (2019-2022) y de Ratings (feb-2022 a oct-2024); el consejo la eligió el 27-jun-2024 para suceder a Douglas Peterson con efecto 1-nov-2024 [4, 31]. En su primer año completo (2025) los ingresos crecieron un 8 %, el BPA ajustado un 14 % hasta 17,83 USD y el margen operativo ajustado 140 pb hasta el 50,4 %, por encima de la guía inicial [48]. Tiene 25.196 acciones (0,0083 %) y compró 2.322 más en mercado el 29-abr-2026 por 1,0 M USD [26, 30].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Eric W. Aboaf</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y director financiero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de State Street desde 2017 y vicepresidente del consejo desde 2022; antes CFO de Citizens Financial y cargos financieros en Citigroup [4, 32]. Entró en febrero de 2025 tras un año con un CFO interino (Christopher Craig, feb-2024 a feb-2025) [4]. Su fichaje incluyó una prima de entrada de 2,4 M USD y acciones por 5,9 M USD para compensar lo que perdía en State Street; su remuneración de 2025 en la tabla resumen fue de 17,28 M USD, más que la de la consejera delegada [26, 32]. Tiene 1.311 acciones [26].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Lord Ian Livingston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independiente no ejecutivo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desde 2020; consejero delegado de BT Group (2008-2013) y ministro británico de Comercio e Inversión (2013-2015) [26]. Sustituyó a Richard Thornburgh como presidente independiente el 7-may-2025, un relevo que la empresa anunció en el proxy del 25-mar-2025 [26, 39]. No tiene acciones directas; tiene 3.082 unidades diferidas del plan de consejeros [26].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Yann Le Pallec</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S&amp;P Global Ratings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Responsable de los servicios globales de calificación de Ratings desde abril de 2017; preside la división desde noviembre de 2024, cuando Cheung pasó a consejera delegada [4]. Ratings creció un 12 % en 2025, con la emisión facturada un 28 % por encima del año anterior [48].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Catherine Clay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delegada de S&amp;P Dow Jones Indices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Fichada en Cboe Global Markets, donde dirigió derivados (desde oct-2023) y Cboe Data Vantage (desde mar-2021); dirige Indices desde noviembre de 2025 y sustituye a Daniel Draper [4, 26]. Compró 2.500 acciones en mercado el 1-may-2026 por 1,08 M USD, la mayor compra de un directivo en los últimos doce meses [30].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David Ernsberger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 S&amp;P Global Energy</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Copresidente de Energy desde noviembre de 2024 y único presidente desde noviembre de 2025; antes dirigió los informes de mercado y las soluciones de trading (2022) y los precios de Platts (2020) [4].</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al alza de un dígito medio; BPA ajustado de 12,25-12,45 USD (sin IHS Markit) [42]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+11 % hasta 8.300 M USD; BPA ajustado de 13,70 USD (+17 %) [43]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inicial del 1-mar-2022, proforma con IHS Markit: ingresos ajustados al alza de un dígito medio y BPA ajustado de 13,30-13,50 USD; el 3-may-2022 se rebajó a crecimiento de un dígito bajo y 13,00-13,25 USD [44]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ajustados proforma −4 %; BPA ajustado proforma de 11,19 USD (−4 %), por la caída de las emisiones que calificó Ratings [45]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de 12,35-12,55 USD; sin guía de ingresos en la nota de resultados [45]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de 12,60 USD (+13 %); ingresos +6 % frente a los de 2022 proforma [46]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+5,5 % a +7,5 %; BPA ajustado de 13,75-14,00 USD [46]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+14 % hasta 14.208 M USD; BPA ajustado de 15,70 USD (+25 %); la empresa superó el máximo de la guía en ingresos, margen y BPA [47]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+5,0 % a +7,0 %; BPA ajustado de 17,00-17,25 USD [47]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+8 %; BPA ajustado de 17,83 USD (+14 %) [48]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Guía inicial del 10-feb-2026, con Mobility todo el año: crecimiento orgánico a tipo de cambio constante del 6,0 % al 8,0 % y BPA ajustado de 19,40-19,65 USD [48]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Ejercicio en curso. Tras la escisión de Mobility (1-jul-2026), la guía del 28-jul-2026 queda sin Mobility: ingresos +5,9 % a +7,9 %, orgánico del 6,0 % al 8,0 % y BPA ajustado de 17,50-17,75 USD; la empresa avisa de que no es comparable con la guía anterior [3]. En el primer semestre, BPA ajustado proforma +23 % en el 2T26 [3]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La guía es conservadora: la dirección la superó en 2021, 2023, 2024 y 2025, y en 2024 y 2025 por encima del máximo del rango [43, 46, 47, 48]. El único fallo, en 2022, vino de la caída de las emisiones de deuda en el año de la fusión con IHS Markit (BPA ajustado proforma de 11,19 USD frente a una guía inicial de 13,30-13,50) [44, 45]. La cúpula es nueva: consejera delegada desde nov-2024, presidente del consejo desde may-2025, CFO desde feb-2025 tras un año con un interino, y presidentes nuevos en Ratings (2024), Energy e Indices (2025) [4]. La rotación sigue en 2026: Saugata Saha dejó Market Intelligence el 30-jul-2026 sin sucesor anunciado, el jefe de los servicios jurídicos, Steven Kemps, se jubila el 31-dic-2026 y la división Mobility se escindió el 1-jul-2026 [9, 37, 38]. La sucesión de la consejera delegada fue interna y ordenada, porque Cheung venía de dirigir Ratings y Market Intelligence [31].</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Lord Ian Livingston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Ejecutiva (presidente), Remuneración,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Martina Cheung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y consejera delegada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Marco Alverà</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Finanzas (presidente), Ejecutiva, 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Jacques Esculier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Finanzas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Stephanie Hill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(presidenta), Ejecutiva,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Rebecca Jacoby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(presidenta), Ejecutiva, Finanzas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Hubert Joly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Robert Moritz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Maria Morris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(presidenta), Ejecutiva, Finanzas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Gregory Washington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Remuneración</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31,1 %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57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también sobre el control interno [4]</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3,58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 (Vanguard Capital Management LLC)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indexada (13G pasivo)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proxy recoge un 9,49 % del grupo Vanguard según su 13G/A de feb-2024. Tras la reorganización interna de Vanguard del 12-ene-2026, The Vanguard Group declara un 0 % (13G/A, evento del 13-mar-2026) y Vanguard Capital Management, un 7,38 % (22,41 M de acciones, a 31-mar-2026) [26, 40, 41]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(13G pasivo)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declarados desde su 13G/A del 26-ene-2024 (24,23 M de acciones) [26]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Markit Group Holdings Limited Employee Benefit Trust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Fideicomiso de empleados (herencia de IHS Markit)</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7,16 M de acciones a 2-mar-2026, contadas dentro de las acciones en circulación [26]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Consejeros y directivos (22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100.468 acciones a 2-mar-2026, más 47.123 unidades diferidas de los consejeros; compras en mercado de cuatro de ellos en feb-may 2026 [26, 30]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William Eager (presidente de Mobility)</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Hubert Joly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29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Martina Cheung (consejera delegada)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30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Robert Moritz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Catherine Clay (consejera delegada de S&amp;P Dow Jones Indices)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12,83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remuneración de Cheung en 2025 fue de 12,83 M USD: 1,0 M de salario, 2,45 M de variable anual (el 108,68 % del objetivo) y 8,98 M en acciones [26]. El variable anual depende en un 70 % del negocio (cuadro de mando de ingresos, margen EBITA y BPA ajustados) y en un 30 % de la evaluación individual [26]. El variable a largo plazo son acciones por objetivos (PSU) ligadas solo al BPA ajustado acumulado a tres años, con un tope del 200 %. No hay TSR relativo, ROIC ni flujo de caja: la empresa dice que no usa el TSR [26]. Las PSU de 2023 pagaron el 182,23 % del objetivo, con un BPA que creció al 17,62 % anual [26]. Hay tres cláusulas de recuperación (clawback): la obligatoria ante una reexpresión y dos más amplias por mala conducta [26]. El voto consultivo de 2025 se quedó en el 68,65 % a favor y el 31,09 % en contra sobre los votos presentes (68,8 % sobre los emitidos, según la empresa) [26, 28]. Lo explican los 4,5 M USD de indemnización mejorada a Adam Kansler (Market Intelligence) [33]. En 2024 había tenido un 95,14 % a favor [29] y en 2026 volvió al 93,69 % [27].</w:t>
      </w:r>
    </w:p>
    <w:p>
      <w:pPr>
        <w:pStyle w:val="Heading2"/>
      </w:pPr>
      <w:r>
        <w:t xml:space="preserve">Operaciones vinculadas, estructura de control y defensas</w:t>
      </w:r>
    </w:p>
    <w:p>
      <w:pPr>
        <w:spacing w:after="100"/>
      </w:pPr>
      <w:r>
        <w:t xml:space="preserve">No hay accionista de control: los mayores son gestoras pasivas (Vanguard, con un 7,38 % en su última declaración, y BlackRock, con un 7,99 %) que declaran no querer influir en el control [26, 41]. Hay una sola clase de acciones ordinarias. Los consejeros se eligen cada año y nueve de los diez son independientes; Hubert Joly y Robert Moritz entraron en 2026 y ampliaron el consejo de nueve a once miembros antes de la salida de William Green [26, 34, 35, 36]. Los accionistas con el 25 % del capital pueden convocar una junta extraordinaria. En 2026 la junta rechazó bajar ese umbral al 10 %: 97,5 M de votos a favor frente a 141,8 M en contra [26, 27]. Las únicas operaciones vinculadas que se publican son ventas ordinarias de datos y licencias a BlackRock (219,2 M USD de ingresos en 2025) y a Vanguard (101,2 M), en condiciones de mercado y revisadas por la comisión de nombramientos [26]. El presidente del consejo es independiente y no ejecutivo desde 2015, y preside las sesiones a puerta cerrada de los independientes [26].</w:t>
      </w:r>
    </w:p>
    <w:p>
      <w:pPr>
        <w:pStyle w:val="Heading2"/>
      </w:pPr>
      <w:r>
        <w:t xml:space="preserve">Señales de alerta</w:t>
      </w:r>
    </w:p>
    <w:p>
      <w:pPr>
        <w:pStyle w:val="ListParagraph"/>
        <w:numPr>
          <w:ilvl w:val="0"/>
          <w:numId w:val="2"/>
        </w:numPr>
        <w:spacing w:after="60"/>
      </w:pPr>
      <w:r>
        <w:t xml:space="preserve">Sanción de la SEC del 3-sep-2024: S&amp;P Global Ratings recibió una censura y pagó 20 M USD por no conservar las comunicaciones electrónicas (mensajes de texto y WhatsApp de empleados, también de altos cargos, desde 2020 al menos) [20].</w:t>
      </w:r>
    </w:p>
    <w:p>
      <w:pPr>
        <w:pStyle w:val="ListParagraph"/>
        <w:numPr>
          <w:ilvl w:val="0"/>
          <w:numId w:val="2"/>
        </w:numPr>
        <w:spacing w:after="60"/>
      </w:pPr>
      <w:r>
        <w:t xml:space="preserve">Voto de remuneración de 2025: 31,09 % en contra por la indemnización mejorada de 4,5 M USD a Adam Kansler; en 2026 bajó al 5,72 % [27, 28, 33].</w:t>
      </w:r>
    </w:p>
    <w:p>
      <w:pPr>
        <w:pStyle w:val="ListParagraph"/>
        <w:numPr>
          <w:ilvl w:val="0"/>
          <w:numId w:val="2"/>
        </w:numPr>
        <w:spacing w:after="60"/>
      </w:pPr>
      <w:r>
        <w:t xml:space="preserve">Rotación en la dirección financiera: la empresa tuvo un CFO interino (Christopher Craig) de feb-2024 a feb-2025 y Eric Aboaf llegó en feb-2025 con una prima de entrada de 2,4 M USD y acciones por 5,9 M USD [4, 32].</w:t>
      </w:r>
    </w:p>
    <w:p>
      <w:pPr>
        <w:pStyle w:val="ListParagraph"/>
        <w:numPr>
          <w:ilvl w:val="0"/>
          <w:numId w:val="2"/>
        </w:numPr>
        <w:spacing w:after="60"/>
      </w:pPr>
      <w:r>
        <w:t xml:space="preserve">Rotación de la cúpula en 2026: Saugata Saha dejó Market Intelligence el 30-jul-2026 sin sucesor nombrado en el 8-K, y Steven Kemps, jefe de los servicios jurídicos, se jubila el 31-dic-2026 con la búsqueda de sucesor abierta [37, 38].</w:t>
      </w:r>
    </w:p>
    <w:p>
      <w:pPr>
        <w:pStyle w:val="ListParagraph"/>
        <w:numPr>
          <w:ilvl w:val="0"/>
          <w:numId w:val="2"/>
        </w:numPr>
        <w:spacing w:after="60"/>
      </w:pPr>
      <w:r>
        <w:t xml:space="preserve">Auditor con 57 años de mandato: Ernst &amp; Young audita la empresa desde 1969 (rota el socio, no la firma); en la junta de 2026 recibió un 7,3 % de votos en contra [4, 26, 27].</w:t>
      </w:r>
    </w:p>
    <w:p>
      <w:pPr>
        <w:pStyle w:val="ListParagraph"/>
        <w:numPr>
          <w:ilvl w:val="0"/>
          <w:numId w:val="2"/>
        </w:numPr>
        <w:spacing w:after="60"/>
      </w:pPr>
      <w:r>
        <w:t xml:space="preserve">Litigio abierto: demanda colectiva en Australia desde ago-2020 por las calificaciones de CDO de 2005-2007, sin estimación de importe [4].</w:t>
      </w:r>
    </w:p>
    <w:p>
      <w:pPr>
        <w:pStyle w:val="ListParagraph"/>
        <w:numPr>
          <w:ilvl w:val="0"/>
          <w:numId w:val="2"/>
        </w:numPr>
        <w:spacing w:after="60"/>
      </w:pPr>
      <w:r>
        <w:t xml:space="preserve">Escisión de Mobility el 1-jul-2026 (Mobility Global, NYSE: MBGL): la guía y las cuentas de 2026 se recalculan sin Mobility y no se comparan con las anteriores [3, 9].</w:t>
      </w:r>
    </w:p>
    <w:p>
      <w:pPr>
        <w:pStyle w:val="ListParagraph"/>
        <w:numPr>
          <w:ilvl w:val="0"/>
          <w:numId w:val="2"/>
        </w:numPr>
        <w:spacing w:after="60"/>
      </w:pPr>
      <w:r>
        <w:t xml:space="preserve">El S-4 del 9-jul-2026 no es una alerta: es el canje ordinario de bonos no registrados (600 M USD al 4,25 % con vencimiento en 2031 y 400 M USD al 4,80 % con vencimiento en 2035) por bonos registrados iguales [49].</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La guía de 2026 se rehízo el 28-jul-2026 con los resultados del 2T26, ya sin Mobility (escindida el 1-jul-2026 y presentada como actividad interrumpida todo el año) [3]. Ingresos: +5,9-7,9 % sobre los 13.589 M de 2025 pro forma [1, 3]; crecimiento orgánico a tipo constante, +6-8 %. BPA diluido GAAP de operaciones continuadas: 16,35-16,60 USD; BPA ajustado: 17,50-17,75 USD, que excluye unos 785 M de amortización de intangibles de adquisiciones y los costes de compras y ventas de negocios. Margen operativo ajustado: +35-60 pb (+75-100 pb sin OSTTRA). Tipo impositivo, 22-23 %; gasto financiero neto ajustado, 390-410 M; inversión, 190-210 M. Recompras: más de 7.000 M en 2026, de las que 1.500 M se hicieron en el primer semestre [3]. Es la primera guía GAAP que da la empresa para 2026. MarketScreener cita que el BPA ajustado guiado quedó por debajo de los 18,50 USD que esperaba el consenso de FactSet [53].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14.765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24 analistas [52]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15.574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8.349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8.244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[52]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16.751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9.079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8.961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[52]</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14.608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14.765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15.631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15.574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16.803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16.751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8.906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8.895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 1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516,86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477,00 – 553,00</w:t>
            </w:r>
          </w:p>
        </w:tc>
      </w:tr>
    </w:tbl>
    <w:p>
      <w:pPr>
        <w:spacing w:after="160" w:before="0"/>
      </w:pPr>
    </w:p>
    <w:p>
      <w:pPr>
        <w:pStyle w:val="Heading2"/>
      </w:pPr>
      <w:r>
        <w:t xml:space="preserve">Revisiones de estimaciones</w:t>
      </w:r>
    </w:p>
    <w:p>
      <w:pPr>
        <w:spacing w:after="100"/>
      </w:pPr>
      <w:r>
        <w:t xml:space="preserve">No hay historial gratuito de revisiones en texto: MarketScreener solo lo da en un gráfico [53]. El cambio relevante es de perímetro. Tras la escisión de Mobility (1-jul-2026), la guía del 28-jul fijó el BPA ajustado de 2026 en 17,50-17,75 USD, frente a 18,50 USD del consenso de FactSet, que aún contaba con Mobility [3, 53]. Las fuentes no casan del todo. Stock Analysis da 17,86 USD de BPA ajustado para 2026 (por encima del máximo de la guía) y 20,19 USD para 2027, con 18 analistas en la tabla de estimaciones [54]. MarketScreener da 16,17 y 17,78 USD [52], cifras que encajan con un BPA GAAP: su beneficio neto de 2027, 5.060 M, sale de restar al EBIT ajustado unos 785 M de amortización de adquisiciones después de impuestos (estimación propia).</w:t>
      </w:r>
    </w:p>
    <w:p>
      <w:pPr>
        <w:pStyle w:val="Heading1"/>
      </w:pPr>
      <w:r>
        <w:t xml:space="preserve">16. Comportamiento en bolsa</w:t>
      </w:r>
    </w:p>
    <w:p>
      <w:pPr>
        <w:pStyle w:val="Confianza"/>
        <w:spacing w:after="100"/>
      </w:pPr>
      <w:r>
        <w:t xml:space="preserve">Confianza: Media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2,2 %</w:t>
            </w:r>
          </w:p>
        </w:tc>
      </w:tr>
    </w:tbl>
    <w:p>
      <w:pPr>
        <w:spacing w:after="160" w:before="0"/>
      </w:pPr>
    </w:p>
    <w:p>
      <w:pPr>
        <w:spacing w:after="100"/>
      </w:pPr>
      <w:r>
        <w:t xml:space="preserve">Precio de cierre del viernes 9-oct-2026: el 12 de octubre la sesión no ha cerrado [50]. S&amp;P Global pierde un 16,9 % en el año, frente al +15,1 % del S&amp;P 500 (SPY) y el +1,1 % del sector financiero (XLF). El daño se concentra en febrero: −11,3 % el 3-feb y −9,7 % el 10-feb, día de los resultados anuales [50, 52]. El mínimo de 52 semanas, 361,03 USD, llegó el 12-feb; desde ahí sube un 13 %. Desde 2023 se queda por detrás del índice todos los años, y a cinco años da un 0,9 % anual frente al 13,9 %. Yahoo trata la escisión de Mobility del 1-jul-2026 (una acción de MBGL por cada SPGI) como un desdoblamiento de 1,057 por 1: divide por 1,057 todos los precios anteriores, así que las rentabilidades ya incluyen el valor de MBGL (21,19 USD el 1-jul, un 5,2 % del cierre del 30-jun sin ajustar). El error frente a una corrección exacta es de unos 0,2 puntos. La posición corta, 6,46 M de acciones, es el 2,2 % del flotante [55].</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El EV/EBITDA de los últimos doce meses (18,9 veces) está un 24 % por debajo de la mediana de 2019-2025 (24,9 veces) y por debajo del mínimo de la serie (20,8 veces), y el PER (25,8 veces) un 32 % por debajo. Dos cosas lo explican. La primera, el tipo a 10 años, hoy en el 5,24 % [56], muy por encima del de 2019-2021, y el múltiplo de un negocio de crecimiento constante es muy sensible a él. La segunda, el miedo a la IA en datos: la acción cae un 16,9 % en el año, con caídas del 11,3 % y el 9,7 % en dos días de febrero [50]. Los precios anteriores a 2026 incluyen Mobility, lo que infla algo la historia. No vemos un cambio estructural en la calidad del negocio, pero tampoco una anomalía: el múltiplo de 2019-2021 se pagó con tipos casi nulos.</w:t>
      </w:r>
    </w:p>
    <w:p>
      <w:pPr>
        <w:pStyle w:val="Heading1"/>
      </w:pPr>
      <w:r>
        <w:t xml:space="preserve">18. Comparables cotizados</w:t>
      </w:r>
    </w:p>
    <w:p>
      <w:pPr>
        <w:pStyle w:val="Confianza"/>
        <w:spacing w:after="100"/>
      </w:pPr>
      <w:r>
        <w:t xml:space="preserve">Confianza: Media</w:t>
      </w:r>
    </w:p>
    <w:p>
      <w:pPr>
        <w:spacing w:after="100"/>
      </w:pPr>
      <w:r>
        <w:t xml:space="preserve">Nueve cotizadas de datos, índices, calificaciones y bolsas con el mismo modelo de suscripción e ingresos recurrentes. Moody's es el gemelo de Calificaciones. MSCI es el rival en índices y analítica. Verisk, FactSet y Thomson Reuters compiten en datos y analítica, y LSEG con Refinitiv. ICE, CME y Nasdaq cuentan por índices, datos y la presencia de CME en S&amp;P Dow Jones Indices. Queda fuera Morningstar: no se encontró su página de estimaciones en MarketScreener. Cifras de MarketScreener (ventas, EBITDA, BPA y flujo libre, real de 2025 y estimaciones de 2026-2027) [59, 60, 61, 62, 63, 64, 65, 66, 67]. Acciones, deuda neta, ROIC y precio del 9-oct-2026, de Stock Analysis [68, 69, 70, 71, 72, 73, 74, 75, 76] y Yahoo [50]. LSEG, de libras a dólares a 1,323 [50].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S&amp;P Global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120.266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Moody's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80.395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41.084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Intercontinental Exchange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87.684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CME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100.884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Nasdaq</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52.348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Verisk Analytics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23.120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Thomson Reuters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44.713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London Stock Exchange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55.304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FactSet Research Systems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10.215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31,7 %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 / 14,2x / 18,4x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308,59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327,71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442,45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 / 15,3x / 20,5x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319,20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319,20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448,15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22,0x / 23,7x / 25,0x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383,40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413,03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435,68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14.310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6,1x / 10,2x / 10,9x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233,85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435,23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471,13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(9 comparables): múltiplo = 8,7 + 0,85 × crecimiento; R² = 0,15. El crecimiento explica poco los múltiplos de estos comparables (R² &lt; 0,3): la regresión no se usa en la valoración.</w:t>
      </w:r>
    </w:p>
    <w:p>
      <w:pPr>
        <w:spacing w:after="100"/>
      </w:pPr>
      <w:r>
        <w:t xml:space="preserve">S&amp;P Global cotiza a 18,9 veces el EBITDA de los últimos doce meses y 17,1 veces el de los próximos, frente a una mediana de 15,3 y 14,2 veces de los nueve comparables, y a 23,4 veces el beneficio de los próximos doce meses, en línea con la mediana (23,7). La prima en EV/EBITDA se explica por la mezcla: Ratings e Indices valen como Moody's (18,4 veces) y MSCI (20,3 veces), y Market Intelligence como FactSet (11,4 veces). El crecimiento no explica los múltiplos de este grupo (R² 0,15), de modo que no usamos la regresión. Usamos la mediana de EV/EBITDA y de PER de los próximos doce meses, que dan 370,37 USD de media. El PER (413,03 USD a la mediana) sale más alto que el EV/EBITDA (327,71 USD) porque los minoritarios a mercado y la deuda pesan en el valor empresa, no en el beneficio por acción.</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MarketAxess Holdings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Intercontinental Exchange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Pendiente, en efectivo: 167 USD por acción. Ventas (870 M) y EBITDA (430 M) de los últimos 12 meses a junio de 2026; la prima es la que publica el folleto [80, 81].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With Intelligence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S&amp;P Global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Vendedor, Motive Partners (capital privado). Unos 130 M de ingresos esperados en 2025, con crecimiento del valor anual de contratos en la parte alta de la decena; el múltiplo es sobre esos ingresos previstos. No se publicó el EBITDA [79].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Preqin</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BlackRock</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2.550 M GBP (unos 3.200 M USD) en efectivo por el 100 % del capital [78]. El 8-K no da ingresos ni EBITDA, así que no hay múltiplo verificado.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Adenza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Nasdaq</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Thoma Bravo, con 5.750 M en efectivo y 85,6 M de acciones de Nasdaq. Múltiplos sobre las previsiones de 2023 que publicó Nasdaq (unos 590 M de ingresos y un margen EBITDA ajustado del 58 %), no sobre los últimos 12 meses: estimación propia [82].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IHS Markit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S&amp;P Global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en acciones: 0,2838 acciones de S&amp;P Global por cada una de IHS Markit. Valor empresa publicado, 44.000 M, con 4.800 M de deuda neta. Ventas (4.288 M) y EBITDA ajustado (1.837 M) del ejercicio cerrado en noviembre de 2020 [83, 84].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Refinitiv</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London Stock Exchange Group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acciones: los vendedores (Blackstone y Thomson Reuters) se quedaron con el 37 % económico de LSEG. El valor empresa incluye 12.500 M de deuda neta. Ingresos ajustados de 2018, 6.204 M; EBITDA ajustado, 2.054 M, antes de los 650 M de ahorros en marcha [77]. Anunciada en agosto de 2019 y cerrada en enero de 2021, al límite del periodo de siete años.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2022-05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Black Knight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Cerrada en septiembre de 2023 a 76 USD por acción. La cifra es lo pagado por las acciones; además, ICE asumió unos 1.000 M de bonos. No hay EBITDA oficial del perímetro comprado [85].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18,6x (13,1x – 25,7x)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399,79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264,02 – 576,48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cinco operaciones con múltiplo dan una mediana de 399,79 USD por acción, con un rango de 264,02 a 576,48 USD: es valor de control. La propia fusión con IHS Markit se cerró a 24,0 veces el EBITDA y Adenza a 30,7 veces, con tipos más bajos; MarketAxess (13,0 veces, 2026) y Refinitiv (13,1 veces) marcan el suelo [77, 80, 82, 83]. Con 120.266 M de capitalización y sin accionista de control, S&amp;P Global no es objetivo de compra realista: por eso pesan solo un 5 %. Sirven para ver que el mercado privado paga por los activos de datos más que la bolsa hoy, y que una escisión de Capital IQ Pro podría cristalizar valor [91].</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(+7,5 %) queda fijo: con dos trimestres publicados (+10,7 % y +10,9 % pro forma) y una guía de +5,9-7,9 %, el segundo semestre solo necesita crecer en torno al 4,5 % pese a la emisión floja del 3T [3, 93]. Para 2027-2030 proyectamos 7,0-7,5 %, en línea con el consenso (+0,4 % en 2027 y +0,3 % en 2028 frente a MarketScreener) y con el 7-8 % orgánico que la empresa logró de media fuera de 2022 [6, 52]. Desde 2031 baja medio punto al año hasta el 4,5 % de 2035, porque Ratings depende del ciclo de crédito y Market Intelligence crece al 5,5-7 % [3]. El crecimiento medio de la proyección es del 6,4 %, por debajo del 7,4 % anual del mercado de datos financieros en 2019-2025 [14, 15].</w:t>
      </w:r>
    </w:p>
    <w:p>
      <w:pPr>
        <w:keepNext/>
        <w:spacing w:after="100"/>
      </w:pPr>
      <w:r>
        <w:rPr>
          <w:b/>
          <w:bCs/>
        </w:rPr>
        <w:t xml:space="preserve">Márgenes.</w:t>
      </w:r>
    </w:p>
    <w:p>
      <w:pPr>
        <w:spacing w:after="100"/>
      </w:pPr>
      <w:r>
        <w:t xml:space="preserve">El margen EBITDA pasa del 51,5 % de 2026e al 55,0 % en 2033e. Partimos del 51,1 % de los últimos doce meses sin no recurrentes y la guía de +35-60 pb de margen ajustado en 2026 (+75-100 pb sin OSTTRA) [3]. La empresa ha subido el margen operativo ajustado del 52,3 % al 54,3 % en un año [3]; el plan es ganar 50-100 pb anuales, y Ratings (65 %) e Indices (70 %) tienen márgenes muy superiores a Energy (46 %) y MI (33 %) [2]. El 55 % final queda por debajo de MSCI (60,8 %) y CME (71 %) y por encima de Moody's (51,1 %) [59, 60, 62]. Coincide con el consenso de 2027-2028 una vez restado el 1,1 % de las ventas que el consenso deja fuera.</w:t>
      </w:r>
    </w:p>
    <w:p>
      <w:pPr>
        <w:keepNext/>
        <w:spacing w:after="100"/>
      </w:pPr>
      <w:r>
        <w:rPr>
          <w:b/>
          <w:bCs/>
        </w:rPr>
        <w:t xml:space="preserve">Inversión y circulante.</w:t>
      </w:r>
    </w:p>
    <w:p>
      <w:pPr>
        <w:spacing w:after="100"/>
      </w:pPr>
      <w:r>
        <w:t xml:space="preserve">El capex sube del 1,4 % de las ventas (guía de 190-210 M en 2026) al 2,0 % [3]. La amortización baja del 6,0 % al 2,0 %: hoy es sobre todo la de intangibles de IHS Markit (≈ 785 M en 2026), que se agota, y al final converge al capex, como pide el estado estacionario [3]. El circulante se queda en el −10 % de las ventas (media de −9,3 a −11,0 % en 2019-2025): los clientes pagan las suscripciones por adelantado. No metemos compras en la proyección: la guía orgánica ya da el 6-8 % y las compras pequeñas (With Intelligence, 1.800 M) se financian aparte [79].</w:t>
      </w:r>
    </w:p>
    <w:p>
      <w:pPr>
        <w:keepNext/>
        <w:spacing w:after="100"/>
      </w:pPr>
      <w:r>
        <w:rPr>
          <w:b/>
          <w:bCs/>
        </w:rPr>
        <w:t xml:space="preserve">Coste del capital.</w:t>
      </w:r>
    </w:p>
    <w:p>
      <w:pPr>
        <w:spacing w:after="100"/>
      </w:pPr>
      <w:r>
        <w:t xml:space="preserve">Tasa libre: el bono del Tesoro a 10 años al 5,24 % del 9-oct-2026 [56]. Beta ajustada de 1,05 (1,07 mensual a cinco años frente al SPY) [50]. Prima de mercado del 5,5 %, el centro del rango del método; la prima implícita de Damodaran de octubre de 2026 (4,20 %) se usa en la regla relativa [57]. Sin prima adicional: vende en todo el mundo, pero cotiza y factura sobre todo en USD. Coste de la deuda del 5,9 % antes de impuestos, el de una emisión nueva a diez años con su calificación de grado de inversión (los cupones vivos rondan el 2,4 %) [7]. Peso de la deuda del 9,9 % a valor de mercado. Resultado: coste del capital del 11,02 % y WACC del 10,38 %.</w:t>
      </w:r>
    </w:p>
    <w:p>
      <w:pPr>
        <w:keepNext/>
        <w:spacing w:after="100"/>
      </w:pPr>
      <w:r>
        <w:rPr>
          <w:b/>
          <w:bCs/>
        </w:rPr>
        <w:t xml:space="preserve">Valor terminal.</w:t>
      </w:r>
    </w:p>
    <w:p>
      <w:pPr>
        <w:spacing w:after="100"/>
      </w:pPr>
      <w:r>
        <w:t xml:space="preserve">Gordon con un 3,5 % nominal en USD: inflación esperada de ≈ 2,5 % más un punto real, por debajo de la tasa libre menos medio punto (4,7 %). Los ingresos de calificaciones, índices y suscripciones están indexados al volumen nominal de deuda, de activos y de precios, y el foso es amplio. El valor terminal pesa el 56 % del valor empresa y supone 11,4 veces el EBITDA de salida, por debajo de la mediana actual de los comparables (15,3 veces) y de las transacciones, de modo que la salida es prudente.</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9,15 %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3.012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4.429</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157.772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222.268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49.158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63.497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112.655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-9.181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94.898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321,80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414,21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446,65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373,82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399,75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339,80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360,87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310,77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328,12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261,97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273,08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285,70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300,15</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333,94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362,04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341,47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370,10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349,01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378,15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356,54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386,21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335,88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364,08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394,27</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-5.054 M (-6 % del NOPAT)</w:t>
            </w:r>
          </w:p>
        </w:tc>
      </w:tr>
    </w:tbl>
    <w:p>
      <w:pPr>
        <w:spacing w:after="160" w:before="0"/>
      </w:pPr>
    </w:p>
    <w:p>
      <w:pPr>
        <w:spacing w:after="100"/>
      </w:pPr>
      <w:r>
        <w:t xml:space="preserve">La proyección apenas necesita inversión neta de la amortización (reinversión acumulada de -5.054 M, con un capex bruto medio del 1,7 % de las ventas). En un negocio de activos ligeros, el crecimiento medio del 6,4 %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+6-8 % orgánico: Ratings +5-8 % por emisión facturada, Indices +12-14 % por patrimonio en ETF, MI +5,5-7 % y Energy +4,5-6 % con subidas de tarifa de 3-4 % [3]. «Otros», la compra de With Intelligence (cerrada a finales de 2025) [79].</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más emisión por el muro de vencimientos de 2027-2029 y la deuda de los hiperescaladores; precio: subidas anuales de suscripciones y tarifas de calificación [10].</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Crecen los activos indexados (5,48 billones USD en ETF ligados a S&amp;P en 2025, +25 %) y los productos de IA de Kensho [3, 10].</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Mismo ritmo que el mercado de datos financieros (7,4 % anual en 2019-2025) [14].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Empieza a moderarse el volumen; el precio se apoya en contratos plurianuales con subidas pactadas.</w:t>
            </w:r>
          </w:p>
        </w:tc>
      </w:tr>
    </w:tbl>
    <w:p>
      <w:pPr>
        <w:spacing w:after="160" w:before="0"/>
      </w:pPr>
    </w:p>
    <w:p>
      <w:pPr>
        <w:spacing w:after="100"/>
      </w:pPr>
      <w:r>
        <w:t xml:space="preserve">Sí. El crecimiento medio del 6,4 % no pide capital: la reinversión neta acumulada es negativa (−5.054 M), porque el capex es del 1,7 % de las ventas y el circulante es negativo. La prueba es el poder de precios y la cuota, y las dos se sostienen. S&amp;P tiene el 49,6 % de las calificaciones vigentes y las tres grandes suman el 92,4 % de los ingresos del sector, sin perder cuota en años [12]. Sube tarifas por encima de la inflación (la mitad del crecimiento proyectado es precio) y los ingresos han crecido en todos los años salvo 2022, el del frenazo de emisiones. La proyección (6,4 %) queda por debajo del 7,4 % anual del mercado de datos en 2019-2025 [14]. El riesgo no es de capacidad sino de ciclo y de IA en Market Intelligence.</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9,2 % (base: 6,3 %)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67,2 % (base: 55,0 %)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9,1 % (WACC: 10,4 %)</w:t>
            </w:r>
          </w:p>
        </w:tc>
      </w:tr>
    </w:tbl>
    <w:p>
      <w:pPr>
        <w:spacing w:after="160" w:before="0"/>
      </w:pPr>
    </w:p>
    <w:p>
      <w:pPr>
        <w:spacing w:after="100"/>
      </w:pPr>
      <w:r>
        <w:t xml:space="preserve">El DCF da 321,80 USD por acción, un 21,1 % por debajo del precio de 407,82 USD, con un WACC del 10,38 % y un valor terminal que pesa el 56 %. La diferencia no está en las cuentas: nuestra proyección coincide con el consenso de 2027-2028 casi al céntimo. Está en la tasa de descuento. El DCF inverso dice que, a 407,82 USD, el precio descuenta un crecimiento anual del 9,2 % en 2027-2035 frente al 6,3 % de nuestro caso base, o un margen EBITDA del 67,2 % en vez del 55 %; dicho de otro modo, el precio rinde un 9,1 % anual con nuestros flujos. Eso queda por debajo de nuestro coste de capital (10,38 %) y apenas por debajo del que pide hoy el mercado a una acción de beta 1,05 (9,15 % con la prima implícita del 4,20 %). Con la prima del mercado el DCF sube a 405,64 USD, el precio de hoy. Es exigente frente a la historia de crecimiento (7-8 % orgánico), aunque el múltiplo esté en mínimos de siete años: el bono al 5,24 % explica más la caída del múltiplo que cualquier deterioro del negocio.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211,29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frenazo de emisiones como el de 2022, cuando los ingresos de Ratings cayeron con fuerza al subir los tipos, se repite en 2027: crecimiento 9 puntos menor y margen 3,5 puntos más bajo ese año. Además, la IA generativa abarata la búsqueda de datos y Market Intelligence crece por debajo del 4 %, con un crecimiento medio del 3 % y un WACC medio punto más alto.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321,80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cumple la guía de 2026, Ratings acompaña al muro de vencimientos de 2027-2029, Indices crece con los activos indexados y el margen sube 50 pb al año hasta el 55 %, en línea con el consenso.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422,42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IA se convierte en una fuente de ingresos (API de Kensho, datos para modelos de lenguaje) y el crédito privado añade una línea nueva a Ratings: el crecimiento sube 1,5 puntos, el margen 1,5 puntos y el mercado paga menos riesgo (WACC −0,5 puntos, terminal del 3,75 %).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USD) · precio actual 407,8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319,33 USD (-21,7 %).</w:t>
      </w:r>
    </w:p>
    <w:p>
      <w:pPr>
        <w:spacing w:after="100"/>
      </w:pPr>
      <w:r>
        <w:t xml:space="preserve">Con nuestro coste de capital, la asimetría es desfavorable: el alcista vale 422,42 USD (+3,6 %) y el bajista 211,29 USD (−48,2 %). Ni el escenario bueno da un recorrido apreciable desde 407,82 USD. Con la prima implícita del mercado (4,20 %) el cuadro mejora: alcista de 546,85 USD, bajista de 260,63 USD y asimetría de 0,94 veces. Es decir, el precio ya descuenta un caso entre el base y el alcista. El bajista es verosímil: en 2022 el grupo creció a pulso solo por la fusión y su BPA ajustado quedó un 16 % por debajo de la guía inicial [44, 45]. No compensa comprar a este precio.</w:t>
      </w:r>
    </w:p>
    <w:p>
      <w:pPr>
        <w:pStyle w:val="Heading1"/>
      </w:pPr>
      <w:r>
        <w:t xml:space="preserve">22. Suma de partes</w:t>
      </w:r>
    </w:p>
    <w:p>
      <w:pPr>
        <w:pStyle w:val="Confianza"/>
        <w:spacing w:after="100"/>
      </w:pPr>
      <w:r>
        <w:t xml:space="preserve">Confianza: Media</w:t>
      </w:r>
    </w:p>
    <w:p>
      <w:pPr>
        <w:spacing w:after="100"/>
      </w:pPr>
      <w:r>
        <w:t xml:space="preserve">La suma de partes da 417,40 USD por acción (+2,3 %), con 140.848 M de valor empresa: Ratings aporta casi la mitad. Usa el beneficio operativo ajustado de 2025 reexpresado, que excluye la amortización de adquisiciones y por eso compara con múltiplos de EBITDA [2]. Restamos los minoritarios a valor de mercado (el 27 % de CME en S&amp;P DJI y los de Crisil), 8.900 M [1]. Es el método que mejor recoge que Indices y Ratings valen más que Market Intelligence. Sin descuento de conglomerado: la escisión de Mobility y el rumor sobre Capital IQ Pro muestran que la dirección está dispuesta a separar negocios [91].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1640"/>
        <w:gridCol w:w="1025"/>
        <w:gridCol w:w="820"/>
        <w:gridCol w:w="1025"/>
        <w:gridCol w:w="3078"/>
      </w:tblGrid>
      <w:tr>
        <w:trPr>
          <w:cantSplit/>
          <w:tblHeader/>
        </w:trPr>
        <w:tc>
          <w:tcPr>
            <w:tcW w:type="dxa" w:w="20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Negocio</w:t>
            </w:r>
          </w:p>
        </w:tc>
        <w:tc>
          <w:tcPr>
            <w:tcW w:type="dxa" w:w="16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Métrica</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de la métrica</w:t>
            </w:r>
          </w:p>
        </w:tc>
        <w:tc>
          <w:tcPr>
            <w:tcW w:type="dxa" w:w="8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empresa</w:t>
            </w:r>
          </w:p>
        </w:tc>
        <w:tc>
          <w:tcPr>
            <w:tcW w:type="dxa" w:w="30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 del múltiplo</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Ratings</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 ajustado 2025 (reexpresado)</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3.076</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67.672</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Moody's cotiza a 20,7 veces el EBITDA de los últimos doce meses y 18,4 el de los próximos [59]; Ratings tiene un margen mayor (65 %) y una cuota del 49,6 %, pero es más cíclico que Moody's Analytics, de ahí 22 veces el beneficio operativo ajustado.</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Indices</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 ajustado 2025 (reexpresado)</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1.301</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31.224</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MSCI cotiza a 23,2 veces el EBITDA de los últimos doce meses [60]; S&amp;P DJI tiene un margen del 70 % y comisiones ligadas a activos, de ahí 24 veces.</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Energy</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 ajustado 2025 (reexpresado)</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1.159</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20.862</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Platts es un índice de referencia de precios y CERA, datos de suscripción: 18 veces, entre Verisk (15,3) y las bolsas con datos (ICE 15,3, CME 20,5) [61, 62, 66].</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Market Intelligence</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 ajustado 2025 (reexpresado)</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1.549</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23.235</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Datos y plataformas como FactSet (13,0 veces), Thomson Reuters (15,3) y LSEG (10,8) [64, 65, 67]: 15 veces.</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y eliminaciones</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 ajustado 2025 (reexpresado)</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-2.145</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Costes centrales no asignados (−110 M) al múltiplo medio de los negocios (19,5 veces), como pide la lección de CSL.</w:t>
            </w:r>
          </w:p>
        </w:tc>
      </w:tr>
    </w:tbl>
    <w:p>
      <w:pPr>
        <w:spacing w:after="160" w:before="0"/>
      </w:pPr>
    </w:p>
    <w:p>
      <w:pPr>
        <w:spacing w:after="100"/>
      </w:pPr>
      <w:r>
        <w:rPr>
          <w:b/>
          <w:bCs/>
        </w:rPr>
        <w:t xml:space="preserve">Valor por acción por suma de partes:</w:t>
      </w:r>
      <w:r>
        <w:t xml:space="preserve"> 417,40 (+2,3 %); con ±1x en los múltiplos, 345,76 – 489,04.</w:t>
      </w: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USD) · precio actual 407,8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407,82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522,47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516,86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327,71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442,45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413,03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435,68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399,79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576,48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321,80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373,82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319,33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422,42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417,40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489,04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405,64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451,29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405,78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407,82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409,86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319,33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spacing w:after="100"/>
      </w:pPr>
      <w:r>
        <w:rPr>
          <w:b/>
          <w:bCs/>
        </w:rPr>
        <w:t xml:space="preserve">Valor objetivo ponderado:</w:t>
      </w:r>
      <w:r>
        <w:t xml:space="preserve"> 351,69 USD (-13,8 % sobre 407,82).</w:t>
      </w:r>
    </w:p>
    <w:p>
      <w:pPr>
        <w:spacing w:after="100"/>
      </w:pPr>
      <w:r>
        <w:t xml:space="preserve">Pesamos el DCF un 35 % y los escenarios un 20 % porque son los que recogen el coste del capital, que es lo que hoy decide. Los comparables (25 %) y la suma de partes (15 %) recogen lo que paga el mercado por cada negocio. Las transacciones, un 5 %, porque llevan prima de control. La dispersión es grande: de 319,33 USD (escenarios) a 417,40 USD (suma de partes). Los métodos de mercado quedan cerca del precio y los de flujos, un 21 % por debajo, que es la misma lectura del DCF inverso: el mercado valora S&amp;P Global con una rentabilidad exigida del 9,1 %, por debajo de nuestro 10,38 %. El valor objetivo es de 351,69 USD (−13,8 %); con la prima implícita del mercado, de 398,10 USD (−2,4 %). Restamos los minoritarios a valor de mercado (8.900 M, frente a 5.139 M contables, unos 12,8 USD por acción) [1]. La caja de Mobility a 30-jun se estima.</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los primeros sin Mobility</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Prueba de la emisión floja del trimestre en Ratings y del crecimiento de MI; posible anuncio de una recompra acelerada (ASR) para llegar a los más de 7.000 M del año [3, 51].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Recompras del segundo semestre (≈ 5.500 M pendientes)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Retiran cerca del 4,6 % del capital a 407,82 USD, financiadas con la distribución de Mobility y unos 2.000 M de deuda nueva [10].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guía anual completa sin Mobility; el consenso espera +5,5 % de ingresos en 2027 [52].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Muro de vencimientos de deuda corporativa y emisiones de los hiperescaladores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emisión facturada en Ratings (250.000-300.000 M USD de deuda de hiperescaladores previstos en 2026) [10].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12-18 meses</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Posible escisión o venta de Capital IQ Pro (informaciones de prensa del 1-sep-2026, sin confirmar)</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Cristalizaría el valor de Market Intelligence y dejaría un grupo de referencias con más margen [91].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31-dic-2026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Relevo del jefe de los servicios jurídicos y sucesor en Market Intelligence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Dos puestos clave por cubrir en plena reorganización de MI [37, 38].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Frenazo de emisiones de deuda (Ratings, 34 % de los ingresos y 43 % del beneficio)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−34 % (escenario bajista, 211,29 USD, frente al base)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78 % de los ingresos del grupo no depende de la emisión; la parte no transaccional de Ratings (vigilancia) es recurrente [3].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por transacción de Ratings por debajo del −10 % interanual en un trimestre.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generativa que abarata los datos y las plataformas de Market Intelligence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Tecnológico y competitivo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a −15 % (MI al múltiplo de LSEG, 10,8 veces, en vez de 15)</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Datos propietarios (Capital IQ, Visible Alpha) y venta por API a los propios modelos: el volumen de llamadas se multiplicó por cinco en el 2T26 [10].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Suscripciones de MI por debajo del +4 % o caída de la retención.</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Tipos de interés altos de forma persistente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 por cada medio punto más de WACC (tabla de sensibilidad)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 los precios con la inflación; poca deuda (1,3 veces el EBITDA).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 a 10 años por encima del 5,5 %.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Apalancamiento para recompras por encima del objetivo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 (más gasto financiero)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de volver a 2,0-2,5 veces a finales de 2027 [10].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bruta sobre EBITDA por encima de 3 veces.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y litigios de las agencias de calificación (SEC, ESMA, demandas colectivas)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a −5 %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Historial: el acuerdo de 1.375 M de 2015 se pagó sin dañar el negocio [18].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investigaciones de la SEC o del Departamento de Justicia.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 licencias o de cuota en índices (renovaciones con Cboe y CME)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Cboe amplió 25 años su licencia exclusiva sobre el S&amp;P 500 en sep-2026 [93, 94].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 cuota de los ETF ligados a índices S&amp;P en las entradas.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Ejecución tras la escisión: reorganización de MI sin responsable y costes varados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Ejecución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Contrato de servicios transitorios cobrado a Mobility Global hasta 18 meses [9].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de MI por debajo del 33 % o costes no asignados por encima de 215 M.</w:t>
            </w:r>
          </w:p>
        </w:tc>
      </w:tr>
    </w:tbl>
    <w:p>
      <w:pPr>
        <w:spacing w:after="160" w:before="0"/>
      </w:pPr>
    </w:p>
    <w:p>
      <w:pPr>
        <w:pStyle w:val="Heading2"/>
      </w:pPr>
      <w:r>
        <w:t xml:space="preserve">Pre-mortem</w:t>
      </w:r>
    </w:p>
    <w:p>
      <w:pPr>
        <w:spacing w:after="100"/>
      </w:pPr>
      <w:r>
        <w:t xml:space="preserve">Es octubre de 2029 y la acción vale un 40 % menos. Lo que pasó: en 2027 el bono a 10 años siguió por encima del 5 % y los diferenciales se abrieron con la primera recesión desde 2020. La emisión de deuda corporativa cayó un 25 % y los ingresos transaccionales de Ratings, que habían crecido un 25 % en el 2T26, cayeron en la misma proporción, como en 2022. Al mismo tiempo, los grandes bancos y gestoras sustituyeron parte de sus licencias de Capital IQ por asistentes de IA que leen directamente los documentos de EDGAR, y Market Intelligence pasó a crecer un 2 %. El margen no subió: la dirección había financiado más de 7.000 M de recompras con deuda en 2026 y el apalancamiento de 2,8 veces le quitó margen para comprar barato. El mercado dejó de pagar 18,9 veces el EBITDA por un grupo que crecía al 3 % y el múltiplo bajó a 13-14 veces, como FactSet o LSEG. Los indicadores que lo habrían anticipado: la emisión facturada de Ratings en negativo dos trimestres seguidos, las suscripciones de MI por debajo del +4 % y una guía de 2027 por debajo del 5 %.</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Los asuntos ESG que más mueven las cifras son de gobierno. Primero, la </w:t>
      </w:r>
      <w:r>
        <w:rPr>
          <w:b/>
        </w:rPr>
        <w:t xml:space="preserve">integridad y los conflictos de interés en Ratings</w:t>
      </w:r>
      <w:r>
        <w:t xml:space="preserve"> (43 % del beneficio ajustado [2]): el modelo emisor-paga es el riesgo histórico del negocio (acuerdo de 1.375 M USD en 2015 por las calificaciones previas a la crisis [18]) y la SEC vigila ahora las calificaciones privadas de crédito privado por su opacidad [12]. Segundo, la </w:t>
      </w:r>
      <w:r>
        <w:rPr>
          <w:b/>
        </w:rPr>
        <w:t xml:space="preserve">regulación de calificaciones ESG</w:t>
      </w:r>
      <w:r>
        <w:t xml:space="preserve">: el reglamento europeo se aplica desde mediados de 2026 y el británico desde junio de 2028, con costes de cumplimiento para Ratings y Energy [4]. Tercero, </w:t>
      </w:r>
      <w:r>
        <w:rPr>
          <w:b/>
        </w:rPr>
        <w:t xml:space="preserve">privacidad, ciberseguridad y resiliencia operativa</w:t>
      </w:r>
      <w:r>
        <w:t xml:space="preserve"> (DORA desde enero de 2025; MI está designada en algunos casos proveedor crítico) [4]. El capital humano importa: 44.500 empleados, el 59 % en Asia [4]. Las emisiones directas no son materiales en un negocio de datos.</w:t>
      </w:r>
    </w:p>
    <w:p>
      <w:pPr>
        <w:pStyle w:val="Heading2"/>
      </w:pPr>
      <w:r>
        <w:t xml:space="preserve">Controversias</w:t>
      </w:r>
    </w:p>
    <w:p>
      <w:pPr>
        <w:spacing w:after="100"/>
      </w:pPr>
      <w:r>
        <w:t xml:space="preserve">El 3-sep-2024 la SEC multó a S&amp;P Global Ratings con 20 M USD por no conservar comunicaciones de empleados por WhatsApp y mensajes de texto sobre calificaciones desde al menos enero de 2020; la agencia admitió los hechos [20]. Sigue abierta una demanda colectiva presentada en Australia el 7-ago-2020 por pérdidas en CDO calificados entre 2005 y 2007, sin provisión cuantificada [4]. La empresa declara inspecciones y consultas habituales de reguladores, también sobre competencia y ESG [4]. Antecedente: el acuerdo de 1.375 M USD con el Departamento de Justicia y varios estados de febrero de 2015 [18].</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¿Cómo se ejecutarán los ≈ 5.500 M pendientes del año y a qué apalancamiento se quiere llegar en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Retiran cerca del 4,6 % del capital y dejan la deuda en 2,7-2,8 veces, por encima del objetivo [10].</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en Market Intelligence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ingresos generan ya las API para modelos de lenguaje y qué parte de las suscripciones de MI está en riesgo de sustitución?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principal temor del mercado y la dirección no lo cuantificó en la conferencia del 2T26 [10, 93].</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 IQ Pro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estudia separar o vender Capital IQ Pro?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Cristalizaría el valor de MI; hoy solo hay informaciones de prensa sin confirmar [91].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Ratings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emisión facturada se espera en el 3T26 y en 2027, y cuánto pesa ya el crédito privado?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Ratings aporta el 43 % del beneficio y la emisión del 3T fue floja [93].</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Minoritarios en Indices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planes de comprar el 27 % de CME en S&amp;P DJI y a qué precio de referencia?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Valorado a mercado son unos 12,8 USD por acción más de deuda que a valor contable [1].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Ganancias por ventas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ventas de negocios explican los 1,20 USD por acción de ganancias incluidos en la guía GAAP de 2026?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ganancias por ventas casi todos los años y el BPA GAAP las incluye [3].</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Remuneración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qué las PSU dependen solo del BPA ajustado, sin ROIC ni TSR?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Premian recompras y compras más que el rendimiento del capital; el voto en contra llegó al 31 % en 2025 [26, 28].</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Motley Fool (columnistas, resultados del 2T26)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Coinciden en que la caída del día de resultados fue un efecto de comparar con Mobility y de leer el BPA GAAP en vez del ajustado, y la ven como ocasión de compra; el punto débil que admiten es Commodity Insights, frenado por renovaciones con clientes afectados por el conflicto con Irán [88, 89, 90].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Motley Fool (columnistas, entrada de Pershing Square)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Lee la compra del fondo de Ackman como señal de que el descuento de la acción es excesivo, aunque en parte merecido porque la mitad de los ingresos crece despacio y Ratings depende de una emisión volátil [95].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Motley Fool (columnistas, septiembre)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Defienden el foso regulatorio de Ratings, la venta cruzada de datos y la valoración por debajo de su media histórica; aplauden las apuestas por activos digitales (Kaiko) y ven especulativa la posible escisión de Capital IQ Pro; el riesgo admitido son unos tipos más altos que frenen la emisión [86, 87, 91, 92].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(titulares de análisis y noticias)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Casi todos los análisis de colaboradores desde julio son alcistas («la IA es un argumento bajista débil», «la venta es una oportunidad rara», «Mobility deja un negocio mejor a mejor precio»); solo uno pide prudencia por los tipos. Las noticias recogen la caída del sector de datos cuando OpenAI lanzó ChatGPT para servicios financieros [93].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Titulares de prensa financiera agregados (Yahoo Finance, Simply Wall St, MarketWatch, Trefis)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textos de valoración oscilan entre «algo sobrevalorada» y «razonable»; en octubre pesan la emisión floja del 3T (nota de Morgan Stanley), un recorte de precio objetivo y la duda de si la IA en Capital IQ Pro justifica el precio [94].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Trefis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Plantea si el accionista de SPGI no estaría mejor en Intercontinental Exchange, que ha caído menos en doce meses con un perfil de ingresos recurrentes parecido [96].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como amenaza a Market Intelligence y a los proveedores de datos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columnistas la ven exagerada (datos propietarios difíciles de replicar) y la acción cae en bloque con el sector ante cada lanzamiento de IA generalista [87, 90]. Los datos les dan algo de razón: las suscripciones de MI crecieron de 969 M a 1.025 M en el 2T26 (+5,8 %) y la guía de MI se mantuvo en +5,5-7 % [3]; el riesgo está en el múltiplo, no aún en las cifras.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de emisión de deuda y tipos altos (Ratings)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riesgo que admiten hasta los alcistas; en octubre domina la emisión floja del 3T [93, 94]. Los ingresos por transacción de Ratings subieron de 597 M a 746 M en el 2T26 y la guía de Ratings subió a +5-8 % [3]: la base de comparación del 2S26 es exigente.</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tras la caída del año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mayoría ve el PER cerca de mínimos de varios años [90, 95]. Es cierto (EV/EBITDA de 18,9 veces frente a una mediana de 24,9 en 2019-2025), pero con el bono al 5,24 % el DCF no da más de 321,80 USD; solo con la prima implícita del mercado llega a 405,64 USD.</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Lectura de los resultados del 2T26 y la escisión de Mobility</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Coincide con los datos: ingresos sin Mobility +11 % y BPA ajustado +23 % en el 2T26 [3]. La «guía rebajada» que cita un columnista es un efecto de perímetro: la guía de BPA ajustado sin Mobility (17,50-17,75 USD) no compara con la anterior con Mobility (19,40-19,65 USD) [3, 48].</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lento de Commodity Insights y Market Intelligence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Energy y MI crecen menos: guía de +4,5-6 % y +5,5-7 % en 2026, frente a +5-8 % de Ratings y +12-14 % de Indices [10]. Es la mitad del negocio y la parte con menos margen (46 % y 33 %) [2].</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Opcionalidad: Capital IQ Pro, activos digitales y Pershing Square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posible escisión de Capital IQ Pro se ve especulativa (fuentes anónimas, sin confirmar) y las compras en activos digitales, pequeñas pero bien orientadas [86, 91, 95]. Sin efecto en la valoración del informe.</w:t>
            </w:r>
          </w:p>
        </w:tc>
      </w:tr>
    </w:tbl>
    <w:p>
      <w:pPr>
        <w:spacing w:after="160" w:before="0"/>
      </w:pPr>
    </w:p>
    <w:p>
      <w:pPr>
        <w:spacing w:after="100"/>
      </w:pPr>
      <w:r>
        <w:t xml:space="preserve">El sentimiento publicado es más optimista que el precio: casi todos los columnistas y colaboradores ven la caída del año como ocasión de compra, apoyados en el foso de Ratings, una valoración por debajo de su media y la entrada de Pershing Square [90, 93, 95]. No hay euforia: el debate gira en torno a dos riesgos que el mercado sí descuenta, la IA generalista frente a los datos de Market Intelligence y una emisión de deuda que se enfría con tipos altos, que es lo que dominó octubre [93, 94]. La tendencia mejora frente al pesimismo de la primavera, pero el último mes se ha vuelto más prudente. Para la decisión, la señal útil es contraria: el miedo a la IA es amplio y poco cuantificado, así que una prueba de resistencia de Market Intelligence en los próximos trimestres sería el catalizador. Cobertura limitada: faltan foros de particulares.</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15 de 17 controles correctos y 2 explicados. Fuentes: 96 (51 primarias); citas distintas en el texto: 95.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-10,0 % frente a -9,3 % real: genera una variación de circulante de -204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56 %.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3,50 %. Explicación: El 3,5 % es nominal en USD con el bono a 10 años al 5,24 %: queda entre la inflación esperada (≈ 2,5 %) y la tasa libre menos medio punto (4,7 %), que es la regla del prompt. Un negocio con foso amplio y precios indexados a la inflación sostiene un crecimiento nominal así; con el 3,0 % el DCF bajaría a 306,24 USD y la recomendación no cambia.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0,15: el crecimiento no explica los múltiplos de estos comparables; no uses el valor de la regresión. Explicación: Con nueve comparables de modelos distintos (bolsas, datos, calificaciones), el crecimiento no explica los múltiplos (R² 0,15): no usamos el valor de la regresión, solo las medianas.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96 fuentes (51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58.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rating (nota y perspectiva)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10-Q 2T26 y folleto 424B3 de jul-2026: solo nombran a Moody's y Fitch como agencias, sin nota; 2) búsqueda web de notas de Moody's/Fitch sobre S&amp;P Global y Mobility Global 2026: sin resultado; 3) 10-K 2025 y resto de documentos descargados (grep «Moody», «Fitch»): sin nota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 dice solo que es grado de inversión calificado por Moody's y Fitch)</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 de 3T24-4T25 y 2T26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resultados y 10-Q: no publican consenso; 2) búsqueda web de transcripciones (AllMind, GuruFocus 403, Bullfincher sin texto): solo el 1T26 (Insider Monkey, BPA ajustado 4,97 frente a 4,84); 3) la dirección dice que el 2T26 superó lo esperado en ingresos, pero sin cifra de consenso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salvo 1T26</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 forma sin Mobility de 3T24 y 4T24 y crecimientos interanuales pro forma de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8-K/A ex99-1 y ex99-2: solo dan trimestres de 2025 y 1T26 y años 2023-2025; 2) nota de resultados 2T26: solo 2T25 y 1S25; 3) derivar 2024 trimestral sin Mobility: no hay desglose trimestral de Mobility de 2024 en lo leído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3T24-4T24 con cifras publicadas (con Mobility) y crecimientos de 1T25-4T25 publicados (con Mobility); 1T26 y 2T26 pro forma frente a pro forma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segmentos reexpresados de 2019-2024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8-K/A ex99-1: reexpresa solo los cuatro trimestres de 2025 y 1T26; 2) 10-Q 2T26 y nota de 2T26: solo 2T25/1S25; 3) 10-K 2025: segmentación anterior con Mobility y sin las transferencias de 451 Research y Maritime &amp; Trade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solo 2025 con la segmentación vigente</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geografias_criterio y geografías sin Mobility</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segmentos del 10-K 2025: no dice si es por cliente o por origen; 2) pro forma ex99-1/ex99-2: sin desglose geográfico; 3) 10-Q 2T26: sin desglose geográfico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Geografías de 2025 con Mobility; criterio en null</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desinversiones 2019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XBRL companyfacts: sin etiqueta para 2019; 2) 10-K 2022: el estado de flujos empieza en 2020; 3) no se descargó el 10-K 2020/2021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(null)</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importes de Visible Alpha, ProntoNLP y TeraHelix; múltiplos pagados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2025, nota 2: no publica precio (no materiales); 2) 10-K 2022 para IHS: contraprestación sin múltiplo; 3) no se buscó en prensa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política de retorno en % del flujo libre ajustado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2025 y 10-Q 2T26: solo «targeted capital return», sin porcentaje; 2) transcripción del 2T26 (AllMind): no lo cita; 3) nota de resultados 2T26: solo recompras de más de 7.000 M</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completa del 1T26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 de inversores (no descargable sin navegador); 2) Insider Monkey: solo el inicio; 3) AllMind: sin página del 1T26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Resumen del 1T26 limitado al BPA frente a lo esperado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(MSCI, Sustainalytics, CDP)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WebFetch y descargar.mjs de la ficha de Sustainalytics de S&amp;P Global: la puntuación se carga con JavaScript y no aparece; 2) WebFetch de la herramienta pública de MSCI ESG Ratings: sin dato de emisor; 3) búsqueda web y proxy 2026 / 10-K de la empresa: solo resúmenes de buscador y webs de terceros sin fecha (regla 0)</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tcac_previsto_pct (previsión de crecimiento del mercado)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Resúmenes públicos de Burton-Taylor (datos e índices): sin previsión; 2) búsqueda de Opimas: solo estudios antiguos; 3) derivarlo de las guías de la empresa (6-8 % orgánico 2026) no mide el mercado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 de tamaño 2020, 2021 y 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Artículos de Burton-Taylor en FOW y Markets Media (solo 2019, 2022, 2023 y 2025); 2) Finextra con el dato de 2024 (44.300 M USD según buscador): 403 con WebFetch y descargar.mjs; 3) derivarlo del crecimiento de 2025 da 46.200 M, incoherente con los 44.300 M (Burton-Taylor revisa la serie)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de Fitch, Bloomberg y Argus Media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cuentas de Fitch Group / Hearst: Hearst solo publica el total del grupo (13.500 M USD); 2) Burton-Taylor para la cuota actual de Bloomberg: informe de pago (solo 32,7 % de 2019); 3) Argus Media: privada, solo estimaciones de agregadores sin fuente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S&amp;P en ingresos por 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NRSRO de la SEC de 2026: solo cuota agregada de las tres grandes (92,4 %); 2) informe de 2025: igual; 3) derivarla exige los ingresos de Fitch, que no se publican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usa la cuota de calificaciones vigentes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comportamiento de Ratings en 2008-09 y 2020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2025 y 2022 (solo 2022-2025); 2) companyfacts de la SEC (sin segmentos); 3) no se descargaron los 10-K de 2009 y 2020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equipo: participacion_pct de Le Pallec, Clay y Ernsberger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Tabla de participaciones del proxy 2026: solo recoge consejeros y los siete directivos de la tabla de remuneración; 2) 10-K 2025, información sobre los directivos: no da acciones; 3) Form 4 de 12 meses: solo dan el saldo tras cada operación, no una foto homogénea a la misma fecha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Sucesor de Saugata Saha en Market Intelligence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8-K y nota de prensa del 26-may-2026: no nombran sucesor; 2) Nota de resultados del 2T26: habla de cambios organizativos en Market Intelligence sin nombres; 3) Lista de presentaciones de EDGAR: no hay ningún 8-K item 5.02 posterior al de Kemps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Composición de las comisiones tras la junta de 2026 (salida de William Green)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Proxy 2026: comisiones a 1-feb-2026; 2) 8-K item 5.07 de 2026: solo votos; 3) No hay 8-K posterior que cambie las comisiones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usan las comisiones a 1-feb-2026, sin Green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de BPA y EBITDA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consenso: solo en un gráfico; 2) Stock Analysis, previsiones: el historial es de pago; 3) titulares de la guía del 28-jul (guía de BPA ajustado 17,50-17,75 frente a 18,50 de FactSet)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describe el cambio cualitativo de perímetro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Morningstar (MORN)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no se encontró la página; 2) búsqueda web de su página de estimaciones; 3) Google Finance y Macrotrends: sin estimaciones del mismo proveedor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quedan nueve comparables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OSTTRA (venta a KKR, 2025), Burgiss (MSCI), Dealogic: múltiplos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10-Q del 2T26 de S&amp;P Global: solo la fecha de cierre de OSTTRA (10-oct-2025), sin precio ni múltiplo; 2) operaciones del análisis de ICE del 8-oct; 3) prioridad a operaciones con múltiplo oficial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Preqin: ingresos para el múltiplo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8-K de BlackRock: sin ingresos; 2) búsqueda web: ~240 M esperados en 2024, de una nota de prensa no leída; 3) prensa especializada: misma cifra sin documento original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el múltiplo (regla 0)</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de Mobility a 30-jun-2026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10-Q del 2T26 de S&amp;P Global: balance consolidado, sin desglose; 2) pro forma a 31-mar (8-K/A, anexo 99.2): 121 M de caja de Mobility y 1.974 M de distribución; 3) estimada con esas cifras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fecha de la posición corta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Stock Analysis: sin fecha de liquidación; 2) FINRA y Nasdaq no se consultaron por presupuesto; 3) se da la cifra de Stock Analysis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usa 2,2 % del flotante sin fecha exacta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de particulares (Stocktwits, Reddit, Investing.com, Stockchase)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Stocktwits SPGI: 403; 2) Reddit search.json con curl: 403 y comentarios de Investing.com: conexión cortada; 3) Stockchase: página de SPGI no localizada, y artículos completos de Seeking Alpha bloqueados por captcha (solo titulares del RSS)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el sentimiento se basa en columnistas, colaboradores y titulares, no en comentarios de particulares</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Unaudited Pro Forma Condensed Consolidated Financial Statements (8-K/A, anexo 99.2): cuentas sin Mobility 2023-2025 y 1T26, balance pro forma a 31-mar-2026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S&amp;P Global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https://www.sec.gov/Archives/edgar/data/64040/000110465926080571/tm2619099d2_ex99-2.htm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S&amp;P Global Provides Pro Forma and Recast Financial Results and Updated Segment Information (8-K/A,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S&amp;P Global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https://www.sec.gov/Archives/edgar/data/64040/000110465926080571/tm2619099d2_ex99-1.htm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Reports Second Quarter Results (nota de resultados 2T26,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https://www.sec.gov/Archives/edgar/data/64040/000006404026000040/spgi2q2026-earningsrelease.htm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2025 (informe anual con notas)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https://www.sec.gov/Archives/edgar/data/64040/000006404026000013/spgi-20251231.htm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2022 (informe anual con notas)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https://www.sec.gov/Archives/edgar/data/64040/000006404023000058/spgi-20221231.htm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 Facts de S&amp;P Global (CIK 0000064040): series de los 10-K y 10-Q 2019-2026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https://data.sec.gov/api/xbrl/companyfacts/CIK0000064040.json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2T26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https://www.sec.gov/Archives/edgar/data/64040/000006404026000045/spgi-20260630.htm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Folleto 424B3 de la oferta de canje de bonos 4,25 % 2031 y 4,80 % 2035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https://www.sec.gov/Archives/edgar/data/64040/000110465926084689/tm2618680-3_424b3.htm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finalización de la escisión de Mobility Global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https://www.sec.gov/Archives/edgar/data/64040/000110465926080005/tm2619099d1_8k.htm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Q2 2026 S&amp;P Global Inc Earnings Call (transcripción)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AllMind AI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https://allmind.ai/earnings/event/2938240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Inc. (NYSE:SPGI) Q1 2026 Earnings Call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 Monkey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https://www.insidermonkey.com/blog/sp-global-inc-nysespgi-q1-2026-earnings-call-transcript-1749937/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 Staff Report on Nationally Recognized Statistical Rating Organizations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Office of Credit Ratings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https://www.sec.gov/files/2025-ocr-staff-report-compliant-4-24-26.pdf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 Staff Report on Nationally Recognized Statistical Rating Organizations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Office of Credit Ratings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https://www.sec.gov/files/jan-2025-ocr-staff-report.pdf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data spend hits $49.2bn as AI, volatility and algos drive growth (estudio Burton-Taylor)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https://www.fow.com/insights/market-data-spend-hits-usd49-2bn-as-ai-volatility-and-algos-drive-growth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market data spending reaches record $42bn (Burton-Taylor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 Media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https://marketsmedia.com/financial-market-data-spending-reaches-record-42bn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Index Industry Benchmark Report 2026 (resumen)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Burton-Taylor / TP ICAP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https://tpicap.com/burtontaylor/reports/2026index-industry-benchmark-report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(historia corporativa)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https://en.wikipedia.org/wiki/S%26P_Global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Standard &amp; Poor's (historia y acuerdo de 2015)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https://en.wikipedia.org/wiki/Standard_%26_Poor%27s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Bloomberg Extends Market Data Lead Over Refinitiv (Burton-Taylor 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Finance Magnates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https://www.financemagnates.com/trading-room/industry-news/bloomberg-extends-market-data-lead-over-refinitiv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 the Matter of S&amp;P Global Ratings, Release No. 34-100907 (orden de la SEC)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https://www.sec.gov/files/litigation/admin/2024/34-100907.pdf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MSCI Inc.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MSCI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https://www.sec.gov/Archives/edgar/data/1408198/000140819826000011/msci-20251231.htm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companyfacts (ingresos y beneficio operativo de los 10-K): Moody's, MSCI, FactSet, Morningstar, ICE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https://data.sec.gov/api/xbrl/companyfacts/CIK0001059556.json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NRSRO de S&amp;P Global Ratings (actualización de julio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Ratings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https://www.sec.gov/Archives/edgar/data/0001650548/000165054826000003/SPGR-APPFM-DRP_Jul2026.pdf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London Stock Exchange Group plc: Preliminary results for the year ended 31 December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LSEG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https://www.lseg.com/en/media-centre/press-releases/2026/london-stock-exchange-group-plc-preliminary-results-for-the-year-ended-31-december-2025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Dollars to U.K. Pound Sterling Spot Exchange Rate (DEXUSUK)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FRED, Reserva Federal de St. Louis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https://fred.stlouisfed.org/series/DEXUSUK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https://www.sec.gov/Archives/edgar/data/64040/000110465926037380/tm261443-1_def14a.htm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5.07: resultados de la junta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https://www.sec.gov/Archives/edgar/data/64040/000006404026000028/spgi-20260520.htm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5.07: resultados de la junta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https://www.sec.gov/Archives/edgar/data/64040/000006404025000135/spgi-20250507.htm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5.07: resultados de la junta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https://www.sec.gov/Archives/edgar/data/64040/000006404024000130/spgi-20240501.htm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consejeros y directivos de S&amp;P Global, 12-oct-2025 a 12-oct-2026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https://www.sec.gov/cgi-bin/browse-edgar?action=getcompany&amp;CIK=0000064040&amp;type=4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S&amp;P Global Announces Leadership Succession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https://www.sec.gov/Archives/edgar/data/64040/000006404024000141/june27204pressrelease.htm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5.02: nombramiento de Eric Aboaf como CFO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https://www.sec.gov/Archives/edgar/data/64040/000006404024000169/spgi-20241015.htm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5.02: acuerdo de salida de Adam Kansler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https://www.sec.gov/Archives/edgar/data/64040/000006404024000171/spgi-20241016.htm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5.02: nombramiento de Robert Moritz como consejero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https://www.sec.gov/Archives/edgar/data/64040/000006404025000171/spgi-20251104.htm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8-K/A, item 5.02: adelanto al 1-feb-2026 de la entrada de Robert Moritz</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https://www.sec.gov/Archives/edgar/data/64040/000006404026000004/spgi-20251104.htm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5.02: nombramiento de Hubert Joly como consejero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https://www.sec.gov/Archives/edgar/data/64040/000006404025000179/spgi-20251210.htm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5.02, y nota de prensa: salida de Saugata Saha (Market Intelligence)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https://www.sec.gov/Archives/edgar/data/64040/000006404026000031/sspr052526.htm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5.02: jubilación de Steven Kemps, Chief Legal Officer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https://www.sec.gov/Archives/edgar/data/64040/000110465926080751/tm2619719d1_8k.htm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2025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https://www.sec.gov/Archives/edgar/data/64040/000110465925027558/tm252388-2_def14a.htm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The Vanguard Group sobre S&amp;P Global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https://www.sec.gov/Archives/edgar/data/64040/000010290926002295/xslSCHEDULE_13G_X02/primary_doc.xml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Vanguard Capital Management sobre S&amp;P Global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https://www.sec.gov/Archives/edgar/data/64040/000210011926001058/xslSCHEDULE_13G_X02/primary_doc.xml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4T y del año 2020 (con la guía de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https://www.sec.gov/Archives/edgar/data/64040/000006404021000059/a4q2020earningsreleasetabl.htm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4T y del año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https://www.sec.gov/Archives/edgar/data/64040/000006404022000051/a4q2021earningsrelease.htm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1T 2022 (actualización de la guía de 2022 del 1-mar-2022)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may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https://www.sec.gov/Archives/edgar/data/64040/000006404022000109/spgi1q2022-earningsrelease.htm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4T y del año 2022 (con la guía de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https://www.sec.gov/Archives/edgar/data/64040/000006404023000055/a4q2022earningsrelease.htm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4T y del año 2023 (con la guía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https://www.sec.gov/Archives/edgar/data/64040/000006404024000061/a4q2023earningsrelease.htm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4T y del año 2024 (con la guía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https://www.sec.gov/Archives/edgar/data/64040/000006404025000046/a4q2024earningsrelease.htm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4T y del año 2025 (con la guía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https://www.sec.gov/Archives/edgar/data/64040/000006404026000007/a4q2025earningsrelease.htm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S-4: canje de los bonos al 4,250 % con vencimiento en 2031 y al 4,800 % con vencimiento en 2035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https://www.sec.gov/Archives/edgar/data/64040/000110465926082258/tm2618680-1_s4.htm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SPGI, MBGL, SPY, XLF, LSEG.L y GBPUSD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https://finance.yahoo.com/quote/SPGI/history/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Schedules Third Quarter 2026 Earnings Announcement and Conference Call for Tuesday, October 27,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https://press.spglobal.com/2026-09-29-S-P-Global-Schedules-Third-Quarter-2026-Earnings-Announcement-and-Conference-Call-for-Tuesday,-October-27,-2026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https://www.marketscreener.com/quote/stock/S-P-GLOBAL-INC-27377749/finances/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consenso de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https://www.marketscreener.com/quote/stock/S-P-GLOBAL-INC-27377749/consensus/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(SPGI) Stock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https://stockanalysis.com/stocks/spgi/forecast/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(SPGI)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https://stockanalysis.com/stocks/spgi/statistics/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Treasury Par Yield Curve Rates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the Treasury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https://home.treasury.gov/resource-center/data-chart-center/interest-rates/daily-treasury-rates.csv/2026/all?type=daily_treasury_yield_curve&amp;field_tdr_date_value=2026&amp;page&amp;_format=csv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10-Year Treasury Constant Maturity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FRED, Federal Reserve Bank of St. Louis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https://www.marketscreener.com/quote/stock/MOODY-S-CORPORATION-16724/finances/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MSCI: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https://www.marketscreener.com/quote/stock/MSCI-INC-3021165/finances/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https://www.marketscreener.com/quote/stock/INTERCONTINENTAL-EXCHANGE-14931198/finances/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https://www.marketscreener.com/quote/stock/CME-GROUP-INC-3782767/finances/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 Inc.: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https://www.marketscreener.com/quote/stock/NASDAQ-INC-10173/finances/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FactSet Research Systems: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https://www.marketscreener.com/quote/stock/FACTSET-RESEARCH-SYSTEMS--12584/finances/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London Stock Exchange Group: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https://www.marketscreener.com/quote/stock/LONDON-STOCK-EXCHANGE-GRO-4005918/finances/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Analytics: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https://www.marketscreener.com/quote/stock/VERISK-ANALYTICS-INC-5628469/finances/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Thomson Reuters: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https://www.marketscreener.com/quote/stock/THOMSON-REUTERS-CORPORATI-47342166/finances/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(MCO)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https://stockanalysis.com/stocks/mco/statistics/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MSCI (MSCI)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https://stockanalysis.com/stocks/msci/statistics/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(ICE)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https://stockanalysis.com/stocks/ice/statistics/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(CME)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https://stockanalysis.com/stocks/cme/statistics/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 (NDAQ)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https://stockanalysis.com/stocks/ndaq/statistics/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FactSet (FDS)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https://stockanalysis.com/stocks/fds/statistics/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London Stock Exchange Group (LON:LSEG)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https://stockanalysis.com/quote/lon/LSEG/statistics/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Analytics (VRSK)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https://stockanalysis.com/stocks/vrsk/statistics/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Thomson Reuters (TRI)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https://stockanalysis.com/stocks/tri/statistics/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Proposed all-share acquisition of Refinitiv (RNS)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London Stock Exchange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ago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https://www.lseg.com/content/dam/lseg/en_us/documents/investor-relations/mergers-and-acquisitions/refinitiv/lseg-refinitiv-acquisition-all-share-proposed-rns-01aug2019.pdf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acuerdo de compra de Preqin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BlackRock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https://www.sec.gov/Archives/edgar/data/1364742/000119312524172680/d797846d8k.htm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agrees to acquire With Intelligence from Motive Partners for $1.8 billion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Motive Partners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https://motivepartners.com/news/s-p-global-agrees-to-acquire-with-intelligence-from-motive-partners-for-1-8-billion-establishing-its-leadership-in-private-markets-intelligence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MarketAxess: folleto definitivo de la fusión (DEFM14A)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MarketAxess Holdings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https://www.sec.gov/Archives/edgar/data/1278021/000119312526395678/d171374ddefm14a.htm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MarketAxess: formulario 10-Q del segundo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MarketAxess Holdings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https://www.sec.gov/Archives/edgar/data/1278021/000119312526340249/mktx-20260630.htm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 to Acquire Adenza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jun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https://www.sec.gov/Archives/edgar/data/1120193/000119312523164839/d476077dex991.htm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and IHS Markit to Merge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IHS Markit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nov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https://www.sec.gov/Archives/edgar/data/1598014/000095010320023248/dp141981_ex9901.htm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IHS Markit: formulario 10-K del ejercicio cerrado el 30-nov-2020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IHS Markit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ene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https://www.sec.gov/Archives/edgar/data/1598014/000159801421000015/info-20201130.htm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formulario 10-K de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https://www.sec.gov/Archives/edgar/data/1571949/000157194924000007/ice-20231231.htm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Why S&amp;P Global Stock Beat the Market on Monday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https://www.fool.com/investing/2026/09/14/why-sp-global-stock-beat-the-market-on-monday/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and Moody's Have Rated Debt for More Than 100 Years. Here's Why That Moat Still Holds.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https://www.fool.com/investing/2026/09/28/sp-global-and-moodys-have-rated-debt-for-more-than/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Why S&amp;P Global Stock Was Tumbling on Tuesday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https://www.fool.com/investing/2026/07/28/why-sp-global-stock-was-tumbling-on-tuesday/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Grew Revenue 10% and Still Missed on Earnings. Except, Maybe It Didn't.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https://www.fool.com/investing/2026/08/03/sp-global-grew-revenue-10-and-still-missed-on-earn/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Trades at 25 Times Earnings After the Post-Earnings Drop. Is the Ratings Moat Worth It?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https://www.fool.com/investing/2026/08/06/sp-global-trades-at-25-times-earnings-after-the-po/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Why S&amp;P Global Stock Bumped Higher Today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https://www.fool.com/investing/2026/09/01/why-sp-global-stock-bumped-higher-today/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Fewer Than 30 Companies in the S&amp;P 500 Have Raised Their Dividend for 50 Straight Years. This Financial Stock Is One of Them.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https://www.fool.com/investing/2026/09/04/fewer-than-30-companies-in-the-sp-500-have-raised/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Inc. - News and Analysis (fuente RSS de análisis y noticias, jul-oct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https://seekingalpha.com/api/sa/combined/SPGI.xml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Titulares sobre S&amp;P Global de los últimos 75 días (agregador)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Google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https://news.google.com/rss/search?q=%22S%26P+Global%22+stock+when:75d&amp;hl=en-US&amp;gl=US&amp;ceid=US:en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of Bill Ackman's New Stock Picks Are Interesting: S&amp;P Global Trades 28% Below Its High While Visa and Mastercard Sit Near Theirs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https://www.fool.com/investing/2026/08/15/bill-ackmans-new-stock-picks-are-interesting-sp-gl/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Should S&amp;P Global Stock Holders Look At Intercontinental Exchange Instead?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Trefis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https://www.trefis.com/stock/spgi/articles/617994/should-sp-global-stock-holders-look-at-intercontinental-exchange-instead/2026-10-08</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93,5 %</w:t>
      </w:r>
      <w:r>
        <w:t xml:space="preserve"> · Secciones con menos del 60 % de campos cubiertos: </w:t>
      </w:r>
      <w:r>
        <w:rPr>
          <w:b/>
          <w:bCs/>
        </w:rPr>
        <w:t xml:space="preserve">ninguna</w:t>
      </w:r>
      <w:r>
        <w:t xml:space="preserve"> · Generado el 12 oct 2026.</w:t>
      </w:r>
    </w:p>
    <w:p>
      <w:pPr>
        <w:pStyle w:val="Nota"/>
        <w:spacing w:after="100"/>
      </w:pPr>
      <w:r>
        <w:t xml:space="preserve">Precio de cierre del viernes 9-oct-2026: el lunes 12-oct, fecha de corte, la sesión de Nueva York no había cerrado. El análisis es de S&amp;P Global sin Mobility, escindida el 1-jul-2026 como Mobility Global (NYSE: MBGL) [9]. La cuenta de 2023-2025 es el pro forma del artículo 11 sin Mobility que publicó la empresa [1]; la de 2019-2022 es la publicada (2022 incluye IHS Markit desde el 28-feb-2022 y Mobility). El balance y los flujos de 2022-2025 son los publicados, con Mobility, porque no hay balances anuales pro forma; por eso el ROIC y los ratios de balance de esos años no son del todo comparables con la cuenta. Los segmentos vigentes (cuatro divisiones) solo están reexpresados para 2025 [2]. El puente de valor es a 30-jun-2026 sin la deuda que se llevó Mobility; la caja de Mobility a esa fecha se estima con el pro forma a 31-mar-2026 [1]. Los precios de cierre de los ejercicios anteriores a 2026 incluyen el valor de Mobility, de modo que los múltiplos históricos quedan algo inflados frente a los actuales. El consenso (MarketScreener) ya excluye Mobility [52].</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12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S&amp;P Global Inc. (SPGI)</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407,82</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Hoja1!$A$2:$A$11</c:f>
              <c:strCache>
                <c:ptCount val="10"/>
                <c:pt idx="0">
                  <c:v>Cotización 52 semanas (361,03 – 522,47)</c:v>
                </c:pt>
                <c:pt idx="1">
                  <c:v>Precio objetivo de los analistas (477,00 – 553,00)</c:v>
                </c:pt>
                <c:pt idx="2">
                  <c:v>Comparables: EV/EBITDA NTM (308,59 – 442,45)</c:v>
                </c:pt>
                <c:pt idx="3">
                  <c:v>Comparables: PER NTM (383,40 – 435,68)</c:v>
                </c:pt>
                <c:pt idx="4">
                  <c:v>Transacciones precedentes (EV/EBITDA) (264,02 – 576,48)</c:v>
                </c:pt>
                <c:pt idx="5">
                  <c:v>DCF (WACC y g ± 0,5) (282,68 – 373,82)</c:v>
                </c:pt>
                <c:pt idx="6">
                  <c:v>Escenarios (bajista – alcista) (211,29 – 422,42)</c:v>
                </c:pt>
                <c:pt idx="7">
                  <c:v>Suma de partes (345,76 – 489,04)</c:v>
                </c:pt>
                <c:pt idx="8">
                  <c:v>DCF con la prima implícita del mercado (4,2 %)</c:v>
                </c:pt>
                <c:pt idx="9">
                  <c:v>Precio actual (407,82)</c:v>
                </c:pt>
              </c:strCache>
            </c:strRef>
          </c:cat>
          <c:val>
            <c:numRef>
              <c:f>Hoja1!$B$2:$B$11</c:f>
              <c:numCache>
                <c:formatCode>#,##0</c:formatCode>
                <c:ptCount val="10"/>
                <c:pt idx="0">
                  <c:v>361.03</c:v>
                </c:pt>
                <c:pt idx="1">
                  <c:v>477</c:v>
                </c:pt>
                <c:pt idx="2">
                  <c:v>308.59</c:v>
                </c:pt>
                <c:pt idx="3">
                  <c:v>383.4</c:v>
                </c:pt>
                <c:pt idx="4">
                  <c:v>264.02</c:v>
                </c:pt>
                <c:pt idx="5">
                  <c:v>282.68</c:v>
                </c:pt>
                <c:pt idx="6">
                  <c:v>211.29</c:v>
                </c:pt>
                <c:pt idx="7">
                  <c:v>345.76</c:v>
                </c:pt>
                <c:pt idx="8">
                  <c:v>367.47</c:v>
                </c:pt>
                <c:pt idx="9">
                  <c:v>405.78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9"/>
            <c:invertIfNegative val="0"/>
            <c:bubble3D val="0"/>
            <c:spPr>
              <a:solidFill>
                <a:srgbClr val="C9C8C2"/>
              </a:solidFill>
            </c:spPr>
          </c:dPt>
          <c:cat>
            <c:strRef>
              <c:f>Hoja1!$A$2:$A$11</c:f>
              <c:strCache>
                <c:ptCount val="10"/>
                <c:pt idx="0">
                  <c:v>Cotización 52 semanas (361,03 – 522,47)</c:v>
                </c:pt>
                <c:pt idx="1">
                  <c:v>Precio objetivo de los analistas (477,00 – 553,00)</c:v>
                </c:pt>
                <c:pt idx="2">
                  <c:v>Comparables: EV/EBITDA NTM (308,59 – 442,45)</c:v>
                </c:pt>
                <c:pt idx="3">
                  <c:v>Comparables: PER NTM (383,40 – 435,68)</c:v>
                </c:pt>
                <c:pt idx="4">
                  <c:v>Transacciones precedentes (EV/EBITDA) (264,02 – 576,48)</c:v>
                </c:pt>
                <c:pt idx="5">
                  <c:v>DCF (WACC y g ± 0,5) (282,68 – 373,82)</c:v>
                </c:pt>
                <c:pt idx="6">
                  <c:v>Escenarios (bajista – alcista) (211,29 – 422,42)</c:v>
                </c:pt>
                <c:pt idx="7">
                  <c:v>Suma de partes (345,76 – 489,04)</c:v>
                </c:pt>
                <c:pt idx="8">
                  <c:v>DCF con la prima implícita del mercado (4,2 %)</c:v>
                </c:pt>
                <c:pt idx="9">
                  <c:v>Precio actual (407,82)</c:v>
                </c:pt>
              </c:strCache>
            </c:strRef>
          </c:cat>
          <c:val>
            <c:numRef>
              <c:f>Hoja1!$C$2:$C$11</c:f>
              <c:numCache>
                <c:formatCode>#,##0</c:formatCode>
                <c:ptCount val="10"/>
                <c:pt idx="0">
                  <c:v>161.44000000000005</c:v>
                </c:pt>
                <c:pt idx="1">
                  <c:v>76</c:v>
                </c:pt>
                <c:pt idx="2">
                  <c:v>133.86</c:v>
                </c:pt>
                <c:pt idx="3">
                  <c:v>52.28000000000003</c:v>
                </c:pt>
                <c:pt idx="4">
                  <c:v>312.46000000000004</c:v>
                </c:pt>
                <c:pt idx="5">
                  <c:v>91.13999999999999</c:v>
                </c:pt>
                <c:pt idx="6">
                  <c:v>211.13000000000002</c:v>
                </c:pt>
                <c:pt idx="7">
                  <c:v>143.28000000000003</c:v>
                </c:pt>
                <c:pt idx="8">
                  <c:v>83.82</c:v>
                </c:pt>
                <c:pt idx="9">
                  <c:v>4.080000000000041</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Ratings</c:v>
                </c:pt>
              </c:strCache>
            </c:strRef>
          </c:tx>
          <c:spPr>
            <a:solidFill>
              <a:srgbClr val="2A78D6"/>
            </a:solidFill>
            <a:ln w="12700">
              <a:solidFill>
                <a:srgbClr val="FFFFFF"/>
              </a:solidFill>
            </a:ln>
          </c:spPr>
          <c:invertIfNegative val="0"/>
          <c:cat>
            <c:strRef>
              <c:f>Hoja1!$A$2</c:f>
              <c:strCache>
                <c:ptCount val="1"/>
                <c:pt idx="0">
                  <c:v>2025</c:v>
                </c:pt>
              </c:strCache>
            </c:strRef>
          </c:cat>
          <c:val>
            <c:numRef>
              <c:f>Hoja1!$B$2</c:f>
              <c:numCache>
                <c:formatCode>#,##0</c:formatCode>
                <c:ptCount val="1"/>
                <c:pt idx="0">
                  <c:v>4724</c:v>
                </c:pt>
              </c:numCache>
            </c:numRef>
          </c:val>
        </c:ser>
        <c:ser>
          <c:idx val="1"/>
          <c:order val="1"/>
          <c:tx>
            <c:strRef>
              <c:f>Hoja1!$C$1</c:f>
              <c:strCache>
                <c:ptCount val="1"/>
                <c:pt idx="0">
                  <c:v>Indices</c:v>
                </c:pt>
              </c:strCache>
            </c:strRef>
          </c:tx>
          <c:spPr>
            <a:solidFill>
              <a:srgbClr val="EB6834"/>
            </a:solidFill>
            <a:ln w="12700">
              <a:solidFill>
                <a:srgbClr val="FFFFFF"/>
              </a:solidFill>
            </a:ln>
          </c:spPr>
          <c:invertIfNegative val="0"/>
          <c:cat>
            <c:strRef>
              <c:f>Hoja1!$A$2</c:f>
              <c:strCache>
                <c:ptCount val="1"/>
                <c:pt idx="0">
                  <c:v>2025</c:v>
                </c:pt>
              </c:strCache>
            </c:strRef>
          </c:cat>
          <c:val>
            <c:numRef>
              <c:f>Hoja1!$C$2</c:f>
              <c:numCache>
                <c:formatCode>#,##0</c:formatCode>
                <c:ptCount val="1"/>
                <c:pt idx="0">
                  <c:v>1850</c:v>
                </c:pt>
              </c:numCache>
            </c:numRef>
          </c:val>
        </c:ser>
        <c:ser>
          <c:idx val="2"/>
          <c:order val="2"/>
          <c:tx>
            <c:strRef>
              <c:f>Hoja1!$D$1</c:f>
              <c:strCache>
                <c:ptCount val="1"/>
                <c:pt idx="0">
                  <c:v>Energy</c:v>
                </c:pt>
              </c:strCache>
            </c:strRef>
          </c:tx>
          <c:spPr>
            <a:solidFill>
              <a:srgbClr val="1BAF7A"/>
            </a:solidFill>
            <a:ln w="12700">
              <a:solidFill>
                <a:srgbClr val="FFFFFF"/>
              </a:solidFill>
            </a:ln>
          </c:spPr>
          <c:invertIfNegative val="0"/>
          <c:cat>
            <c:strRef>
              <c:f>Hoja1!$A$2</c:f>
              <c:strCache>
                <c:ptCount val="1"/>
                <c:pt idx="0">
                  <c:v>2025</c:v>
                </c:pt>
              </c:strCache>
            </c:strRef>
          </c:cat>
          <c:val>
            <c:numRef>
              <c:f>Hoja1!$D$2</c:f>
              <c:numCache>
                <c:formatCode>#,##0</c:formatCode>
                <c:ptCount val="1"/>
                <c:pt idx="0">
                  <c:v>2525</c:v>
                </c:pt>
              </c:numCache>
            </c:numRef>
          </c:val>
        </c:ser>
        <c:ser>
          <c:idx val="3"/>
          <c:order val="3"/>
          <c:tx>
            <c:strRef>
              <c:f>Hoja1!$E$1</c:f>
              <c:strCache>
                <c:ptCount val="1"/>
                <c:pt idx="0">
                  <c:v>Market Intelligence</c:v>
                </c:pt>
              </c:strCache>
            </c:strRef>
          </c:tx>
          <c:spPr>
            <a:solidFill>
              <a:srgbClr val="EDA100"/>
            </a:solidFill>
            <a:ln w="12700">
              <a:solidFill>
                <a:srgbClr val="FFFFFF"/>
              </a:solidFill>
            </a:ln>
          </c:spPr>
          <c:invertIfNegative val="0"/>
          <c:cat>
            <c:strRef>
              <c:f>Hoja1!$A$2</c:f>
              <c:strCache>
                <c:ptCount val="1"/>
                <c:pt idx="0">
                  <c:v>2025</c:v>
                </c:pt>
              </c:strCache>
            </c:strRef>
          </c:cat>
          <c:val>
            <c:numRef>
              <c:f>Hoja1!$E$2</c:f>
              <c:numCache>
                <c:formatCode>#,##0</c:formatCode>
                <c:ptCount val="1"/>
                <c:pt idx="0">
                  <c:v>4690</c:v>
                </c:pt>
              </c:numCache>
            </c:numRef>
          </c:val>
        </c:ser>
        <c:ser>
          <c:idx val="4"/>
          <c:order val="4"/>
          <c:tx>
            <c:strRef>
              <c:f>Hoja1!$F$1</c:f>
              <c:strCache>
                <c:ptCount val="1"/>
                <c:pt idx="0">
                  <c:v>Eliminaciones y corporativo</c:v>
                </c:pt>
              </c:strCache>
            </c:strRef>
          </c:tx>
          <c:spPr>
            <a:solidFill>
              <a:srgbClr val="E87BA4"/>
            </a:solidFill>
            <a:ln w="12700">
              <a:solidFill>
                <a:srgbClr val="FFFFFF"/>
              </a:solidFill>
            </a:ln>
          </c:spPr>
          <c:invertIfNegative val="0"/>
          <c:cat>
            <c:strRef>
              <c:f>Hoja1!$A$2</c:f>
              <c:strCache>
                <c:ptCount val="1"/>
                <c:pt idx="0">
                  <c:v>2025</c:v>
                </c:pt>
              </c:strCache>
            </c:strRef>
          </c:cat>
          <c:val>
            <c:numRef>
              <c:f>Hoja1!$F$2</c:f>
              <c:numCache>
                <c:formatCode>#,##0</c:formatCode>
                <c:ptCount val="1"/>
                <c:pt idx="0">
                  <c:v>-200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Hoja1!$A$2:$A$6</c:f>
              <c:strCache>
                <c:ptCount val="5"/>
                <c:pt idx="0">
                  <c:v>Ratings</c:v>
                </c:pt>
                <c:pt idx="1">
                  <c:v>Indices</c:v>
                </c:pt>
                <c:pt idx="2">
                  <c:v>Energy</c:v>
                </c:pt>
                <c:pt idx="3">
                  <c:v>Market Intelligence</c:v>
                </c:pt>
                <c:pt idx="4">
                  <c:v>Eliminaciones y corporativo</c:v>
                </c:pt>
              </c:strCache>
            </c:strRef>
          </c:cat>
          <c:val>
            <c:numRef>
              <c:f>Hoja1!$B$2:$B$6</c:f>
              <c:numCache>
                <c:formatCode>General</c:formatCode>
                <c:ptCount val="5"/>
                <c:pt idx="0">
                  <c:v>34.8</c:v>
                </c:pt>
                <c:pt idx="1">
                  <c:v>13.6</c:v>
                </c:pt>
                <c:pt idx="2">
                  <c:v>18.6</c:v>
                </c:pt>
                <c:pt idx="3">
                  <c:v>34.5</c:v>
                </c:pt>
                <c:pt idx="4">
                  <c:v>-1.5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n.d.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Estados Unidos</c:v>
                </c:pt>
                <c:pt idx="1">
                  <c:v>Europa</c:v>
                </c:pt>
                <c:pt idx="2">
                  <c:v>Asia</c:v>
                </c:pt>
                <c:pt idx="3">
                  <c:v>Resto del mundo</c:v>
                </c:pt>
              </c:strCache>
            </c:strRef>
          </c:cat>
          <c:val>
            <c:numRef>
              <c:f>Hoja1!$B$2:$B$5</c:f>
              <c:numCache>
                <c:formatCode>0"%"</c:formatCode>
                <c:ptCount val="4"/>
                <c:pt idx="0">
                  <c:v>61</c:v>
                </c:pt>
                <c:pt idx="1">
                  <c:v>23</c:v>
                </c:pt>
                <c:pt idx="2">
                  <c:v>11</c:v>
                </c:pt>
                <c:pt idx="3">
                  <c:v>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(gasto mundial en datos y análisis de mercados financieros, Burton-Taylor; solo un segmento del mercado: excluye comisiones de calificación e índices))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2019</c:v>
                </c:pt>
                <c:pt idx="1">
                  <c:v>2022</c:v>
                </c:pt>
                <c:pt idx="2">
                  <c:v>2023</c:v>
                </c:pt>
                <c:pt idx="3">
                  <c:v>2025</c:v>
                </c:pt>
              </c:strCache>
            </c:strRef>
          </c:cat>
          <c:val>
            <c:numRef>
              <c:f>Hoja1!$B$2:$B$5</c:f>
              <c:numCache>
                <c:formatCode>#,##0</c:formatCode>
                <c:ptCount val="4"/>
                <c:pt idx="0">
                  <c:v>32000</c:v>
                </c:pt>
                <c:pt idx="1">
                  <c:v>37300</c:v>
                </c:pt>
                <c:pt idx="2">
                  <c:v>42000</c:v>
                </c:pt>
                <c:pt idx="3">
                  <c:v>49200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2</c:v>
                </c:pt>
                <c:pt idx="2">
                  <c:v>1</c:v>
                </c:pt>
                <c:pt idx="3">
                  <c:v>1</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S&amp;P Global</c:v>
                </c:pt>
                <c:pt idx="1">
                  <c:v>Moody's Corporation</c:v>
                </c:pt>
                <c:pt idx="2">
                  <c:v>MSCI Inc.</c:v>
                </c:pt>
                <c:pt idx="3">
                  <c:v>London Stock Exchange Group (LSEG)</c:v>
                </c:pt>
                <c:pt idx="4">
                  <c:v>Intercontinental Exchange (ICE)</c:v>
                </c:pt>
                <c:pt idx="5">
                  <c:v>FactSet Research Systems</c:v>
                </c:pt>
                <c:pt idx="6">
                  <c:v>Morningstar Inc.</c:v>
                </c:pt>
                <c:pt idx="7">
                  <c:v>Fitch Ratings (Hearst)</c:v>
                </c:pt>
                <c:pt idx="8">
                  <c:v>Bloomberg L.P.</c:v>
                </c:pt>
              </c:strCache>
            </c:strRef>
          </c:cat>
          <c:val>
            <c:numRef>
              <c:f>Hoja1!$B$2:$B$10</c:f>
              <c:numCache>
                <c:formatCode>0.0"%"</c:formatCode>
                <c:ptCount val="9"/>
                <c:pt idx="0">
                  <c:v>43</c:v>
                </c:pt>
                <c:pt idx="1">
                  <c:v>43.4</c:v>
                </c:pt>
                <c:pt idx="2">
                  <c:v>54.7</c:v>
                </c:pt>
                <c:pt idx="3">
                  <c:v>23.7</c:v>
                </c:pt>
                <c:pt idx="4">
                  <c:v>39</c:v>
                </c:pt>
                <c:pt idx="5">
                  <c:v>32.2</c:v>
                </c:pt>
                <c:pt idx="6">
                  <c:v>21.5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4</c:v>
                </c:pt>
                <c:pt idx="1">
                  <c:v>4</c:v>
                </c:pt>
                <c:pt idx="2">
                  <c:v>5</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Hoja1!$A$2:$A$18</c:f>
              <c:strCache>
                <c:ptCount val="17"/>
                <c:pt idx="0">
                  <c:v>2019</c:v>
                </c:pt>
                <c:pt idx="1">
                  <c:v>2020</c:v>
                </c:pt>
                <c:pt idx="2">
                  <c:v>2021</c:v>
                </c:pt>
                <c:pt idx="3">
                  <c:v>2022</c:v>
                </c:pt>
                <c:pt idx="4">
                  <c:v>2023</c:v>
                </c:pt>
                <c:pt idx="5">
                  <c:v>2024</c:v>
                </c:pt>
                <c:pt idx="6">
                  <c:v>2025</c:v>
                </c:pt>
                <c:pt idx="7">
                  <c:v>2026e</c:v>
                </c:pt>
                <c:pt idx="8">
                  <c:v>2027e</c:v>
                </c:pt>
                <c:pt idx="9">
                  <c:v>2028e</c:v>
                </c:pt>
                <c:pt idx="10">
                  <c:v>2029e</c:v>
                </c:pt>
                <c:pt idx="11">
                  <c:v>2030e</c:v>
                </c:pt>
                <c:pt idx="12">
                  <c:v>2031e</c:v>
                </c:pt>
                <c:pt idx="13">
                  <c:v>2032e</c:v>
                </c:pt>
                <c:pt idx="14">
                  <c:v>2033e</c:v>
                </c:pt>
                <c:pt idx="15">
                  <c:v>2034e</c:v>
                </c:pt>
                <c:pt idx="16">
                  <c:v>2035e</c:v>
                </c:pt>
              </c:strCache>
            </c:strRef>
          </c:cat>
          <c:val>
            <c:numRef>
              <c:f>Hoja1!$B$2:$B$18</c:f>
              <c:numCache>
                <c:formatCode>#,##0</c:formatCode>
                <c:ptCount val="17"/>
                <c:pt idx="0">
                  <c:v>6699</c:v>
                </c:pt>
                <c:pt idx="1">
                  <c:v>7442</c:v>
                </c:pt>
                <c:pt idx="2">
                  <c:v>8297</c:v>
                </c:pt>
                <c:pt idx="3">
                  <c:v>11181</c:v>
                </c:pt>
                <c:pt idx="4">
                  <c:v>11013</c:v>
                </c:pt>
                <c:pt idx="5">
                  <c:v>12599</c:v>
                </c:pt>
                <c:pt idx="6">
                  <c:v>13589</c:v>
                </c:pt>
                <c:pt idx="7">
                  <c:v>14608</c:v>
                </c:pt>
                <c:pt idx="8">
                  <c:v>15631</c:v>
                </c:pt>
                <c:pt idx="9">
                  <c:v>16803</c:v>
                </c:pt>
                <c:pt idx="10">
                  <c:v>18063</c:v>
                </c:pt>
                <c:pt idx="11">
                  <c:v>19328</c:v>
                </c:pt>
                <c:pt idx="12">
                  <c:v>20584</c:v>
                </c:pt>
                <c:pt idx="13">
                  <c:v>21819</c:v>
                </c:pt>
                <c:pt idx="14">
                  <c:v>23019</c:v>
                </c:pt>
                <c:pt idx="15">
                  <c:v>24170</c:v>
                </c:pt>
                <c:pt idx="16">
                  <c:v>25258</c:v>
                </c:pt>
              </c:numCache>
            </c:numRef>
          </c:val>
        </c:ser>
        <c:ser>
          <c:idx val="1"/>
          <c:order val="1"/>
          <c:tx>
            <c:strRef>
              <c:f>Hoja1!$C$1</c:f>
              <c:strCache>
                <c:ptCount val="1"/>
                <c:pt idx="0">
                  <c:v>EBITDA</c:v>
                </c:pt>
              </c:strCache>
            </c:strRef>
          </c:tx>
          <c:spPr>
            <a:solidFill>
              <a:srgbClr val="EB6834"/>
            </a:solidFill>
            <a:ln w="9525">
              <a:noFill/>
            </a:ln>
          </c:spPr>
          <c:invertIfNegative val="0"/>
          <c:cat>
            <c:strRef>
              <c:f>Hoja1!$A$2:$A$18</c:f>
              <c:strCache>
                <c:ptCount val="17"/>
                <c:pt idx="0">
                  <c:v>2019</c:v>
                </c:pt>
                <c:pt idx="1">
                  <c:v>2020</c:v>
                </c:pt>
                <c:pt idx="2">
                  <c:v>2021</c:v>
                </c:pt>
                <c:pt idx="3">
                  <c:v>2022</c:v>
                </c:pt>
                <c:pt idx="4">
                  <c:v>2023</c:v>
                </c:pt>
                <c:pt idx="5">
                  <c:v>2024</c:v>
                </c:pt>
                <c:pt idx="6">
                  <c:v>2025</c:v>
                </c:pt>
                <c:pt idx="7">
                  <c:v>2026e</c:v>
                </c:pt>
                <c:pt idx="8">
                  <c:v>2027e</c:v>
                </c:pt>
                <c:pt idx="9">
                  <c:v>2028e</c:v>
                </c:pt>
                <c:pt idx="10">
                  <c:v>2029e</c:v>
                </c:pt>
                <c:pt idx="11">
                  <c:v>2030e</c:v>
                </c:pt>
                <c:pt idx="12">
                  <c:v>2031e</c:v>
                </c:pt>
                <c:pt idx="13">
                  <c:v>2032e</c:v>
                </c:pt>
                <c:pt idx="14">
                  <c:v>2033e</c:v>
                </c:pt>
                <c:pt idx="15">
                  <c:v>2034e</c:v>
                </c:pt>
                <c:pt idx="16">
                  <c:v>2035e</c:v>
                </c:pt>
              </c:strCache>
            </c:strRef>
          </c:cat>
          <c:val>
            <c:numRef>
              <c:f>Hoja1!$C$2:$C$18</c:f>
              <c:numCache>
                <c:formatCode>#,##0</c:formatCode>
                <c:ptCount val="17"/>
                <c:pt idx="0">
                  <c:v>3381</c:v>
                </c:pt>
                <c:pt idx="1">
                  <c:v>3963</c:v>
                </c:pt>
                <c:pt idx="2">
                  <c:v>4637</c:v>
                </c:pt>
                <c:pt idx="3">
                  <c:v>4851</c:v>
                </c:pt>
                <c:pt idx="4">
                  <c:v>4805</c:v>
                </c:pt>
                <c:pt idx="5">
                  <c:v>6095</c:v>
                </c:pt>
                <c:pt idx="6">
                  <c:v>6701</c:v>
                </c:pt>
                <c:pt idx="7">
                  <c:v>7523</c:v>
                </c:pt>
                <c:pt idx="8">
                  <c:v>8175</c:v>
                </c:pt>
                <c:pt idx="9">
                  <c:v>8906</c:v>
                </c:pt>
                <c:pt idx="10">
                  <c:v>9682</c:v>
                </c:pt>
                <c:pt idx="11">
                  <c:v>10456</c:v>
                </c:pt>
                <c:pt idx="12">
                  <c:v>11218</c:v>
                </c:pt>
                <c:pt idx="13">
                  <c:v>11957</c:v>
                </c:pt>
                <c:pt idx="14">
                  <c:v>12661</c:v>
                </c:pt>
                <c:pt idx="15">
                  <c:v>13294</c:v>
                </c:pt>
                <c:pt idx="16">
                  <c:v>13892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70.5</c:v>
                </c:pt>
                <c:pt idx="1">
                  <c:v>71.9</c:v>
                </c:pt>
                <c:pt idx="2">
                  <c:v>73.7</c:v>
                </c:pt>
                <c:pt idx="3">
                  <c:v>66.4</c:v>
                </c:pt>
                <c:pt idx="4">
                  <c:v>66.1</c:v>
                </c:pt>
                <c:pt idx="5">
                  <c:v>69.3</c:v>
                </c:pt>
                <c:pt idx="6">
                  <c:v>70.2</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50.5</c:v>
                </c:pt>
                <c:pt idx="1">
                  <c:v>53.3</c:v>
                </c:pt>
                <c:pt idx="2">
                  <c:v>55.9</c:v>
                </c:pt>
                <c:pt idx="3">
                  <c:v>43.4</c:v>
                </c:pt>
                <c:pt idx="4">
                  <c:v>43.6</c:v>
                </c:pt>
                <c:pt idx="5">
                  <c:v>48.4</c:v>
                </c:pt>
                <c:pt idx="6">
                  <c:v>49.3</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47.4</c:v>
                </c:pt>
                <c:pt idx="1">
                  <c:v>50.5</c:v>
                </c:pt>
                <c:pt idx="2">
                  <c:v>53.7</c:v>
                </c:pt>
                <c:pt idx="3">
                  <c:v>34.3</c:v>
                </c:pt>
                <c:pt idx="4">
                  <c:v>36.1</c:v>
                </c:pt>
                <c:pt idx="5">
                  <c:v>41.6</c:v>
                </c:pt>
                <c:pt idx="6">
                  <c:v>43</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Hoja1!$E$2:$E$8</c:f>
              <c:numCache>
                <c:formatCode>0"%"</c:formatCode>
                <c:ptCount val="7"/>
                <c:pt idx="0">
                  <c:v>31.7</c:v>
                </c:pt>
                <c:pt idx="1">
                  <c:v>31.4</c:v>
                </c:pt>
                <c:pt idx="2">
                  <c:v>36.4</c:v>
                </c:pt>
                <c:pt idx="3">
                  <c:v>29</c:v>
                </c:pt>
                <c:pt idx="4">
                  <c:v>21.5</c:v>
                </c:pt>
                <c:pt idx="5">
                  <c:v>28.3</c:v>
                </c:pt>
                <c:pt idx="6">
                  <c:v>30.8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15.9</c:v>
                </c:pt>
                <c:pt idx="1">
                  <c:v>14</c:v>
                </c:pt>
                <c:pt idx="2">
                  <c:v>8.2</c:v>
                </c:pt>
                <c:pt idx="3">
                  <c:v>5.8</c:v>
                </c:pt>
                <c:pt idx="4">
                  <c:v>8.8</c:v>
                </c:pt>
                <c:pt idx="5">
                  <c:v>9</c:v>
                </c:pt>
                <c:pt idx="6">
                  <c:v>10.7</c:v>
                </c:pt>
                <c:pt idx="7">
                  <c:v>10.9</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7">
                  <c:v>10.6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86</c:v>
                </c:pt>
                <c:pt idx="1">
                  <c:v>78</c:v>
                </c:pt>
                <c:pt idx="2">
                  <c:v>73</c:v>
                </c:pt>
                <c:pt idx="3">
                  <c:v>81</c:v>
                </c:pt>
                <c:pt idx="4">
                  <c:v>94</c:v>
                </c:pt>
                <c:pt idx="5">
                  <c:v>83</c:v>
                </c:pt>
                <c:pt idx="6">
                  <c:v>92</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0</c:v>
                </c:pt>
                <c:pt idx="1">
                  <c:v>0</c:v>
                </c:pt>
                <c:pt idx="2">
                  <c:v>0</c:v>
                </c:pt>
                <c:pt idx="3">
                  <c:v>0</c:v>
                </c:pt>
                <c:pt idx="4">
                  <c:v>0</c:v>
                </c:pt>
                <c:pt idx="5">
                  <c:v>0</c:v>
                </c:pt>
                <c:pt idx="6">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35</c:v>
                </c:pt>
                <c:pt idx="1">
                  <c:v>41</c:v>
                </c:pt>
                <c:pt idx="2">
                  <c:v>34</c:v>
                </c:pt>
                <c:pt idx="3">
                  <c:v>44</c:v>
                </c:pt>
                <c:pt idx="4">
                  <c:v>54</c:v>
                </c:pt>
                <c:pt idx="5">
                  <c:v>52</c:v>
                </c:pt>
                <c:pt idx="6">
                  <c:v>55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2661</c:v>
                </c:pt>
                <c:pt idx="1">
                  <c:v>3491</c:v>
                </c:pt>
                <c:pt idx="2">
                  <c:v>3563</c:v>
                </c:pt>
                <c:pt idx="3">
                  <c:v>2514</c:v>
                </c:pt>
                <c:pt idx="4">
                  <c:v>3567</c:v>
                </c:pt>
                <c:pt idx="5">
                  <c:v>5565</c:v>
                </c:pt>
                <c:pt idx="6">
                  <c:v>5456</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2123</c:v>
                </c:pt>
                <c:pt idx="1">
                  <c:v>2339</c:v>
                </c:pt>
                <c:pt idx="2">
                  <c:v>3024</c:v>
                </c:pt>
                <c:pt idx="3">
                  <c:v>3248</c:v>
                </c:pt>
                <c:pt idx="4">
                  <c:v>2371</c:v>
                </c:pt>
                <c:pt idx="5">
                  <c:v>3569</c:v>
                </c:pt>
                <c:pt idx="6">
                  <c:v>4192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64.3</c:v>
                </c:pt>
                <c:pt idx="1">
                  <c:v>81.5</c:v>
                </c:pt>
                <c:pt idx="2">
                  <c:v>107.4</c:v>
                </c:pt>
                <c:pt idx="3">
                  <c:v>10.9</c:v>
                </c:pt>
                <c:pt idx="4">
                  <c:v>6.4</c:v>
                </c:pt>
                <c:pt idx="5">
                  <c:v>8.6</c:v>
                </c:pt>
                <c:pt idx="6">
                  <c:v>9.5</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10.4</c:v>
                </c:pt>
                <c:pt idx="1">
                  <c:v>10.4</c:v>
                </c:pt>
                <c:pt idx="2">
                  <c:v>10.4</c:v>
                </c:pt>
                <c:pt idx="3">
                  <c:v>10.4</c:v>
                </c:pt>
                <c:pt idx="4">
                  <c:v>10.4</c:v>
                </c:pt>
                <c:pt idx="5">
                  <c:v>10.4</c:v>
                </c:pt>
                <c:pt idx="6">
                  <c:v>10.4</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443.2</c:v>
                </c:pt>
                <c:pt idx="1">
                  <c:v>473.5</c:v>
                </c:pt>
                <c:pt idx="2">
                  <c:v>238</c:v>
                </c:pt>
                <c:pt idx="3">
                  <c:v>16.9</c:v>
                </c:pt>
                <c:pt idx="4">
                  <c:v>6.7</c:v>
                </c:pt>
                <c:pt idx="5">
                  <c:v>10.6</c:v>
                </c:pt>
                <c:pt idx="6">
                  <c:v>13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2019</c:v>
                </c:pt>
                <c:pt idx="1">
                  <c:v>2020</c:v>
                </c:pt>
                <c:pt idx="2">
                  <c:v>2021</c:v>
                </c:pt>
                <c:pt idx="3">
                  <c:v>2022</c:v>
                </c:pt>
                <c:pt idx="4">
                  <c:v>2023</c:v>
                </c:pt>
                <c:pt idx="5">
                  <c:v>2024</c:v>
                </c:pt>
                <c:pt idx="6">
                  <c:v>2025</c:v>
                </c:pt>
              </c:strCache>
            </c:strRef>
          </c:cat>
          <c:val>
            <c:numRef>
              <c:f>Hoja1!$B$2:$B$8</c:f>
              <c:numCache>
                <c:formatCode>0.0"x"</c:formatCode>
                <c:ptCount val="7"/>
                <c:pt idx="0">
                  <c:v>0.32</c:v>
                </c:pt>
                <c:pt idx="1">
                  <c:v>0</c:v>
                </c:pt>
                <c:pt idx="2">
                  <c:v>-0.51</c:v>
                </c:pt>
                <c:pt idx="3">
                  <c:v>1.99</c:v>
                </c:pt>
                <c:pt idx="4">
                  <c:v>2.12</c:v>
                </c:pt>
                <c:pt idx="5">
                  <c:v>1.6</c:v>
                </c:pt>
                <c:pt idx="6">
                  <c:v>1.69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c:v>
                </c:pt>
                <c:pt idx="1">
                  <c:v>2027</c:v>
                </c:pt>
                <c:pt idx="2">
                  <c:v>2028</c:v>
                </c:pt>
                <c:pt idx="3">
                  <c:v>2029</c:v>
                </c:pt>
                <c:pt idx="4">
                  <c:v>2030</c:v>
                </c:pt>
                <c:pt idx="5">
                  <c:v>2031</c:v>
                </c:pt>
                <c:pt idx="6">
                  <c:v>2032-2035</c:v>
                </c:pt>
                <c:pt idx="7">
                  <c:v>2037+</c:v>
                </c:pt>
              </c:strCache>
            </c:strRef>
          </c:cat>
          <c:val>
            <c:numRef>
              <c:f>Hoja1!$B$2:$B$9</c:f>
              <c:numCache>
                <c:formatCode>#,##0</c:formatCode>
                <c:ptCount val="8"/>
                <c:pt idx="0">
                  <c:v>825</c:v>
                </c:pt>
                <c:pt idx="1">
                  <c:v>1747</c:v>
                </c:pt>
                <c:pt idx="2">
                  <c:v>777</c:v>
                </c:pt>
                <c:pt idx="3">
                  <c:v>2725</c:v>
                </c:pt>
                <c:pt idx="4">
                  <c:v>597</c:v>
                </c:pt>
                <c:pt idx="5">
                  <c:v>596</c:v>
                </c:pt>
                <c:pt idx="6">
                  <c:v>2621</c:v>
                </c:pt>
                <c:pt idx="7">
                  <c:v>3301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91</c:v>
                </c:pt>
                <c:pt idx="1">
                  <c:v>201</c:v>
                </c:pt>
                <c:pt idx="2">
                  <c:v>99</c:v>
                </c:pt>
                <c:pt idx="3">
                  <c:v>-210</c:v>
                </c:pt>
                <c:pt idx="4">
                  <c:v>296</c:v>
                </c:pt>
                <c:pt idx="5">
                  <c:v>305</c:v>
                </c:pt>
                <c:pt idx="6">
                  <c:v>2023</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560</c:v>
                </c:pt>
                <c:pt idx="1">
                  <c:v>645</c:v>
                </c:pt>
                <c:pt idx="2">
                  <c:v>743</c:v>
                </c:pt>
                <c:pt idx="3">
                  <c:v>1024</c:v>
                </c:pt>
                <c:pt idx="4">
                  <c:v>1147</c:v>
                </c:pt>
                <c:pt idx="5">
                  <c:v>1134</c:v>
                </c:pt>
                <c:pt idx="6">
                  <c:v>1170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1240</c:v>
                </c:pt>
                <c:pt idx="1">
                  <c:v>1164</c:v>
                </c:pt>
                <c:pt idx="2">
                  <c:v>0</c:v>
                </c:pt>
                <c:pt idx="3">
                  <c:v>12004</c:v>
                </c:pt>
                <c:pt idx="4">
                  <c:v>3301</c:v>
                </c:pt>
                <c:pt idx="5">
                  <c:v>3301</c:v>
                </c:pt>
                <c:pt idx="6">
                  <c:v>5001</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9</c:v>
                </c:pt>
                <c:pt idx="1">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Vanguard (Vanguard Capital Management LLC)</c:v>
                </c:pt>
                <c:pt idx="1">
                  <c:v>BlackRock, Inc.</c:v>
                </c:pt>
                <c:pt idx="2">
                  <c:v>Markit Group Holdings Limited Employee Benefit Trust</c:v>
                </c:pt>
                <c:pt idx="3">
                  <c:v>Consejeros y directivos (22 personas)</c:v>
                </c:pt>
              </c:strCache>
            </c:strRef>
          </c:cat>
          <c:val>
            <c:numRef>
              <c:f>Hoja1!$B$2:$B$5</c:f>
              <c:numCache>
                <c:formatCode>0.0"%"</c:formatCode>
                <c:ptCount val="4"/>
                <c:pt idx="0">
                  <c:v>7.38</c:v>
                </c:pt>
                <c:pt idx="1">
                  <c:v>7.99</c:v>
                </c:pt>
                <c:pt idx="2">
                  <c:v>2.36</c:v>
                </c:pt>
                <c:pt idx="3">
                  <c:v>0.033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10.6</c:v>
                </c:pt>
                <c:pt idx="1">
                  <c:v>59.3</c:v>
                </c:pt>
                <c:pt idx="2">
                  <c:v>1.4</c:v>
                </c:pt>
                <c:pt idx="3">
                  <c:v>62.3</c:v>
                </c:pt>
                <c:pt idx="4">
                  <c:v>21.4</c:v>
                </c:pt>
                <c:pt idx="5">
                  <c:v>44.7</c:v>
                </c:pt>
                <c:pt idx="6">
                  <c:v>-28.4</c:v>
                </c:pt>
                <c:pt idx="7">
                  <c:v>32.8</c:v>
                </c:pt>
                <c:pt idx="8">
                  <c:v>13.9</c:v>
                </c:pt>
                <c:pt idx="9">
                  <c:v>5.7</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0.0"x"</c:formatCode>
                <c:ptCount val="7"/>
                <c:pt idx="0">
                  <c:v>20.9</c:v>
                </c:pt>
                <c:pt idx="1">
                  <c:v>20.8</c:v>
                </c:pt>
                <c:pt idx="2">
                  <c:v>24.9</c:v>
                </c:pt>
                <c:pt idx="3">
                  <c:v>24.7</c:v>
                </c:pt>
                <c:pt idx="4">
                  <c:v>32.2</c:v>
                </c:pt>
                <c:pt idx="5">
                  <c:v>27.8</c:v>
                </c:pt>
                <c:pt idx="6">
                  <c:v>26.2</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0.0"x"</c:formatCode>
                <c:ptCount val="7"/>
                <c:pt idx="0">
                  <c:v>24.9</c:v>
                </c:pt>
                <c:pt idx="1">
                  <c:v>24.9</c:v>
                </c:pt>
                <c:pt idx="2">
                  <c:v>24.9</c:v>
                </c:pt>
                <c:pt idx="3">
                  <c:v>24.9</c:v>
                </c:pt>
                <c:pt idx="4">
                  <c:v>24.9</c:v>
                </c:pt>
                <c:pt idx="5">
                  <c:v>24.9</c:v>
                </c:pt>
                <c:pt idx="6">
                  <c:v>24.9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Pt>
            <c:idx val="9"/>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S&amp;P Global</c:v>
                </c:pt>
                <c:pt idx="1">
                  <c:v>Moody's</c:v>
                </c:pt>
                <c:pt idx="2">
                  <c:v>MSCI</c:v>
                </c:pt>
                <c:pt idx="3">
                  <c:v>Intercontinental Exchange</c:v>
                </c:pt>
                <c:pt idx="4">
                  <c:v>CME Group</c:v>
                </c:pt>
                <c:pt idx="5">
                  <c:v>Nasdaq</c:v>
                </c:pt>
                <c:pt idx="6">
                  <c:v>Verisk Analytics</c:v>
                </c:pt>
                <c:pt idx="7">
                  <c:v>Thomson Reuters</c:v>
                </c:pt>
                <c:pt idx="8">
                  <c:v>London Stock Exchange Group</c:v>
                </c:pt>
                <c:pt idx="9">
                  <c:v>FactSet Research Systems</c:v>
                </c:pt>
              </c:strCache>
            </c:strRef>
          </c:cat>
          <c:val>
            <c:numRef>
              <c:f>Hoja1!$B$2:$B$11</c:f>
              <c:numCache>
                <c:formatCode>0.0"x"</c:formatCode>
                <c:ptCount val="10"/>
                <c:pt idx="0">
                  <c:v>17.1</c:v>
                </c:pt>
                <c:pt idx="1">
                  <c:v>18.4</c:v>
                </c:pt>
                <c:pt idx="2">
                  <c:v>20.3</c:v>
                </c:pt>
                <c:pt idx="3">
                  <c:v>13.8</c:v>
                </c:pt>
                <c:pt idx="4">
                  <c:v>19.2</c:v>
                </c:pt>
                <c:pt idx="5">
                  <c:v>16.1</c:v>
                </c:pt>
                <c:pt idx="6">
                  <c:v>14.2</c:v>
                </c:pt>
                <c:pt idx="7">
                  <c:v>13.5</c:v>
                </c:pt>
                <c:pt idx="8">
                  <c:v>9.7</c:v>
                </c:pt>
                <c:pt idx="9">
                  <c:v>11.4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S&amp;P Global</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5.9</c:v>
                </c:pt>
              </c:numCache>
            </c:numRef>
          </c:xVal>
          <c:yVal>
            <c:numRef>
              <c:f>Hoja1!$C$2</c:f>
              <c:numCache>
                <c:formatCode>0.0"x"</c:formatCode>
                <c:ptCount val="1"/>
                <c:pt idx="0">
                  <c:v>17.1</c:v>
                </c:pt>
              </c:numCache>
            </c:numRef>
          </c:yVal>
          <c:smooth val="0"/>
        </c:ser>
        <c:ser>
          <c:idx val="1"/>
          <c:order val="1"/>
          <c:tx>
            <c:strRef>
              <c:f>Hoja1!$A$3</c:f>
              <c:strCache>
                <c:ptCount val="1"/>
                <c:pt idx="0">
                  <c:v>Moody's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7.3</c:v>
                </c:pt>
              </c:numCache>
            </c:numRef>
          </c:xVal>
          <c:yVal>
            <c:numRef>
              <c:f>Hoja1!$C$3</c:f>
              <c:numCache>
                <c:formatCode>0.0"x"</c:formatCode>
                <c:ptCount val="1"/>
                <c:pt idx="0">
                  <c:v>18.4</c:v>
                </c:pt>
              </c:numCache>
            </c:numRef>
          </c:yVal>
          <c:smooth val="0"/>
        </c:ser>
        <c:ser>
          <c:idx val="2"/>
          <c:order val="2"/>
          <c:tx>
            <c:strRef>
              <c:f>Hoja1!$A$4</c:f>
              <c:strCache>
                <c:ptCount val="1"/>
                <c:pt idx="0">
                  <c:v>MSCI</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10.2</c:v>
                </c:pt>
              </c:numCache>
            </c:numRef>
          </c:xVal>
          <c:yVal>
            <c:numRef>
              <c:f>Hoja1!$C$4</c:f>
              <c:numCache>
                <c:formatCode>0.0"x"</c:formatCode>
                <c:ptCount val="1"/>
                <c:pt idx="0">
                  <c:v>20.3</c:v>
                </c:pt>
              </c:numCache>
            </c:numRef>
          </c:yVal>
          <c:smooth val="0"/>
        </c:ser>
        <c:ser>
          <c:idx val="3"/>
          <c:order val="3"/>
          <c:tx>
            <c:strRef>
              <c:f>Hoja1!$A$5</c:f>
              <c:strCache>
                <c:ptCount val="1"/>
                <c:pt idx="0">
                  <c:v>Intercontinental Exchange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8.1</c:v>
                </c:pt>
              </c:numCache>
            </c:numRef>
          </c:xVal>
          <c:yVal>
            <c:numRef>
              <c:f>Hoja1!$C$5</c:f>
              <c:numCache>
                <c:formatCode>0.0"x"</c:formatCode>
                <c:ptCount val="1"/>
                <c:pt idx="0">
                  <c:v>13.8</c:v>
                </c:pt>
              </c:numCache>
            </c:numRef>
          </c:yVal>
          <c:smooth val="0"/>
        </c:ser>
        <c:ser>
          <c:idx val="4"/>
          <c:order val="4"/>
          <c:tx>
            <c:strRef>
              <c:f>Hoja1!$A$6</c:f>
              <c:strCache>
                <c:ptCount val="1"/>
                <c:pt idx="0">
                  <c:v>CME Group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5.9</c:v>
                </c:pt>
              </c:numCache>
            </c:numRef>
          </c:xVal>
          <c:yVal>
            <c:numRef>
              <c:f>Hoja1!$C$6</c:f>
              <c:numCache>
                <c:formatCode>0.0"x"</c:formatCode>
                <c:ptCount val="1"/>
                <c:pt idx="0">
                  <c:v>19.2</c:v>
                </c:pt>
              </c:numCache>
            </c:numRef>
          </c:yVal>
          <c:smooth val="0"/>
        </c:ser>
        <c:ser>
          <c:idx val="5"/>
          <c:order val="5"/>
          <c:tx>
            <c:strRef>
              <c:f>Hoja1!$A$7</c:f>
              <c:strCache>
                <c:ptCount val="1"/>
                <c:pt idx="0">
                  <c:v>Nasdaq</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10.1</c:v>
                </c:pt>
              </c:numCache>
            </c:numRef>
          </c:xVal>
          <c:yVal>
            <c:numRef>
              <c:f>Hoja1!$C$7</c:f>
              <c:numCache>
                <c:formatCode>0.0"x"</c:formatCode>
                <c:ptCount val="1"/>
                <c:pt idx="0">
                  <c:v>16.1</c:v>
                </c:pt>
              </c:numCache>
            </c:numRef>
          </c:yVal>
          <c:smooth val="0"/>
        </c:ser>
        <c:ser>
          <c:idx val="6"/>
          <c:order val="6"/>
          <c:tx>
            <c:strRef>
              <c:f>Hoja1!$A$8</c:f>
              <c:strCache>
                <c:ptCount val="1"/>
                <c:pt idx="0">
                  <c:v>Verisk Analytics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6.1</c:v>
                </c:pt>
              </c:numCache>
            </c:numRef>
          </c:xVal>
          <c:yVal>
            <c:numRef>
              <c:f>Hoja1!$C$8</c:f>
              <c:numCache>
                <c:formatCode>0.0"x"</c:formatCode>
                <c:ptCount val="1"/>
                <c:pt idx="0">
                  <c:v>14.2</c:v>
                </c:pt>
              </c:numCache>
            </c:numRef>
          </c:yVal>
          <c:smooth val="0"/>
        </c:ser>
        <c:ser>
          <c:idx val="7"/>
          <c:order val="7"/>
          <c:tx>
            <c:strRef>
              <c:f>Hoja1!$A$9</c:f>
              <c:strCache>
                <c:ptCount val="1"/>
                <c:pt idx="0">
                  <c:v>Thomson Reuters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8.2</c:v>
                </c:pt>
              </c:numCache>
            </c:numRef>
          </c:xVal>
          <c:yVal>
            <c:numRef>
              <c:f>Hoja1!$C$9</c:f>
              <c:numCache>
                <c:formatCode>0.0"x"</c:formatCode>
                <c:ptCount val="1"/>
                <c:pt idx="0">
                  <c:v>13.5</c:v>
                </c:pt>
              </c:numCache>
            </c:numRef>
          </c:yVal>
          <c:smooth val="0"/>
        </c:ser>
        <c:ser>
          <c:idx val="8"/>
          <c:order val="8"/>
          <c:tx>
            <c:strRef>
              <c:f>Hoja1!$A$10</c:f>
              <c:strCache>
                <c:ptCount val="1"/>
                <c:pt idx="0">
                  <c:v>London Stock Exchange Group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6.5</c:v>
                </c:pt>
              </c:numCache>
            </c:numRef>
          </c:xVal>
          <c:yVal>
            <c:numRef>
              <c:f>Hoja1!$C$10</c:f>
              <c:numCache>
                <c:formatCode>0.0"x"</c:formatCode>
                <c:ptCount val="1"/>
                <c:pt idx="0">
                  <c:v>9.7</c:v>
                </c:pt>
              </c:numCache>
            </c:numRef>
          </c:yVal>
          <c:smooth val="0"/>
        </c:ser>
        <c:ser>
          <c:idx val="9"/>
          <c:order val="9"/>
          <c:tx>
            <c:strRef>
              <c:f>Hoja1!$A$11</c:f>
              <c:strCache>
                <c:ptCount val="1"/>
                <c:pt idx="0">
                  <c:v>FactSet Research Systems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Hoja1!$B$11</c:f>
              <c:numCache>
                <c:formatCode>0"%"</c:formatCode>
                <c:ptCount val="1"/>
                <c:pt idx="0">
                  <c:v>6.3</c:v>
                </c:pt>
              </c:numCache>
            </c:numRef>
          </c:xVal>
          <c:yVal>
            <c:numRef>
              <c:f>Hoja1!$C$11</c:f>
              <c:numCache>
                <c:formatCode>0.0"x"</c:formatCode>
                <c:ptCount val="1"/>
                <c:pt idx="0">
                  <c:v>11.4</c:v>
                </c:pt>
              </c:numCache>
            </c:numRef>
          </c:yVal>
          <c:smooth val="0"/>
        </c:ser>
        <c:axId val="10"/>
        <c:axId val="20"/>
      </c:scatterChart>
      <c:valAx>
        <c:axId val="10"/>
        <c:scaling>
          <c:orientation val="minMax"/>
          <c:max val="12"/>
          <c:min val="5"/>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7"/>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MarketAxess Holdings</c:v>
                </c:pt>
                <c:pt idx="1">
                  <c:v>With Intelligence</c:v>
                </c:pt>
                <c:pt idx="2">
                  <c:v>Preqin</c:v>
                </c:pt>
                <c:pt idx="3">
                  <c:v>Adenza</c:v>
                </c:pt>
                <c:pt idx="4">
                  <c:v>IHS Markit</c:v>
                </c:pt>
                <c:pt idx="5">
                  <c:v>Refinitiv</c:v>
                </c:pt>
                <c:pt idx="6">
                  <c:v>Black Knight</c:v>
                </c:pt>
              </c:strCache>
            </c:strRef>
          </c:cat>
          <c:val>
            <c:numRef>
              <c:f>Hoja1!$B$2:$B$8</c:f>
              <c:numCache>
                <c:formatCode>0.0"x"</c:formatCode>
                <c:ptCount val="7"/>
                <c:pt idx="0">
                  <c:v>13</c:v>
                </c:pt>
                <c:pt idx="3">
                  <c:v>30.7</c:v>
                </c:pt>
                <c:pt idx="4">
                  <c:v>24</c:v>
                </c:pt>
                <c:pt idx="5">
                  <c:v>13.1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6027</c:v>
                </c:pt>
                <c:pt idx="1">
                  <c:v>6400</c:v>
                </c:pt>
                <c:pt idx="2">
                  <c:v>6960</c:v>
                </c:pt>
                <c:pt idx="3">
                  <c:v>7527</c:v>
                </c:pt>
                <c:pt idx="4">
                  <c:v>8080</c:v>
                </c:pt>
                <c:pt idx="5">
                  <c:v>8616</c:v>
                </c:pt>
                <c:pt idx="6">
                  <c:v>9150</c:v>
                </c:pt>
                <c:pt idx="7">
                  <c:v>9629</c:v>
                </c:pt>
                <c:pt idx="8">
                  <c:v>10054</c:v>
                </c:pt>
                <c:pt idx="9">
                  <c:v>10483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49158</c:v>
                </c:pt>
                <c:pt idx="1">
                  <c:v>63497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407,82</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211.29</c:v>
                </c:pt>
                <c:pt idx="1">
                  <c:v>321.8</c:v>
                </c:pt>
                <c:pt idx="2">
                  <c:v>422.42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407,82</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Hoja1!$A$2:$A$11</c:f>
              <c:strCache>
                <c:ptCount val="10"/>
                <c:pt idx="0">
                  <c:v>Cotización 52 semanas (361,03 – 522,47)</c:v>
                </c:pt>
                <c:pt idx="1">
                  <c:v>Precio objetivo de los analistas (477,00 – 553,00)</c:v>
                </c:pt>
                <c:pt idx="2">
                  <c:v>Comparables: EV/EBITDA NTM (308,59 – 442,45)</c:v>
                </c:pt>
                <c:pt idx="3">
                  <c:v>Comparables: PER NTM (383,40 – 435,68)</c:v>
                </c:pt>
                <c:pt idx="4">
                  <c:v>Transacciones precedentes (EV/EBITDA) (264,02 – 576,48)</c:v>
                </c:pt>
                <c:pt idx="5">
                  <c:v>DCF (WACC y g ± 0,5) (282,68 – 373,82)</c:v>
                </c:pt>
                <c:pt idx="6">
                  <c:v>Escenarios (bajista – alcista) (211,29 – 422,42)</c:v>
                </c:pt>
                <c:pt idx="7">
                  <c:v>Suma de partes (345,76 – 489,04)</c:v>
                </c:pt>
                <c:pt idx="8">
                  <c:v>DCF con la prima implícita del mercado (4,2 %)</c:v>
                </c:pt>
                <c:pt idx="9">
                  <c:v>Precio actual (407,82)</c:v>
                </c:pt>
              </c:strCache>
            </c:strRef>
          </c:cat>
          <c:val>
            <c:numRef>
              <c:f>Hoja1!$B$2:$B$11</c:f>
              <c:numCache>
                <c:formatCode>#,##0</c:formatCode>
                <c:ptCount val="10"/>
                <c:pt idx="0">
                  <c:v>361.03</c:v>
                </c:pt>
                <c:pt idx="1">
                  <c:v>477</c:v>
                </c:pt>
                <c:pt idx="2">
                  <c:v>308.59</c:v>
                </c:pt>
                <c:pt idx="3">
                  <c:v>383.4</c:v>
                </c:pt>
                <c:pt idx="4">
                  <c:v>264.02</c:v>
                </c:pt>
                <c:pt idx="5">
                  <c:v>282.68</c:v>
                </c:pt>
                <c:pt idx="6">
                  <c:v>211.29</c:v>
                </c:pt>
                <c:pt idx="7">
                  <c:v>345.76</c:v>
                </c:pt>
                <c:pt idx="8">
                  <c:v>367.47</c:v>
                </c:pt>
                <c:pt idx="9">
                  <c:v>405.78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9"/>
            <c:invertIfNegative val="0"/>
            <c:bubble3D val="0"/>
            <c:spPr>
              <a:solidFill>
                <a:srgbClr val="C9C8C2"/>
              </a:solidFill>
            </c:spPr>
          </c:dPt>
          <c:cat>
            <c:strRef>
              <c:f>Hoja1!$A$2:$A$11</c:f>
              <c:strCache>
                <c:ptCount val="10"/>
                <c:pt idx="0">
                  <c:v>Cotización 52 semanas (361,03 – 522,47)</c:v>
                </c:pt>
                <c:pt idx="1">
                  <c:v>Precio objetivo de los analistas (477,00 – 553,00)</c:v>
                </c:pt>
                <c:pt idx="2">
                  <c:v>Comparables: EV/EBITDA NTM (308,59 – 442,45)</c:v>
                </c:pt>
                <c:pt idx="3">
                  <c:v>Comparables: PER NTM (383,40 – 435,68)</c:v>
                </c:pt>
                <c:pt idx="4">
                  <c:v>Transacciones precedentes (EV/EBITDA) (264,02 – 576,48)</c:v>
                </c:pt>
                <c:pt idx="5">
                  <c:v>DCF (WACC y g ± 0,5) (282,68 – 373,82)</c:v>
                </c:pt>
                <c:pt idx="6">
                  <c:v>Escenarios (bajista – alcista) (211,29 – 422,42)</c:v>
                </c:pt>
                <c:pt idx="7">
                  <c:v>Suma de partes (345,76 – 489,04)</c:v>
                </c:pt>
                <c:pt idx="8">
                  <c:v>DCF con la prima implícita del mercado (4,2 %)</c:v>
                </c:pt>
                <c:pt idx="9">
                  <c:v>Precio actual (407,82)</c:v>
                </c:pt>
              </c:strCache>
            </c:strRef>
          </c:cat>
          <c:val>
            <c:numRef>
              <c:f>Hoja1!$C$2:$C$11</c:f>
              <c:numCache>
                <c:formatCode>#,##0</c:formatCode>
                <c:ptCount val="10"/>
                <c:pt idx="0">
                  <c:v>161.44000000000005</c:v>
                </c:pt>
                <c:pt idx="1">
                  <c:v>76</c:v>
                </c:pt>
                <c:pt idx="2">
                  <c:v>133.86</c:v>
                </c:pt>
                <c:pt idx="3">
                  <c:v>52.28000000000003</c:v>
                </c:pt>
                <c:pt idx="4">
                  <c:v>312.46000000000004</c:v>
                </c:pt>
                <c:pt idx="5">
                  <c:v>91.13999999999999</c:v>
                </c:pt>
                <c:pt idx="6">
                  <c:v>211.13000000000002</c:v>
                </c:pt>
                <c:pt idx="7">
                  <c:v>143.28000000000003</c:v>
                </c:pt>
                <c:pt idx="8">
                  <c:v>83.82</c:v>
                </c:pt>
                <c:pt idx="9">
                  <c:v>4.080000000000041</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2026-10-10T11:47:10.462Z</dcterms:created>
  <dcterms:modified xsi:type="dcterms:W3CDTF">2026-10-10T11:47:10.463Z</dcterms:modified>
</cp:coreProperties>
</file>

<file path=docProps/custom.xml><?xml version="1.0" encoding="utf-8"?>
<Properties xmlns="http://schemas.openxmlformats.org/officeDocument/2006/custom-properties" xmlns:vt="http://schemas.openxmlformats.org/officeDocument/2006/docPropsVTypes"/>
</file>