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SAP SE</w:t>
      </w:r>
    </w:p>
    <w:p>
      <w:pPr>
        <w:spacing w:after="60"/>
        <w:rPr>
          <w:color w:val="52514E"/>
          <w:sz w:val="22"/>
          <w:szCs w:val="22"/>
        </w:rPr>
      </w:pPr>
      <w:r>
        <w:rPr>
          <w:color w:val="52514E"/>
          <w:sz w:val="22"/>
          <w:szCs w:val="22"/>
        </w:rPr>
        <w:t xml:space="preserve">SAP · Xetra (Fráncfort); ADR en NYSE (SAP) · ISIN DE0007164600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11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191,46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191,35 EUR · mercado 230,58</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+1,2 % · mercado +21,7 %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221.940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15,1x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0,0x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SAP 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SAP / DE0007164600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Xetra (Fráncfort); ADR en NYSE (SAP)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DAX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Software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Walldorf (Alemania) · 1972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109.211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www.sap.com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191,46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127,50 – 244,30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1.159,2</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221.940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215.631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432 M EUR/día (3 meses; 2,53 M acciones/día en Xetra y plazas alemanas según Yahoo)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Valor objetivo </w:t>
      </w:r>
      <w:r>
        <w:rPr>
          <w:b/>
          <w:bCs/>
        </w:rPr>
        <w:t xml:space="preserve">191,35 EUR</w:t>
      </w:r>
      <w:r>
        <w:t xml:space="preserve"> frente a 191,46 · con la prima implícita del mercado: 230,58 (+20,4 %) · Rentabilidad total esperada a 12 meses </w:t>
      </w:r>
      <w:r>
        <w:rPr>
          <w:b/>
          <w:bCs/>
        </w:rPr>
        <w:t xml:space="preserve">+1,2 %</w:t>
      </w:r>
      <w:r>
        <w:t xml:space="preserve"> · Alcista / bajista +28,9 % / -34,7 %</w:t>
      </w:r>
    </w:p>
    <w:p>
      <w:pPr>
        <w:spacing w:after="100"/>
      </w:pPr>
      <w:r>
        <w:rPr>
          <w:b/>
        </w:rPr>
        <w:t xml:space="preserve">La recomendación y por qué.</w:t>
      </w:r>
      <w:r>
        <w:t xml:space="preserve"> Mantener, con convicción baja. El valor objetivo es de 191,35 EUR, prácticamente el precio de 191,46 EUR, y con el dividendo la rentabilidad total esperada a 12 meses es del 1,2 %. El alcista gana un 28,9 % y el bajista pierde un 34,7 %: asimetría de 0,83 veces. La razón en una frase: el precio descuenta casi exactamente nuestro caso base, que ya es el de la guía y el del consenso. Las reglas discrepan: con nuestro coste de capital (WACC del 9,30 %) sale Mantener; con la prima de riesgo que hoy pide el mercado (4,20 %) el objetivo sube a 230,58 EUR (+20,4 %) y sale Comprar. Es decir, SAP rinde más que el mercado pero no cubre su propio coste de capital histórico: si el mercado entero corrige, también cae. La convicción es baja, la que sugieren los criterios, por esa discrepancia; subiría si el precio bajara de 184,46 EUR o si el 3T26 (21 de octubre) mantiene el backlog de nube por encima del +25 % a divisa constante.</w:t>
      </w:r>
    </w:p>
    <w:p>
      <w:pPr>
        <w:spacing w:after="100"/>
      </w:pPr>
      <w:r>
        <w:rPr>
          <w:b/>
        </w:rPr>
        <w:t xml:space="preserve">El negocio.</w:t>
      </w:r>
      <w:r>
        <w:t xml:space="preserve"> SAP es el ERP de las grandes empresas: 36.800 M de ingresos en 2025, un 86 % recurrentes, con un ROIC del 15,5 %, 6,2 puntos por encima del WACC [1]. La nube crece al +24 % a divisa constante y el current cloud backlog suma 22.929 M (+26 %) [4]. Su calidad sí sostiene el crecimiento del caso base (8,2 % anual): no necesita capital, el circulante es negativo por los cobros anticipados y el foso es de costes de cambio. El riesgo no es de calidad sino de modelo: que los agentes de IA desplacen el cobro por usuario.</w:t>
      </w:r>
    </w:p>
    <w:p>
      <w:pPr>
        <w:spacing w:after="100"/>
      </w:pPr>
      <w:r>
        <w:rPr>
          <w:b/>
        </w:rPr>
        <w:t xml:space="preserve">Finanzas.</w:t>
      </w:r>
      <w:r>
        <w:t xml:space="preserve"> El margen EBITDA NIIF subió al 30,8 % en 2025 (sin el litigio de Teradata) desde el 23 % de 2023, y el flujo libre fue de 7.544 M, un 105 % del beneficio [1]. Caja neta de 2.856 M a junio y rating A+/A1 [5]. La calidad contable es buena (Altman 7,25, Piotroski 8), aunque los pagos en acciones (1.695 M en 2025) son el 24 % del beneficio.</w:t>
      </w:r>
    </w:p>
    <w:p>
      <w:pPr>
        <w:spacing w:after="100"/>
      </w:pPr>
      <w:r>
        <w:rPr>
          <w:b/>
        </w:rPr>
        <w:t xml:space="preserve">Equipo y gobierno.</w:t>
      </w:r>
      <w:r>
        <w:t xml:space="preserve"> Suma poco y resta poco: sin accionista de control, presidente no ejecutivo y la dirección compró acciones en los mínimos de julio [45]. Cumple 10 de 13 criterios; falla en independencia (44 %, por la cogestión) y en la comisión de auditoría. La guía se ha cumplido o casi en seis años, pero la ambición 2025 se rehízo dos veces.</w:t>
      </w:r>
    </w:p>
    <w:p>
      <w:pPr>
        <w:spacing w:after="100"/>
      </w:pPr>
      <w:r>
        <w:rPr>
          <w:b/>
        </w:rPr>
        <w:t xml:space="preserve">Valoración.</w:t>
      </w:r>
      <w:r>
        <w:t xml:space="preserve"> El DCF da 192,86 EUR y el DCF inverso dice que el precio pide un crecimiento del 8,1 % anual hasta 2035, frente al 8,2 % de nuestro caso base: no discrepamos del mercado. Los comparables (161,12 EUR) dicen que SAP es cara frente a Salesforce, Adobe o Intuit (15,1 veces el EBITDA de los próximos 12 meses frente a 11,8), y su propia historia (18,2 veces frente a 19,9 de media) que no lo es.</w:t>
      </w:r>
    </w:p>
    <w:p>
      <w:pPr>
        <w:spacing w:after="100"/>
      </w:pPr>
      <w:r>
        <w:rPr>
          <w:b/>
        </w:rPr>
        <w:t xml:space="preserve">Riesgos y catalizadores.</w:t>
      </w:r>
      <w:r>
        <w:t xml:space="preserve"> El primero es la IA: en el bajista (124,96 EUR) el backlog frena al 10-12 % y el margen se queda en el 33 %. El segundo, la divisa: el 39 % de los ingresos viene de América. Los catalizadores son el 3T26 del 21-oct, la guía de 2027 a finales de enero y el fin del mantenimiento de ECC en diciembre de 2027; la recompra (7.400 M pendientes) retiraría un 3,3 % del capital. Los foros de particulares están más animados que los analistas, que rebajaron en septiembre; no hay euforia que cambie la decisión.</w:t>
      </w:r>
    </w:p>
    <w:p>
      <w:pPr>
        <w:spacing w:after="100"/>
      </w:pPr>
      <w:r>
        <w:rPr>
          <w:b/>
        </w:rPr>
        <w:t xml:space="preserve">Qué cambiaría la decisión.</w:t>
      </w:r>
      <w:r>
        <w:t xml:space="preserve"> Compraríamos por debajo de 184,46 EUR y venderíamos por encima de 259,09 EUR. Un backlog de nube por debajo del +20 % a divisa constante nos llevaría hacia el bajista; una guía de 2027 con ingresos acelerando por encima del +12 % y el margen subiendo, hacia el alcista.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Valor objetivo: </w:t>
      </w:r>
      <w:r>
        <w:rPr>
          <w:b/>
          <w:bCs/>
        </w:rPr>
        <w:t xml:space="preserve">191,35 EUR</w:t>
      </w:r>
      <w:r>
        <w:t xml:space="preserve"> (-0,1 % sobre 191,46; rentabilidad total esperada +1,2 %) · con la prima implícita del mercado: 230,58 (+20,4 %)</w:t>
      </w:r>
    </w:p>
    <w:p>
      <w:pPr>
        <w:spacing w:after="100"/>
      </w:pPr>
      <w:r>
        <w:t xml:space="preserve">SAP es el sistema de gestión (ERP) de la mayoría de las grandes empresas del mundo y está a mitad de su paso a la nube: los ingresos de nube fueron 21.023 M en 2025 (+23 %), el 57 % del total, y la Cloud ERP Suite creció un 28 % [1]. El 86 % de los ingresos es recurrente y el current cloud backlog (22.929 M, +26 % a divisa constante) cubre buena parte del año próximo [4]. El margen EBIT ha pasado del 18,6 % de 2023 al 27,2 % de 2025 y la guía pide más [1, 4].</w:t>
      </w:r>
    </w:p>
    <w:p>
      <w:pPr>
        <w:spacing w:after="100"/>
      </w:pPr>
      <w:r>
        <w:t xml:space="preserve">El precio descuenta justo eso. El DCF inverso dice que los 191,46 EUR de hoy suponen un crecimiento de los ingresos del 8,1 % anual hasta 2035 con un margen EBITDA del 35,8 %, casi idéntico a nuestro caso base (8,2 % y 36 %) y al consenso de 28 analistas [56]. SAP cotiza a 15,1 veces el EBITDA de los próximos 12 meses, por encima de la mediana de los grandes del software (11,8 veces) y por debajo de su media histórica de los últimos 12 meses (19,9 veces).</w:t>
      </w:r>
    </w:p>
    <w:p>
      <w:pPr>
        <w:spacing w:after="100"/>
      </w:pPr>
      <w:r>
        <w:t xml:space="preserve">El mercado acierta, a nuestro juicio. Para invertir hay que creer en algo más que la guía: que la IA amplía el negocio del ERP en vez de abaratarlo, que la migración de ECC acelera los ingresos en 2027-2028 por encima del 12 % y que el margen converge al de Oracle. Con nuestro coste de capital no hay margen de seguridad; con el que hoy pide el mercado, sí.</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191,35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28,9 % / -34,7 %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 frente a 9,3 % y 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230,58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(2026e-2035e)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 frente a 7,1 %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(8,2 %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184,46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184,46 y 259,09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259,09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184,46 EUR, pasaríamos a Comprar.</w:t>
      </w:r>
    </w:p>
    <w:p>
      <w:pPr>
        <w:pStyle w:val="ListParagraph"/>
        <w:numPr>
          <w:ilvl w:val="0"/>
          <w:numId w:val="2"/>
        </w:numPr>
        <w:spacing w:after="60"/>
      </w:pPr>
      <w:r>
        <w:t xml:space="preserve">Si el precio supera 259,09 EUR, pasaríamos a Vender.</w:t>
      </w:r>
    </w:p>
    <w:p>
      <w:pPr>
        <w:pStyle w:val="ListParagraph"/>
        <w:numPr>
          <w:ilvl w:val="0"/>
          <w:numId w:val="2"/>
        </w:numPr>
        <w:spacing w:after="60"/>
      </w:pPr>
      <w:r>
        <w:t xml:space="preserve">Si el current cloud backlog del 3T26 crece menos de un 22 % a divisa constante, revisaríamos el caso base hacia el bajista.</w:t>
      </w:r>
    </w:p>
    <w:p>
      <w:pPr>
        <w:pStyle w:val="ListParagraph"/>
        <w:numPr>
          <w:ilvl w:val="0"/>
          <w:numId w:val="2"/>
        </w:numPr>
        <w:spacing w:after="60"/>
      </w:pPr>
      <w:r>
        <w:t xml:space="preserve">Si la guía de 2027 da ingresos por encima del +12 % a divisa constante y gastos al 80 % del crecimiento, subiríamos el caso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 los ingresos del 8,1 % anual hasta 2035 y un margen EBITDA del 35,8 %: la guía de 2026, la aceleración de 2027 y una convergencia gradual del margen. Es el consenso de los analistas, que dan un precio objetivo medio de 210,39 EUR [56, 57].</w:t>
      </w:r>
    </w:p>
    <w:p>
      <w:pPr>
        <w:keepNext/>
        <w:spacing w:after="100"/>
      </w:pPr>
      <w:r>
        <w:rPr>
          <w:b/>
          <w:bCs/>
        </w:rPr>
        <w:t xml:space="preserve">Lo que creemos nosotros.</w:t>
      </w:r>
    </w:p>
    <w:p>
      <w:pPr>
        <w:spacing w:after="100"/>
      </w:pPr>
      <w:r>
        <w:t xml:space="preserve">Lo mismo: crecimiento del 8,2 % y margen del 36 %. No tenemos una visión distinta del mercado. Somos algo más prudentes que los analistas con el riesgo de la IA (el bajista pesa un 25 % y pierde un 34,7 %) y con el coste de capital (un WACC del 9,30 % frente al 7,92 % que implica la prima del mercado).</w:t>
      </w:r>
    </w:p>
    <w:p>
      <w:pPr>
        <w:keepNext/>
        <w:spacing w:after="100"/>
      </w:pPr>
      <w:r>
        <w:rPr>
          <w:b/>
          <w:bCs/>
        </w:rPr>
        <w:t xml:space="preserve">Por qué podemos tener razón.</w:t>
      </w:r>
    </w:p>
    <w:p>
      <w:pPr>
        <w:spacing w:after="100"/>
      </w:pPr>
      <w:r>
        <w:t xml:space="preserve">La diferencia con los analistas está en la tasa de descuento, no en las cifras: nuestras proyecciones de ingresos y EBITDA quedan a menos de un 1 % del consenso de 2026-2028. Sin una visión distinta, la decisión depende del precio de entrada.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191,4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Visibilidad</w:t>
      </w:r>
      <w:r>
        <w:t xml:space="preserve">: el 86 % de los ingresos es recurrente y el backlog de nube crece un 26 % a divisa constante [1, 4].</w:t>
      </w:r>
    </w:p>
    <w:p>
      <w:pPr>
        <w:pStyle w:val="ListParagraph"/>
        <w:numPr>
          <w:ilvl w:val="0"/>
          <w:numId w:val="2"/>
        </w:numPr>
        <w:spacing w:after="60"/>
      </w:pPr>
      <w:r>
        <w:rPr>
          <w:b/>
        </w:rPr>
        <w:t xml:space="preserve">Margen en expansión</w:t>
      </w:r>
      <w:r>
        <w:t xml:space="preserve">: el margen EBIT pasó del 18,6 % (2023) al 27,2 % (2025) [1].</w:t>
      </w:r>
    </w:p>
    <w:p>
      <w:pPr>
        <w:pStyle w:val="ListParagraph"/>
        <w:numPr>
          <w:ilvl w:val="0"/>
          <w:numId w:val="2"/>
        </w:numPr>
        <w:spacing w:after="60"/>
      </w:pPr>
      <w:r>
        <w:rPr>
          <w:b/>
        </w:rPr>
        <w:t xml:space="preserve">Balance</w:t>
      </w:r>
      <w:r>
        <w:t xml:space="preserve">: caja neta de 2.856 M y rating A+/A1 [5].</w:t>
      </w:r>
    </w:p>
    <w:p>
      <w:pPr>
        <w:pStyle w:val="ListParagraph"/>
        <w:numPr>
          <w:ilvl w:val="0"/>
          <w:numId w:val="2"/>
        </w:numPr>
        <w:spacing w:after="60"/>
      </w:pPr>
      <w:r>
        <w:rPr>
          <w:b/>
        </w:rPr>
        <w:t xml:space="preserve">Recompras</w:t>
      </w:r>
      <w:r>
        <w:t xml:space="preserve">: 7.400 M pendientes hasta 2027, un 3,3 % del capital.</w:t>
      </w:r>
    </w:p>
    <w:p>
      <w:pPr>
        <w:pStyle w:val="ListParagraph"/>
        <w:numPr>
          <w:ilvl w:val="0"/>
          <w:numId w:val="2"/>
        </w:numPr>
        <w:spacing w:after="60"/>
      </w:pPr>
      <w:r>
        <w:rPr>
          <w:b/>
        </w:rPr>
        <w:t xml:space="preserve">Migración forzada</w:t>
      </w:r>
      <w:r>
        <w:t xml:space="preserve">: el mantenimiento estándar de ECC termina en diciembre de 2027 [25].</w:t>
      </w:r>
    </w:p>
    <w:p>
      <w:pPr>
        <w:pStyle w:val="Heading2"/>
      </w:pPr>
      <w:r>
        <w:t xml:space="preserve">En contra</w:t>
      </w:r>
    </w:p>
    <w:p>
      <w:pPr>
        <w:pStyle w:val="ListParagraph"/>
        <w:numPr>
          <w:ilvl w:val="0"/>
          <w:numId w:val="2"/>
        </w:numPr>
        <w:spacing w:after="60"/>
      </w:pPr>
      <w:r>
        <w:rPr>
          <w:b/>
        </w:rPr>
        <w:t xml:space="preserve">Precio justo</w:t>
      </w:r>
      <w:r>
        <w:t xml:space="preserve">: el DCF inverso pide un 8,1 % anual, nuestro caso base.</w:t>
      </w:r>
    </w:p>
    <w:p>
      <w:pPr>
        <w:pStyle w:val="ListParagraph"/>
        <w:numPr>
          <w:ilvl w:val="0"/>
          <w:numId w:val="2"/>
        </w:numPr>
        <w:spacing w:after="60"/>
      </w:pPr>
      <w:r>
        <w:rPr>
          <w:b/>
        </w:rPr>
        <w:t xml:space="preserve">Riesgo de la IA</w:t>
      </w:r>
      <w:r>
        <w:t xml:space="preserve">: el bajista vale 124,96 EUR (−34,7 %), y la acción ya tocó 127,50 en julio [52].</w:t>
      </w:r>
    </w:p>
    <w:p>
      <w:pPr>
        <w:pStyle w:val="ListParagraph"/>
        <w:numPr>
          <w:ilvl w:val="0"/>
          <w:numId w:val="2"/>
        </w:numPr>
        <w:spacing w:after="60"/>
      </w:pPr>
      <w:r>
        <w:rPr>
          <w:b/>
        </w:rPr>
        <w:t xml:space="preserve">Cara frente a sus pares</w:t>
      </w:r>
      <w:r>
        <w:t xml:space="preserve">: 15,1 veces el EBITDA próximo frente a 11,8 de mediana.</w:t>
      </w:r>
    </w:p>
    <w:p>
      <w:pPr>
        <w:pStyle w:val="ListParagraph"/>
        <w:numPr>
          <w:ilvl w:val="0"/>
          <w:numId w:val="2"/>
        </w:numPr>
        <w:spacing w:after="60"/>
      </w:pPr>
      <w:r>
        <w:rPr>
          <w:b/>
        </w:rPr>
        <w:t xml:space="preserve">Divisa</w:t>
      </w:r>
      <w:r>
        <w:t xml:space="preserve">: el 39 % de los ingresos viene de América [1].</w:t>
      </w:r>
    </w:p>
    <w:p>
      <w:pPr>
        <w:pStyle w:val="ListParagraph"/>
        <w:numPr>
          <w:ilvl w:val="0"/>
          <w:numId w:val="2"/>
        </w:numPr>
        <w:spacing w:after="60"/>
      </w:pPr>
      <w:r>
        <w:rPr>
          <w:b/>
        </w:rPr>
        <w:t xml:space="preserve">Margen de nube a la baja</w:t>
      </w:r>
      <w:r>
        <w:t xml:space="preserve">: −0,5 puntos en el 2T26 por los costes de la IA [4, 13].</w:t>
      </w:r>
    </w:p>
    <w:p>
      <w:pPr>
        <w:pStyle w:val="Heading2"/>
      </w:pPr>
      <w:r>
        <w:t xml:space="preserve">Qué tiene que pasar para que la tesis funcione</w:t>
      </w:r>
    </w:p>
    <w:p>
      <w:pPr>
        <w:spacing w:after="100"/>
      </w:pPr>
      <w:r>
        <w:t xml:space="preserve">La tesis depende de que el backlog de nube siga creciendo por encima del 20 % a divisa constante después de la ola de migraciones de ECC y de que los gastos crezcan al 80-90 % de los ingresos en 2027. La señal de que no ocurre sería un backlog por debajo del +20 % o un margen bruto de nube por debajo del 73 %.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Current cloud backlog (divisa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22.929 M, +26 %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Anticipa la nube de los próximos 12 meses.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la Cloud ERP Suite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 a divisa constante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migración de ECC.</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 nube (NIIF)</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73 %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coste de la 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operativo no NIIF</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2026: 11.800-12.200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Nueva rebaja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la expansión del margen.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Ingresos de soporte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−7 % a divisa constante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Caída de más del 10 % sin nube que la compense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conversión a la nube debe sumar, no restar.</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18,2x / 15,1x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28,7x / 24,2x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(2017-2025)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 · 0,0x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SAP nació el 1 de abril de 1972, cuando cinco antiguos empleados de IBM (Dietmar Hopp, Hasso Plattner, Claus Wellenreuther, Klaus Tschira y Hans-Werner Hector) fundaron SystemAnalyse Programmentwicklung para crear software empresarial estándar que integrara todos los procesos en tiempo real [28]. Su segunda generación (R/2, desde 1979) la hizo grande en Alemania; salió a bolsa en 1988 y la tercera (R/3, cliente-servidor, 1992) la convirtió en un actor mundial [28]. Desde finales de los años 2000 compró su entrada en bases de datos, movilidad y nube (Business Objects, Sybase, SuccessFactors, Ariba, Fieldglass, Concur) [28]. Con la base de datos en memoria HANA (2011) y S/4HANA (2015) renovó el núcleo [28]; desde 2020, con Christian Klein como único consejero delegado, la estrategia es pasar la base instalada a la nube (RISE with SAP, 2021) [3], tras vender Qualtrics en 2023 [33] y reestructurar la plantilla en 2024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Cinco antiguos empleados de IBM fundan SystemAnalyse Programmentwicklung; en 1975 ya tenía contabilidad financiera, verificación de facturas y gestión de inventarios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Empieza a desarrollar R/2, su segunda generación de software; en 1980 sus unos 80 empleados se trasladan a su primera sede propia en Walldorf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 R/3, cliente-servidor, que la convierte en un actor mundial con filiales y centros de desarrollo en todo el mundo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Primeros clientes de la base de datos en memoria SAP HANA, tras las compras de Business Objects y Sybase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 S/4HANA, la generación actual de su ERP, que funciona solo sobre HANA [28]; en 2020 fija el mantenimiento de S/4HANA hasta 2040 y el de ECC hasta 2027 (2030 con prima)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Qualtrics (experiencia de cliente), que consolida desde el 23 de enero de 2019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Christian Klein, en SAP desde 1999, pasa a consejero delegado único el 20 de abril de 2020, tras unos meses como codirector con Jennifer Morgan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 RISE with SAP, la oferta de transformación como servicio para migrar a la nube [3]; Qualtrics sale a bolsa en el Nasdaq con un 12 % del capital (1.847 M EUR de entrada de caja)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 sus 423 millones de acciones de Qualtrics a Silver Lake y CPP Investments a 18,15 USD por acción; la venta se cierra el 28 de junio de 2023 [33].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Programa de reestructuración que afecta a unos 10.000 puestos y cuesta 3.144 M EUR, para reorientar recursos a la IA [1]; acuerdo global con la SEC (más de 98 M USD) y el DOJ (multa penal de 118,8 M USD) por sobornos en siete países [29].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Cierra el litigio con Teradata con un pago de 480 M USD (408 M EUR) [5] y la Comisión Europea acepta sus compromisos sobre el mantenimiento del ERP instalado, sin multa [26].</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SAP, fundada en 1972 y con sede en Walldorf (Alemania), vende software de aplicaciones empresariales: el ERP (finanzas, compras, cadena de suministro, fabricación), recursos humanos (SuccessFactors, SmartRecruiters), compras y gastos (Ariba, Concur), experiencia de cliente, procesos (Signavio, LeanIX, WalkMe), plataforma (SAP BTP), datos (SAP Business Data Cloud) e IA (Joule y los agentes de Joule) [1]. El producto central es SAP Business Suite, al que se llega por dos vías: RISE with SAP, para migrar a la nube a la base instalada, y SAP GROW, para clientes nuevos de entre menos de 50 M y más de 1.000 M EUR de facturación [1]. Vende directamente y con un ecosistema de socios (integradores como Accenture) que implanta y extiende las soluciones [1]. En 2025 facturó 36.800 M EUR: el 46 % en EMEA (Alemania, 5.828 M), el 39 % en América (EE. UU., 11.537 M) y el 14 % en Asia-Pacífico y Japón [1]. Tiene más de 110.000 empleados y 216 sociedades [1].</w:t>
      </w:r>
    </w:p>
    <w:p>
      <w:pPr>
        <w:pStyle w:val="Heading2"/>
      </w:pPr>
      <w:r>
        <w:t xml:space="preserve">Cómo gana dinero</w:t>
      </w:r>
    </w:p>
    <w:p>
      <w:pPr>
        <w:spacing w:after="100"/>
      </w:pPr>
      <w:r>
        <w:t xml:space="preserve">Cobra sobre todo suscripciones a la nube (21.023 M EUR en 2025, el 57 % de los ingresos, +23 %; de ellos, Cloud ERP Suite 18.119 M, +28 %) y mantenimiento de las licencias instaladas (10.525 M, −7 %, porque los clientes migran a la nube) [1]. Las licencias nuevas ya son marginales (990 M) y los servicios suman 4.262 M [1]. Nube más mantenimiento son ingresos «más previsibles»: el 83 % en 2024 [1] y un 85,7 % en 2025 (estimación propia: (21.023 + 10.525) / 36.800). El margen bruto de la nube subió de 72,8 % a 73,9 % en 2025 [1]. La cartera de nube contratada para los próximos 12 meses (current cloud backlog) era de 21.050 M EUR a cierre de 2025 (+16 %; +25 % a tipo constante) y la total, de 77.290 M (+22 %) [1]; en el 2T26 la primera llegó a 22.900 M (+27 %) [4]. La estacionalidad desaparece a medida que caen las licencias [1]. El coste principal es de personal: el I+D supuso el 18,0 % de los ingresos en 2025, con 37.965 empleados de desarrollo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Applications, Technology &amp; Support (ATS)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32.847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Core Services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 asignado (corporativo, pagos en acciones, reestructuración, amortización de adquisiciones)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Applications, Technology &amp; Support (ATS)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30.248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32.847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Core Services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 asignado (corporativo, pagos en acciones, reestructuración, amortización de adquisiciones)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SAP no publica el número de clientes ni su concentración en el 20-F de 2025; el informe tampoco recoge ningún cliente con peso relevante, y la cartera abarca desde grandes multinacionales hasta empresas de menos de 50 M EUR de facturación [1]. Los contratos de nube son plurianuales: la cartera total contratada (77.290 M EUR) multiplica por 3,7 la cartera de los 12 meses siguientes (21.050 M) [1]. Los clientes que usan más de cuatro soluciones de SAP se han más que duplicado desde 2021 y superan el 20 % de la base [1]. La satisfacción empeora: el Net Promoter Score de clientes bajó de 12 a 9 en 2025, por debajo del objetivo de 12-16, y desde 2026 se sustituye por la satisfacción de clientes de la nube (CSAT) [1]. SAP no publica tasas de renovación o de bajas de la nube. El poder de precios se ve en el mantenimiento: la extensión del soporte de ECC entre 2028 y 2030 cuesta 2 puntos porcentuales más sobre la base de mantenimiento [25].</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Current cloud backlog (cartera de nube a 12 meses,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18.078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21.052 (dic-25); 22.929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 en 2025 (+25 % a divisa constante); +27 % a jun-26 (+26 % a divisa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2026 prevé que el crecimiento a divisa constante se modere ligeramente [1, 4,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Total cloud backlog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63.290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77.290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 (+30 % a divisa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Parte del aumento procede de grandes contratos con rampas de ingresos en años lejanos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nube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17.141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21.023 (2025); 12.244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 en 2025 (+26 % a divisa constante); +21 % en 1S26 (+26 % a divisa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25.800-26.200 M a divisa constante (+23-25 %)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Cloud ERP Suite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14.165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18.119 (2025); 10.739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en 2025 (+32 % a divisa constante); +24 % en 1S26 (+29 % a divisa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86 % de los ingresos de nube en 2025 (2024: 83 %)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ingresos más previsibles (nube + soporte, % de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Definición de SAP: ingresos de nube más soporte de software entre ingresos totales [1,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soporte de software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10.525 (2025); 4.908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en 2025 (-5 % a divisa constante); -9 % en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SAP prevé que el ritmo de caída se acelere en los próximos años por la migración a la nube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 nube NIIF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 (2025); 74,3 en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pp en 2025; -0,5 pp interanual en 2T26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 pedidos de nube &gt; 5 M EUR (% de la contratación de nube)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(2025); 71 en 4T25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concentración en grandes contratos de transformación [7]</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software de aplicaciones ERP (planificación de recursos empresariales: finanzas, compras, cadena de suministro, fabricación, activos y gestión de servicios), en la nube y en instalación local, en todo el mundo. Se usa la medición de Apps Run The World (ARTW), que estima los ingresos de ERP de cada proveedor y suma 145.582 M USD en 2025 [14]. Statista usa un perímetro mucho más estrecho (solo software ERP en sentido estricto): 59.340 M USD estimados para 2026 [16]. La diferencia (más del doble) muestra lo que depende del perímetro; ARTW se prefiere porque publica la cuota de cada proveedor con la misma base. SAP es más amplio que el ERP: también compite en recursos humanos, compras, experiencia de cliente, plataforma y datos.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145.582 M USD en 2025 según Apps Run The World (≈128.800 M EUR al tipo medio del BCE de 2025, 1,1300 USD/EUR) [14, 27]; Statista estima 59.340 M USD para 2026 con un perímetro más estrecho [16]. El gasto mundial en software (todas las categorías) fue de 1.249.509 M USD en 2025 según Gartner [17].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Apps Run The Worl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del mantenimiento de ECC (SAP Business Suite 7)</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SAP da mantenimiento estándar a Business Suite 7 hasta finales de 2027 y opcional hasta 2030 con una prima de 2 puntos sobre la base de mantenimiento; S/4HANA tiene mantenimiento hasta 2040 [25]. Empuja a la base instalada a migrar: Cloud ERP Suite creció un 28 % en 2025, hasta 18.119 M EUR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a la nube (RISE with SAP y GROW)</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nube pasó del 50 % de los ingresos en 2024 (17.141 M) al 57 % en 2025 (21.023 M EUR); el mantenimiento cayó un 7 % por la conversión [1]. La cartera de nube a 12 meses creció un 27 % en el 2T26, hasta 22.900 M EUR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generativa y agentes integrados en el ERP</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Según IDC, citada por SAP, el 44 % de las organizaciones prevé invertir en ERP con IA y el 22 % cambiaría de aplicaciones si la siguiente versión no incluye IA generativa [1]. El gasto en modelos de IA generativa crecerá un 80,8 % en 2026 según Gartner [17]; parte de ese presupuesto puede desviarse del software por asientos.</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mundial en TI y software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Gartner prevé que el gasto en software crezca un 14,7 % en 2026, hasta 1.433.633 M USD, tras un 11,5 % en 2025; el gasto total en TI, un 10,8 % (6.155.493 M USD)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Soberanía de datos y nube soberana en Europa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SAP lanzó EU AI Cloud en noviembre de 2025 y acuerdos de nube soberana con AWS, Mistral AI, Bleu y Capgemini; la soberanía pasa a ser un criterio de compra en sector público y regulados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divisa e incertidumbre macro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cita la volatilidad comercial y arancelaria de 2025 como fuente de incertidumbre [1]; en el 2T26 los ingresos crecieron un 9 % en euros frente a un 11 % a tipo constante por el dólar [4].</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dos primeros (Oracle 6,7 % y SAP 6,6 % del ERP mundial en 2025) se reparten la gran empresa; en el mercado medio compiten Microsoft Dynamics, Sage, Infor, Workday y NetSuite, y los diez primeros solo suman el 31,9 % [14]. La competencia se centra en la migración de la base instalada a la nube.</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ERP es crítico y caro de cambiar; los clientes pueden alargar o retrasar la migración, y en 2026 la Comisión Europea hizo vinculantes compromisos que les permiten dividir el soporte de SAP o pasarse a terceros [26]. El NPS de clientes de SAP bajó a 9 en 2025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nube de SAP se apoya en los hiperescaladores (AWS, Microsoft Azure, Google Cloud, Alibaba), que además compiten en datos e IA [1]; el talento de desarrollo es el otro gran insumo (37.965 empleados de I+D) [1]. Los modelos de IA vienen de terceros (OpenAI, Mistral, Perplexity)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Construir un ERP con localizaciones legales y fiscales en decenas de países lleva décadas; las entradas recientes llegan por capas (procesos con Celonis, datos con Databricks y Snowflake, agentes de IA) más que por el núcleo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agentes de IA pueden desplazar la interfaz y el cobro por usuario hacia una capa que no controla el proveedor del ERP; SAP admite que la ejecución de procesos se desplaza de las aplicaciones a una capa de IA agéntica [1]. El soporte de terceros sustituye al mantenimiento de SAP en sistemas antiguos, y los compromisos con la Comisión Europea lo facilitan durante diez años [26].</w:t>
            </w:r>
          </w:p>
        </w:tc>
      </w:tr>
    </w:tbl>
    <w:p>
      <w:pPr>
        <w:spacing w:after="160" w:before="0"/>
      </w:pPr>
    </w:p>
    <w:p>
      <w:pPr>
        <w:pStyle w:val="Heading2"/>
      </w:pPr>
      <w:r>
        <w:t xml:space="preserve">Ciclo</w:t>
      </w:r>
    </w:p>
    <w:p>
      <w:pPr>
        <w:spacing w:after="100"/>
      </w:pPr>
      <w:r>
        <w:t xml:space="preserve">Gartner prevé un gasto en software un 14,7 % mayor en 2026 tras un 11,5 % en 2025, y el ERP creció un 11 % en 2025 según ARTW, por encima del 6,5 % de 2024 [14, 15, 17]. La demanda está en un superciclo de migración forzado por el fin del soporte de ECC en 2027-2030 [25], no por la coyuntura. El software de aplicaciones es poco cíclico: en 2008-09 las ventas de licencias se hundieron pero el mantenimiento aguantó; en 2020 la pandemia retrasó proyectos y aceleró la nube; en 2022 la subida de tipos castigó las valoraciones más que los ingresos.</w:t>
      </w:r>
    </w:p>
    <w:p>
      <w:pPr>
        <w:pStyle w:val="Heading2"/>
      </w:pPr>
      <w:r>
        <w:t xml:space="preserve">Regulación</w:t>
      </w:r>
    </w:p>
    <w:p>
      <w:pPr>
        <w:spacing w:after="100"/>
      </w:pPr>
      <w:r>
        <w:t xml:space="preserve">La Comisión Europea abrió en septiembre de 2025 una investigación formal por abuso de posición dominante (artículo 102) sobre el mantenimiento y soporte del ERP instalado de SAP; SAP ofreció compromisos que se sometieron a prueba de mercado en 2025 [1] y la Comisión los aceptó el 9 de julio de 2026: permitir dividir el parque y elegir soporte distinto (incluido de terceros) para cada parte, rescindir licencias en ciertos casos, contratos de métrica única y supresión de las cuotas de reincorporación, con vigencia mundial de diez años y un supervisor [26]. No afecta a la nube y SAP no espera impacto material [1]. La Ley de IA de la UE es aplicable desde el 2 de agosto de 2026; las obligaciones de los modelos de propósito general rigen desde agosto de 2025 y las de los usos de alto riesgo en ámbitos sensibles se aplazaron al 2 de diciembre de 2027 [32]. La soberanía de datos se ha vuelto un criterio de compra en sector público y sectores regulados [1].</w:t>
      </w:r>
    </w:p>
    <w:p>
      <w:pPr>
        <w:pStyle w:val="Heading2"/>
      </w:pPr>
      <w:r>
        <w:t xml:space="preserve">Tendencias y disrupción</w:t>
      </w:r>
    </w:p>
    <w:p>
      <w:pPr>
        <w:spacing w:after="100"/>
      </w:pPr>
      <w:r>
        <w:t xml:space="preserve">La IA agéntica es la tendencia central: SAP sostiene que la ejecución de procesos pasa de aplicaciones individuales a una capa de agentes que se convierte en la nueva interfaz, y responde con Joule, los agentes de Joule y Business Data Cloud [1]. El riesgo es que los agentes reduzcan el número de usuarios que pagan licencia y que el valor se desplace a quien controla los datos y los modelos; SAP intenta retener ese valor con datos semánticos propios y alianzas con Databricks, Snowflake, Google, OpenAI y Mistral [1]. La segunda tendencia es la nube soberana en Europa [1]. Oracle pasó a SAP como primer proveedor de ERP en 2024 gracias a Fusion y NetSuite [15].</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2.º proveedor mundial de software ERP en 2025 (6,6 %, 9.610 M USD de ingresos de ERP estimados), a una décima de Oracle (6,7 %) según Apps Run The World; fue el primero hasta 2023 [14, 15]. En software de aplicaciones empresariales en sentido amplio, con 36.800 M EUR de ingresos, solo lo superan Microsoft y Oracle [1, 18, 19].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Oracle (Fusion Cloud ERP, NetSuite)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ORCL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57.757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mayo de 2026: 67.357 M USD de ingresos y 20.606 M USD de beneficio de explotación [18]. N.º 1 en ERP desde 2024 [15]; ataca la gran empresa con Fusion y el mercado medio con NetSuite, y su crecimiento lo tira la infraestructura de nube.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Microsoft (Dynamics 365)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MSFT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Dynamics de 9.006 M USD en el ejercicio a junio de 2026 (+15 %; Dynamics 365, +18 %) [19]; el margen es el del grupo (155.237 / 331.839 M USD), sin desglose para Dynamics [19]. Fuerte en el mercado medio y con la ventaja de Azure, Office y Copilot.</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Salesforce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36.368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enero de 2026: 41.525 M USD y 8.331 M USD de beneficio de explotación [20]. Compite en experiencia de cliente (CRM) y en agentes de IA (Agentforce), no en el núcleo del ERP.</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Workday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WDAY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enero de 2026: 9.552 M USD y 721 M USD de beneficio de explotación [21]. Rival directo de SuccessFactors en recursos humanos y de S/4HANA en finanzas de empresas de servicios.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ServiceNow</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13.278 M USD y 1.824 M USD de beneficio de explotación [22]. Plataforma de flujos de trabajo que se posiciona como capa de agentes por encima de los ERP.</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Infor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Propiedad de Koch Industries, no publica cuentas; ingresos de ERP estimados por ARTW en 1.900 M USD en 2025 [14]. ERP vertical (fabricación, distribución, sanidad).</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Dassault Systèmes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(NIIF): 6.235,8 M EUR de ingresos y 1.354,3 M EUR de beneficio de explotación; margen no NIIF del 32,0 % [23]. Compite en diseño y gestión del ciclo de vida del producto (PLM) y en fabricación, no en finanzas.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Sage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SGE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Ejercicio a septiembre de 2025: 2.513 M GBP de ingresos y 530 M GBP de beneficio de explotación estatutario [24]. Contabilidad y ERP para pymes (Sage Intacct, X3), donde SAP entra con GROW.</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Efecto de ecosistema más que de red: socios integradores (Accenture, Capgemini), consultores certificados y la red de compras de Ariba conectan a empresas entre sí [1]. Más de un 20 % de los clientes usa más de cuatro soluciones de SAP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ERP soporta finanzas, cadena de suministro y nómina: SAP mantuvo una base de mantenimiento estable durante años (11.496 M EUR en 2023, 11.290 M en 2024) y la cae solo por conversión a su propia nube [1]; SAP puede cobrar 2 puntos más de mantenimiento a quien quiera seguir en ECC entre 2028 y 2030 [13]. La Comisión Europea concluyó de forma preliminar que sus reglas de soporte podían restringir la competencia [14].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Casi 13.000 patentes validadas y 50 años de procesos estándar y localizaciones legales [1]; la capitalización (256.000 M EUR) multiplicaba por más de cinco el patrimonio contable (45.100 M) a cierre de 2025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 la nube del 73,9 % en 2025 [1], por debajo del de proveedores nativos de nube; la infraestructura depende de hiperescaladores que son también competidores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36.800 M EUR de ingresos y 37.965 personas en I+D [1], SAP amortiza el coste de mantener un ERP global en decenas de países; solo Oracle tiene una escala comparable en ERP (6,7 % frente a 6,6 %) [2].</w:t>
            </w:r>
          </w:p>
        </w:tc>
      </w:tr>
    </w:tbl>
    <w:p>
      <w:pPr>
        <w:spacing w:after="160" w:before="0"/>
      </w:pPr>
    </w:p>
    <w:p>
      <w:pPr>
        <w:pStyle w:val="Heading2"/>
      </w:pPr>
      <w:r>
        <w:t xml:space="preserve">Amenazas</w:t>
      </w:r>
    </w:p>
    <w:p>
      <w:pPr>
        <w:spacing w:after="100"/>
      </w:pPr>
      <w:r>
        <w:t xml:space="preserve">Las amenazas son tres. La primera, que los agentes de IA desplacen la interfaz y el cobro por usuario hacia una capa que controlen otros (Microsoft, Salesforce, ServiceNow o los proveedores de modelos), y que el ERP quede como un sistema de registro con menos valor; SAP lo reconoce [1] y su respuesta (Joule, Business Data Cloud) aún no tiene cifras propias. La segunda, que Oracle siga ganando cuota con Fusion y NetSuite: ya es primero en ERP [14, 15]. La tercera, regulatoria: los compromisos con la Comisión Europea abren el soporte del ERP instalado a terceros durante diez años [26], aunque SAP no espera impacto material [1]. Probabilidad: media para la primera, media para la segunda, baja para la tercera.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11.318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bl>
    <w:p>
      <w:pPr>
        <w:spacing w:after="160" w:before="0"/>
      </w:pPr>
    </w:p>
    <w:p>
      <w:pPr>
        <w:spacing w:after="100"/>
      </w:pPr>
      <w:r>
        <w:t xml:space="preserve">Crecimiento anual compuesto 2017-2025: ingresos </w:t>
      </w:r>
      <w:r>
        <w:rPr>
          <w:b/>
          <w:bCs/>
        </w:rPr>
        <w:t xml:space="preserve">5,8 %</w:t>
      </w:r>
      <w:r>
        <w:t xml:space="preserve">, EBITDA </w:t>
      </w:r>
      <w:r>
        <w:rPr>
          <w:b/>
          <w:bCs/>
        </w:rPr>
        <w:t xml:space="preserve">7,9 %</w:t>
      </w:r>
      <w:r>
        <w:t xml:space="preserve">, BPA </w:t>
      </w:r>
      <w:r>
        <w:rPr>
          <w:b/>
          <w:bCs/>
        </w:rPr>
        <w:t xml:space="preserve">7,8 %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23.461 M en 2017 a 36.800 M en 2025, con un cambio de perímetro: desde 2021 las cifras excluyen Qualtrics (actividad interrumpida, vendida en 2023), de modo que 2017-2020 no son comparables con 2021-2025 [1, 2]. El crecimiento es casi todo orgánico: las compras de 2021-2025 (Signavio, Taulia, LeanIX, WalkMe, SmartRecruiters) suman unos 4.800 M de caja frente a 9.800 M de ingresos nuevos. A divisa constante los ingresos crecieron un 11 % en 2025 [7]. El margen operativo NIIF fue del 26,1 % en 2025 frente al 13,6 % de 2024, año con 3.144 M de reestructuración; sin ella, 2024 habría tenido un 22,8 %. En 2025 el margen sube además por menos pagos en acciones (1.695 M frente a 2.385 M) y por la nube con mayor margen bruto [1, 2, 7]. 2025 incluye una provisión de 387 M por el litigio de Teradata, registrada después del avance de resultados del 29-ene-26 [1].</w:t>
      </w:r>
    </w:p>
    <w:p>
      <w:pPr>
        <w:pStyle w:val="Heading2"/>
      </w:pPr>
      <w:r>
        <w:t xml:space="preserve">Ajustes y partidas no recurrentes</w:t>
      </w:r>
    </w:p>
    <w:p>
      <w:pPr>
        <w:spacing w:after="100"/>
      </w:pPr>
      <w:r>
        <w:t xml:space="preserve">SAP guía y comunica en beneficio operativo no NIIF, que excluye pagos en acciones, reestructuración, gastos de adquisición, el litigio de Teradata (desde 2025) y ganancias o pérdidas de participaciones: 10.419 M en 2025 frente a 9.617 M NIIF [1, 7]. Aquí se usan cifras NIIF. Partidas no recurrentes anotadas: reestructuración de 1.130 M en 2019 y 3.144 M en 2024, y en 2025 la provisión de Teradata (387 M) más 3 M de reestructuración. La reestructuración aparece casi todos los años (entre 3 y 215 M) y en esos años no se ajusta. Los pagos en acciones (1.695 M en 2025) son recurrentes y quedan dentro del EBITDA. El LTM a junio de 2026 lleva la provisión de Teradata (387 M) como no recurrente.</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rPr>
          <w:b/>
        </w:rPr>
        <w:t xml:space="preserve">1T26 (23-abr-26).</w:t>
      </w:r>
      <w:r>
        <w:t xml:space="preserve"> La dirección destacó un current cloud backlog del +25 % y una nube del +27 % a divisa constante, y avisó de que la nube se frenaría en el 2T26 porque el trimestre se había beneficiado de efectos puntuales [6]. El beneficio operativo se apoyó en 135 M menos de pagos en acciones; el flujo de caja absorbió el pago de 408 M por el acuerdo con Teradata. La guía, sin cambios, ya suponía una desescalada rápida del conflicto en Oriente Medio [6].</w:t>
      </w:r>
    </w:p>
    <w:p>
      <w:pPr>
        <w:spacing w:after="100"/>
      </w:pPr>
      <w:r>
        <w:rPr>
          <w:b/>
        </w:rPr>
        <w:t xml:space="preserve">2T26 (23-jul-26).</w:t>
      </w:r>
      <w:r>
        <w:t xml:space="preserve"> La nube creció un 24 % a divisa constante (+22 % en euros) y el beneficio operativo no NIIF un 9 %. SAP rebajó la guía de beneficio no NIIF a 11.800-12.200 M por la dilución de Dremio y Prior Labs (más de 100 M) [4]. Los analistas preguntaron sobre todo por márgenes y costes: la caída del margen de nube, I+D +14 % con plantilla +3 % (UBS, Bank of America, JPMorgan, Morgan Stanley), la desaceleración de la nube en el segundo semestre (BNP Paribas), la rentabilidad de Dremio y Prior Labs (Evercore, Jefferies) y el impacto del caso europeo de mantenimiento [13]. La dirección atribuyó el alza de costes a «tokens» de IA y a gastos puntuales, prometió no aumentar plantilla en 12 meses y negó un cambio estructural. No cuantificó los costes puntuales, el efecto del caso de mantenimiento, la aportación de Dremio y Prior Labs, el retorno de la IA interna ni los retrasos de contratos en Oriente Medio [13]. El cambio de discurso: del crecimiento de la nube en el 1T al control de costes en el 2T.</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42.484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25.484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51.502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28.832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60.212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30.746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58.464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29.716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38.853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72.159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40.186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68.331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43.157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74.237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45.438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70.362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44.586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(2021: Qualtrics (vendida en jun-23) se presenta como actividad interrumpida desde 2021 en las cifras reexpresadas: ingresos, EBIT, BAI e impuestos de 2021-2023 son de actividades continuadas; 2017-2020 incluyen Qualtrics; 2019: Compra de Qualtrics (cerrada en ene-19): salida de caja por combinaciones de negocio de 6.215 M en 2019; 2024: WalkMe, consolidada desde el 12-sep-24 (contraprestación 1.329 M)).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SAP tiene caja neta: 3.381 M a dic-25 (1.697 M contando los arrendamientos) y 2.856 M a jun-26, tras 2.600 M de recompras, 2.883 M de dividendo y 991 M por Reltio en el semestre [1, 5]. La deuda financiera bajó de 13.668 M en 2019 (compra de Qualtrics) a 6.150 M en 2025 y volvió a 8.550 M en jun-26 con la emisión de 3.500 M para financiar Dremio y Prior Labs [2, 4, 5]. El circulante es estructuralmente negativo por los cobros anticipados: los pasivos por contrato (6.725 M a dic-25) superan con holgura a los clientes netos (6.675 M) [2]. El fondo de comercio (29.014 M) equivale al 65 % del patrimonio atribuido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7.161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2017-2025: FCF </w:t>
      </w:r>
      <w:r>
        <w:rPr>
          <w:b/>
          <w:bCs/>
        </w:rPr>
        <w:t xml:space="preserve">40.129</w:t>
      </w:r>
      <w:r>
        <w:t xml:space="preserve">, conversión </w:t>
      </w:r>
      <w:r>
        <w:rPr>
          <w:b/>
          <w:bCs/>
        </w:rPr>
        <w:t xml:space="preserve">100 %</w:t>
      </w:r>
      <w:r>
        <w:t xml:space="preserve"> del beneficio neto; adquisiciones 14.009, dividendos 19.820, recompras 8.484.</w:t>
      </w:r>
    </w:p>
    <w:p>
      <w:pPr>
        <w:spacing w:after="100"/>
      </w:pPr>
      <w:r>
        <w:t xml:space="preserve">El flujo operativo fue de 9.156 M en 2025 frente a 5.207 M en 2024, cuando se pagaron 2.500 M de reestructuración [1]. Desde 2025 los intereses pagados (574 M) van en financiación, y 2023-2024 se reexpresaron; 2017-2022 los incluyen en el flujo operativo [1, 3]. El capex es bajo y estable (739 M en 2025, el 2 % de las ventas) porque la infraestructura de nube se contrata en gran parte a hiperescaladores y se registra como coste [2]. SAP no separa capex de mantenimiento y de crecimiento. La conversión de beneficio en caja se apoya en la facturación anticipada (los pasivos por contrato crecieron en 1.336 M en 2025) y en que los pagos en acciones no consumen caja salvo la parte liquidada en efectivo [2]. Años anómalos: 2019 (impuestos de 2.329 M y compra de Qualtrics), 2023 (venta de Qualtrics) y 2024 (reestructuración) [1, 3].</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BDO AG Wirtschaftsprüfungsgesellschaft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BDO audita desde 2023, tras KPMG; la opinión de 2025 es favorable y BDO emitió también su informe sobre el control interno [1]. La I+D se registra como gasto (6.633 M en 2025) y no se ha localizado en el 20-F desarrollo capitalizado relevante; SAP sí capitaliza comisiones de venta, con un activo de 5.094 M a dic-25 frente a 696 M en 2017 [1, 2]. Los pagos en acciones son altos: 1.695 M en 2025 (24 % del beneficio atribuido) y 2.385 M en 2024 (76 %) [2]. Las cifras no NIIF excluyen cada año más partidas: en 2025 se añadió el litigio de Teradata, también para el bonus de la dirección [1]. El beneficio NIIF de 2025 se rebajó entre el avance (9.830 M de beneficio operativo) y el 20-F (9.617 M) por la provisión de Teradata registrada con información posterior al cierre [1, 7]. El cambio de clasificación de intereses en 2025 mejora el flujo operativo frente a la serie histórica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de 2025 corregido entre el avance y las cuentas auditadas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operativo de 9.830 M en el avance del 29-ene-26 y de 9.617 M en el 20-F por la provisión de Teradata (387 M) registrada después del avance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en acciones elevados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1.695 M en 2025 (4,6 % de las ventas) y 2.385 M en 2024; quedan fuera del beneficio no NIIF que guía SAP [2,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Perímetro de ajustes no NIIF creciente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se añadió a las exclusiones el litigio de Teradata, aplicado también a la retribución variable de la dirección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Reclasificación de intereses en el estado de flujos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2025 los intereses pagados (574 M) salen del flujo operativo; mejora el flujo operativo y el FCF según SAP frente a los años anteriores a 2023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Comisiones de venta capitalizadas al alza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activo por costes de obtención de contratos pasó de 696 M (2017) a 5.094 M (2025), en línea con la venta de nube plurianual [2].</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27.768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40.699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43.941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47.803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46.201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45.993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17,6 % · </w:t>
      </w:r>
      <w:r>
        <w:rPr>
          <w:b/>
          <w:bCs/>
        </w:rPr>
        <w:t xml:space="preserve">WACC</w:t>
      </w:r>
      <w:r>
        <w:t xml:space="preserve">: 9,3 %.</w:t>
      </w:r>
    </w:p>
    <w:p>
      <w:pPr>
        <w:spacing w:after="100"/>
      </w:pPr>
      <w:r>
        <w:rPr>
          <w:b/>
        </w:rPr>
        <w:t xml:space="preserve">SAP crea valor, pero menos de lo que sugiere su marca.</w:t>
      </w:r>
      <w:r>
        <w:t xml:space="preserve"> El ROIC después de impuestos fue del 15,5 % en 2025, 6,2 puntos por encima del WACC del 9,30 %; en 2022-2023 cayó al 8,4-8,5 %, por debajo de su coste de capital, por los costes de la transición a la nube y la carga de Qualtrics [1]. El ROIC lo frena la rotación (0,51 veces): el fondo de comercio de 29.014 M es el 63 % del capital invertido, fruto de compras como SuccessFactors, Ariba, Concur y Qualtrics [1]. El margen mueve el resto: el EBIT pasó del 18,6 % de 2023 al 27,2 % de 2025 (sin la reestructuración y el litigio). El ROIC incremental de la década, del 17,6 %, dice que el crecimiento reciente es de calidad. Oracle (30,6 % de margen EBIT) y Microsoft (46,8 %) siguen siendo más rentables [18, 19].</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Dic-25: caja 8.220 M + depósitos y valores a corto 1.311 M = liquidez del grupo 9.531 M, frente a deuda financiera nominal de 6.150 M (caja neta 3.381 M; 1.697 M incluyendo arrendamientos de 1.684 M); línea de crédito sindicada comprometida de 3.000 M sin disponer y sin covenants financieros, hasta mar-2030 [1]. Jun-26: liquidez 11.407 M (caja 10.511 + inversiones a corto 896) y deuda 8.550 M; caja neta 2.856 M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Global A+ (estable); Moody's A1 (estable) [1, 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Pensiones casi cubiertas: obligación de 2.358 M frente a 2.181 M de activos del plan (pasivo neto 230 M a dic-25) [1]. Sin covenants financieros en la línea sindicada de 3.000 M ni en los bonos [1]. Provisiones: 537 M corrientes a dic-25, sobre todo reestructuración y litigios, entre ellos 387 M por Teradata, pagados en el 1T26 (408 M) [1, 6]; bajan a 119 M en jun-26 [4]. Los pasivos por pagos en acciones liquidados en efectivo bajan de 1.735 M (2019) a 235 M (2025) al pasar los planes a liquidarse en acciones [2]. Compromisos de compra: 8.644 M a dic-25 (144 M en 2022) [2]. Hay inspecciones fiscales abiertas sobre la deducibilidad de cánones intragrupo [1].</w:t>
      </w:r>
    </w:p>
    <w:p>
      <w:pPr>
        <w:pStyle w:val="Heading1"/>
      </w:pPr>
      <w:r>
        <w:t xml:space="preserve">12. Asignación de capital</w:t>
      </w:r>
    </w:p>
    <w:p>
      <w:pPr>
        <w:pStyle w:val="Confianza"/>
        <w:spacing w:after="100"/>
      </w:pPr>
      <w:r>
        <w:t xml:space="preserve">Confianza: Alta</w:t>
      </w:r>
    </w:p>
    <w:p>
      <w:pPr>
        <w:spacing w:after="100"/>
      </w:pPr>
      <w:r>
        <w:t xml:space="preserve">Dividendo de al menos el 40 % del beneficio después de impuestos no NIIF de actividades continuadas; 2,50 EUR por acción con cargo a 2025 (2.883 M pagados en mayo de 2026) [1, 4]. Recompras: el programa de 5.000 M de 2023 terminó en agosto de 2025 (26,0 M de acciones a 188,24 EUR de media); el nuevo, de hasta 10.000 M hasta fin de 2027, llevaba 2.600 M a junio de 2026 (16,3 M de acciones a 161,16 EUR) [1, 5]. La caja también se usa en compras de tamaño medio en IA y datos: Reltio (1.076 M), Dremio (~500 M) y Prior Labs (~400 M) en 2026, financiadas en parte con eurobonos por 3.500 M [4,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Qualtrics International (gestión de la experiencia), entre otras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bonos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de Qualtrics en 2021 (entrada de 2.828 M); pérdidas de actividades interrumpidas de 1.447 M (2021) y 1.359 M (2022); venta de la participación (423 M de acciones) a Silver Lake y CPP Investments por unos 7.700 M USD en jun-23, con beneficio de actividades interrumpidas de 2.363 M en 2023 [1, 2,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Emarsys (marketing omnicanal), principalmente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la cartera de experiencia del cliente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Signavio (gestión de procesos) y Clarabridge (vía Qualtrics)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Signavio 766 M; base de la oferta de Business Process Intelligence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Combinaciones de negocio del año (Taulia, entre otras)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 caja neta según el estado de flujos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LeanIX (gestión de arquitectura empresarial)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7-nov-23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WalkMe (plataforma de adopción digital)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préstamo a corto de 1.250 M (devuelto en mar-25)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12-sep-24; con WalkMe todo el año, los ingresos pro forma de 2024 habrían sido 34.328 M (+152 M)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SmartRecruiters (selección de personal)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en sep-25; fondo de comercio provisional 523 M; se integra en SuccessFactors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Reltio (gestión de datos maestros)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en may-26; aportó unos -13 M al beneficio operativo NIIF del 1S26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Dremio (data lakehouse) y Prior Labs (modelos fundacionales tabulares)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eurobonos de 3.500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Cerradas el 6 y 16-jul-26 (contraprestación en efectivo de unos 500 M y 400 M); SAP estima una dilución de más de 100 M en el beneficio operativo no NIIF de 2026 [4, 5]</w:t>
            </w:r>
          </w:p>
        </w:tc>
      </w:tr>
    </w:tbl>
    <w:p>
      <w:pPr>
        <w:spacing w:after="160" w:before="0"/>
      </w:pPr>
    </w:p>
    <w:p>
      <w:pPr>
        <w:spacing w:after="100"/>
      </w:pPr>
      <w:r>
        <w:t xml:space="preserve">De 2017 a 2025 SAP generó 52.517 M de flujo operativo y destinó 19.820 M a dividendos, 8.484 M a recompras y unos 14.000 M a adquisiciones [2, 3]. La gran operación de la década, Qualtrics, se compró en 2019 (salida de caja de 6.215 M ese año), salió a bolsa en 2021 (2.828 M) y se vendió en 2023 por unos 7.700 M USD; entre medias dejó pérdidas de actividades interrumpidas de 2.806 M en 2021-2022 [1, 2, 3]. Las compras posteriores son de menor tamaño y están ligadas al núcleo (procesos, datos, IA). El número de acciones diluidas bajó de 1.198 M en 2017 a 1.163 M en el 1S26 [2, 4]. Las recompras del programa de 2023 se hicieron a 188,24 EUR de media y las de 2026 a 161,16 EUR [1, 5].</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Christian Klein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(Vorstandsvorsitzender)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SAP desde 1999; miembro del Executive Board desde 2018, co-CEO con Jennifer Morgan desde octubre de 2019 y CEO único desde abril de 2020; mandato renovado hasta 2030 [1]. Con él al frente, los ingresos de nube pasaron de 8.090 M EUR en 2020 a 21.023 M EUR en 2025 y el beneficio operativo no NIIF a 10.420 M EUR [1, 3]. Desde julio de 2026 asume de forma interina parte de Product &amp; Engineering [5].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Dominik Asam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desde marzo de 2023, mandato hasta 2028; antes CFO de Airbus (2019-2023) e Infineon (desde 2011) [1]. En su etapa el flujo de caja libre pasó de 5.080 M EUR (2023) a 8.240 M EUR (2025) y se lanzó la recompra de hasta 10.000 M EUR para 2026-2027 [1, 36].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Saueressig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Chief Customer Officer, Customer Value Group</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SAP desde 2004 y en el Executive Board desde 2019, mandato hasta 2028 [1]. Desde abril de 2026 dirige la nueva Customer Value Group (Customer Success más Customer Services &amp; Delivery) [5].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Muhammad Alam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Executive Board, SAP Product &amp; Engineering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Llegó en 2022 desde Microsoft (17 años en Business Applications) y entró en el Executive Board en abril de 2024 [1]. El 2 de marzo de 2026 SAP anunció que no renovará su contrato por motivos personales (seguirá hasta 2027) y desde julio de 2026 parte de su área pasó a Klein [5].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Sebastian Steinhaeuser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COO, Strategy &amp; Operations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SAP desde 2020; en el Executive Board desde el 1 de febrero de 2025 como COO (estrategia, operaciones, marketing y socios), mandato hasta 2028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Pekka Ala-Pietilä</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Supervisory Board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Supervisory Board desde la junta del 15 de mayo de 2024, en sustitución de Hasso Plattner; preside también Sanoma y HERE Technologies [1, 35]. Reelegido el 5 de mayo de 2026 con el 88,48 % de los votos [34].</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Abril 2020: nube no NIIF 8.300-8.700 M EUR, ingresos totales 27.800-28.500 M EUR, beneficio operativo no NIIF 8.100-8.700 M EUR; en octubre se rebajó a nube 8.000-8.200 M EUR, ingresos 27.200-27.800 M EUR y beneficio 8.100-8.500 M EUR [38]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8.240 M EUR, ingresos 27.900 M EUR y beneficio operativo 8.500 M EUR, a tipo constante [38]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Abril 2021: nube 9.200-9.500 M EUR y nube y software 23.400-23.800 M EUR; elevada en julio y octubre a nube 9.400-9.600 M EUR, nube y software 23.800-24.200 M EUR y beneficio operativo 8.100-8.300 M EUR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9.590 M EUR, nube y software 24.410 M EUR y beneficio operativo 8.410 M EUR, a tipo constante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11.550-11.850 M EUR, nube y software 25.000-25.500 M EUR, beneficio operativo no NIIF 7.800-8.250 M EUR; en julio, por Ucrania, beneficio rebajado a 7.600-7.900 M EUR [37]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11.680 M EUR, nube y software 25.020 M EUR y beneficio operativo 7.680 M EUR, a tipo constante [37]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Qualtrics (abril): nube 14.000-14.400 M EUR, nube y software 26.900-27.400 M EUR, beneficio operativo 8.600-8.900 M EUR, flujo libre ≈4.900 M EUR; en julio, nube 14.000-14.200 M EUR y beneficio 8.650-8.950 M EUR [33]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14.060 M EUR, nube y software 27.640 M EUR y beneficio operativo 9.040 M EUR, a tipo constante [33]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17.000-17.300 M EUR, nube y software 29.000-29.500 M EUR, beneficio operativo no NIIF 7.600-7.900 M EUR, flujo libre ≈3.500 M EUR; en octubre se elevaron nube y software (29.500-29.800), beneficio (7.800-8.000) y flujo libre (3.500-4.000) [36]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17.210 M EUR, nube y software 29.960 M EUR, beneficio operativo 8.230 M EUR (tipo constante) y flujo libre 4.220 M EUR [36]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21.600-21.900 M EUR (en octubre, en la parte baja), nube y software 33.100-33.600 M EUR, beneficio operativo no NIIF 10.300-10.600 M EUR, flujo libre ≈8.000 M EUR, cartera de nube a corto plazo con ligera desaceleración [1]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21.660 M EUR, nube y software 33.440 M EUR, beneficio operativo 10.660 M EUR (tipo constante), flujo libre 8.240 M EUR; la cartera a corto plazo frenó del 29 % al 25 %, más de lo previsto, y el NPS fue 9 frente a 12-16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Ambición 2025 (fijada en oct. 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más de 22.000 M EUR, ingresos totales más de 36.000 M EUR y beneficio operativo no NIIF más de 11.500 M EUR [38]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21.023 M EUR, ingresos 36.800 M EUR, beneficio operativo no NIIF 10.420 M EUR (2025, a tipo real) [1]; la ambición se rehízo en 2023-2024 por la venta de Qualtrics y el cambio de definición no NIIF [33, 36]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Ambición 2025 (revisada, ene. 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más de 21.500 M EUR, ingresos totales más de 37.500 M EUR, beneficio operativo no NIIF ≈10.000 M EUR, flujo libre ≈8.000 M EUR [33]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tipo constante: nube 21.660 M EUR, ingresos 37.800 M EUR, beneficio 10.660 M EUR; a tipo real: 21.023, 36.800 y 10.420 M EUR; flujo libre 8.240 M EUR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 (en curso)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Nube 25.800-26.200 M EUR, nube y software 36.300-36.800 M EUR, beneficio operativo no NIIF 11.900-12.300 M EUR (rebajado en julio a 11.800-12.200 M EUR por Dremio y Prior Labs), flujo libre ≈10.000 M EUR [1,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en la Financial Analyst Conference del 13-may-2026 no se dieron cifras a medio plazo: aceleración de los ingresos en 2027, gastos operativos creciendo al 80-90 % del crecimiento de ingresos y más de 2.000 M EUR de eficiencias anuales por IA a finales de 2028 [39]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Klein lleva seis años como CEO único y su mandato llega a 2030. Entre 2020 y 2025 SAP cumplió o superó la guía de nube y de beneficio en cuatro de seis años; las excepciones fueron 2020 (rebaja de octubre por la pandemia) y 2022 (beneficio rebajado en julio por Ucrania), y en 2025 la nube quedó en la parte baja y la cartera de nube frenó más de lo previsto [1, 37, 38]. La ambición 2025 original de 2020 no se alcanzó y se rehízo dos veces [33, 38]. El Executive Board ha rotado mucho: salieron Scott Russell y Julia White (agosto de 2024) y Jürgen Müller (septiembre de 2024), entró Steinhaeuser (2025) y Alam se irá en 2027, con Klein asumiendo parte de producto [5, 36]. CFO estable desde 2023. No hay un sucesor del CEO identificado públicamente.</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Pekka Ala-Pietilä</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Personal y Gobierno, Nombramientos, Seguridad Gubernamental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Lars Lamadé</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(representante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Personal y Gobierno, Seguridad Gubernamental; empleado de SAP</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Aicha Evans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Personal y Gobierno, Producto y Tecnología,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Ralf Herbrich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Finanzas e Inversiones, Producto y Tecnología; profesor del Hasso Plattner Institute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Jennifer Xin-Zhe Li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presidenta de Auditoría y Cumplimiento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Cumplimiento (presidenta, experta financiera), Finanzas e Inversiones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Qi Lu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Producto y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Friederike Rotsch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Personal y Gobierno, Auditoría y Cumplimiento, Nombramientos, Seguridad Gubernamental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Rouven Westphal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Personal y Gobierno, Finanzas e Inversiones, Nombramientos; consejero de la Hasso Plattner Foundation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René Obermann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Michael Gregoire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Jakub Černý</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Cumplimiento (desde 2026), Finanzas e Inversiones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Pascal Demat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Finanzas e Inversiones, Seguridad Gubernamental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Marielle Ehrmann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Finanzas e Inversiones, Producto y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Andreas Hahn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empleados (presidente del comité de empresa europeo)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Personal y Gobierno, Producto y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César Martin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Cumplimiento, Producto y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Nicolas Sabatier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empleados (sindicato CFE-CGC)</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Personal y Gobierno, Producto y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Eberhard Schick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empleados (presidente del comité de empresa de SAP SE)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Cumplimiento, Finanzas e Inversiones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Nina Strassner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Cumplimiento, Personal y Gobierno, Seguridad Gubernamental</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44 %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Lars Lamadé</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11,9 %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3,24 / ventas 0,39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(6,66 % en acciones y 0,09 % en instrumentos)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6,55 % al 6,75 % al cruzar umbrales el 29-may-2026; en febrero de 2026 comunicaba el 6,49 % [50, 51]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Hasso Plattner Foundation (Hasso Plattner y sociedades HPC)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del cofundador; un consejero dominical (Westphal)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Última notificación localizada: 6,60 % a 17-jun-2022, al pasar el control a la fundación; sin avisos posteriores encontrados [49]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Dietmar Hopp (conjuntamente)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62,5 M de acciones según su Schedule 13G de febrero de 2022; sin cambios significativos en tres años según SAP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propias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74,3 M de acciones a 30-jun-2026 frente a 60,9 M en febrero de 2026, por la recompra de hasta 10.000 M EUR (16,3 M de acciones compradas a 161,16 EUR de media hasta junio) [1, 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Executive Board y Supervisory Board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Consejeros y directivos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83.326 acciones entre los 24 miembros a 5-feb-2026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Gerhard Oswald (Supervisory Board)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Sebastian Steinhaeuser (COO)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Dominik Asam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Sebastian Steinhaeuser (COO), venta para pagar impuestos de acciones recibidas en plan de empleados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Sebastian Steinhaeuser (COO), venta para pagar impuestos de acciones recibidas en plan de empleados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Christian Klein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Dominik Asam (CFO), compra de un derivado sobre SAP (10.000 títulos a 97,24 EUR, fuera de mercado)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Gina Vargiu-Breuer (Chief People Officer)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Thomas Saueressig (Chief Customer Officer)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0,27</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16,24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Klein devengó 16,24 M EUR en 2025 (18,98 M EUR en 2024): 1,58 M EUR fijos, 3,69 M EUR de variable anual (STI) y 10,98 M EUR del tramo 2022 del plan a largo plazo LTI 2020 [1]. El STI pesa un 80 % en métricas financieras (flujo libre, cartera de nube a corto plazo y crecimiento de nube y software, no NIIF a tipo constante) y un 20 % en NPS de clientes y compromiso de empleados; en 2025 el factor fue 0,990 [1]. El LTI 2024 es todo variable: PSU financieras (30 % ingresos totales y 20 % beneficio operativo no NIIF acumulados a tres años), PSU de mercado (TSR relativo frente al NASDAQ-100) y PSU ESG, con pago máximo del 300 % de la concesión [1]. El consejo excluyó del cálculo el efecto de SmartRecruiters y los 387 M EUR del litigio con Teradata [1]. Hay cláusula de recuperación (clawback) desde 2023 e indemnización limitada a dos años de retribución [1]. La ratio de 111 veces es estimación propia: 16.244 miles de EUR entre los 146 miles de EUR de coste medio por empleado de 2025 [1].</w:t>
      </w:r>
    </w:p>
    <w:p>
      <w:pPr>
        <w:pStyle w:val="Heading2"/>
      </w:pPr>
      <w:r>
        <w:t xml:space="preserve">Operaciones vinculadas, estructura de control y defensas</w:t>
      </w:r>
    </w:p>
    <w:p>
      <w:pPr>
        <w:spacing w:after="100"/>
      </w:pPr>
      <w:r>
        <w:t xml:space="preserve">SAP SE no tiene accionista de control: los mayores son BlackRock (6,75 %), la Hasso Plattner Foundation (6,60 % en su último aviso de 2022) y Dietmar Hopp (5,1 %), y en las juntas votan en torno al 68-73 % del capital [1, 34, 35, 49, 51]. Hay una sola clase de acciones al portador, sin derechos especiales de voto ni límites estatutarios [1]. Sistema dual alemán: el Supervisory Board de 18 miembros tiene 9 representantes de los accionistas, que SAP considera todos independientes, y 9 de los empleados europeos por cogestión [1]. La fundación de Plattner conserva un consejero (Westphal), y otro (Herbrich) es profesor del Hasso Plattner Institute [1]. Las operaciones vinculadas con entidades de consejeros son de curso ordinario e inmateriales [1]. La junta aprobó en 2025 capital autorizado con exclusión del derecho de suscripción (92-93 % a favor) y en 2026 la emisión de convertibles (92,74 %) [34, 35].</w:t>
      </w:r>
    </w:p>
    <w:p>
      <w:pPr>
        <w:pStyle w:val="Heading2"/>
      </w:pPr>
      <w:r>
        <w:t xml:space="preserve">Señales de alerta</w:t>
      </w:r>
    </w:p>
    <w:p>
      <w:pPr>
        <w:pStyle w:val="ListParagraph"/>
        <w:numPr>
          <w:ilvl w:val="0"/>
          <w:numId w:val="2"/>
        </w:numPr>
        <w:spacing w:after="60"/>
      </w:pPr>
      <w:r>
        <w:t xml:space="preserve">Enero de 2024: acuerdo con la SEC, el DOJ y autoridades de Sudáfrica para cerrar las investigaciones por sobornos en el sector público (FCPA), con pagos de 207 M EUR [36].</w:t>
      </w:r>
    </w:p>
    <w:p>
      <w:pPr>
        <w:pStyle w:val="ListParagraph"/>
        <w:numPr>
          <w:ilvl w:val="0"/>
          <w:numId w:val="2"/>
        </w:numPr>
        <w:spacing w:after="60"/>
      </w:pPr>
      <w:r>
        <w:t xml:space="preserve">Septiembre de 2025: la Comisión Europea abrió un procedimiento por las políticas de mantenimiento y soporte de ERP en local; el 9-jul-2026 hizo vinculantes los compromisos de SAP y cerró la investigación, sin multa, con tres meses para aplicarlos [1, 5].</w:t>
      </w:r>
    </w:p>
    <w:p>
      <w:pPr>
        <w:pStyle w:val="ListParagraph"/>
        <w:numPr>
          <w:ilvl w:val="0"/>
          <w:numId w:val="2"/>
        </w:numPr>
        <w:spacing w:after="60"/>
      </w:pPr>
      <w:r>
        <w:t xml:space="preserve">Litigio con Teradata (secretos comerciales y antimonopolio en EE. UU.): provisión de 387 M EUR en 2025 y acuerdo de febrero de 2026 por 480 M USD (408 M EUR), pagado en marzo [1, 5].</w:t>
      </w:r>
    </w:p>
    <w:p>
      <w:pPr>
        <w:pStyle w:val="ListParagraph"/>
        <w:numPr>
          <w:ilvl w:val="0"/>
          <w:numId w:val="2"/>
        </w:numPr>
        <w:spacing w:after="60"/>
      </w:pPr>
      <w:r>
        <w:t xml:space="preserve">Celonis demanda a SAP en EE. UU. (antimonopolio y, desde 2026, secretos comerciales; pide unos 70 M USD) y ante la Oficina Federal de Cárteles alemana; juicio previsto el 13-sep-2027 [5].</w:t>
      </w:r>
    </w:p>
    <w:p>
      <w:pPr>
        <w:pStyle w:val="ListParagraph"/>
        <w:numPr>
          <w:ilvl w:val="0"/>
          <w:numId w:val="2"/>
        </w:numPr>
        <w:spacing w:after="60"/>
      </w:pPr>
      <w:r>
        <w:t xml:space="preserve">Rotación en el Executive Board: salieron Scott Russell y Julia White (agosto de 2024) y Jürgen Müller (septiembre de 2024); Muhammad Alam no renovará y se irá en 2027 [5, 36].</w:t>
      </w:r>
    </w:p>
    <w:p>
      <w:pPr>
        <w:pStyle w:val="ListParagraph"/>
        <w:numPr>
          <w:ilvl w:val="0"/>
          <w:numId w:val="2"/>
        </w:numPr>
        <w:spacing w:after="60"/>
      </w:pPr>
      <w:r>
        <w:t xml:space="preserve">La presidencia del consejo tuvo el apoyo más bajo de la junta de 2026: 88,48 % a favor de la reelección de Ala-Pietilä [34].</w:t>
      </w:r>
    </w:p>
    <w:p>
      <w:pPr>
        <w:pStyle w:val="ListParagraph"/>
        <w:numPr>
          <w:ilvl w:val="0"/>
          <w:numId w:val="2"/>
        </w:numPr>
        <w:spacing w:after="60"/>
      </w:pPr>
      <w:r>
        <w:t xml:space="preserve">Auditor BDO desde el ejercicio 2023, tras la rotación obligatoria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2026 (a tipos de cambio constantes; actualizada el 23-jul-2026 con los resultados del 2T26): ingresos de nube 25.800-26.200 M EUR (+23 % a +25 %; 2025: 21.020 M); ingresos de nube y software 36.300-36.800 M (+12 % a +13 %; 2025: 32.540 M); resultado de explotación no NIIF 11.800-12.200 M (+13 % a +17 %; 2025: 10.420 M), rebajado desde 11.900-12.300 M por el efecto dilutivo (más de 100 M) de las compras de Dremio y Prior Labs, cerradas en julio; flujo de caja libre de unos 10.000 M a tipos reales (2025: 8.240 M); tipo impositivo no NIIF de en torno al 29 % (2025: 30,5 %); ligera desaceleración del crecimiento del current cloud backlog (2025: +25 %). Ingresos totales 2026 creciendo a ritmo similar a 2025 (10,6 % a tipos constantes) y acelerando en 2027; gastos operativos 2027 creciendo al 80-90 % del crecimiento de los ingresos. Efecto divisa estimado con tipos de 30-jun-2026 para el año: −1,5 puntos en nube, −2,0 puntos en resultado no NIIF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28 analistas, 9-oct-2026 [56]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13.520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28 analistas, 9-oct-2026 [56]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15.503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de 28 analistas, 9-oct-2026 [56]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40.112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40.264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44.725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44.991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14.536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14.676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49.868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50.368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16.706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16.801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 4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210,39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160,00 – 290,00</w:t>
            </w:r>
          </w:p>
        </w:tc>
      </w:tr>
    </w:tbl>
    <w:p>
      <w:pPr>
        <w:spacing w:after="160" w:before="0"/>
      </w:pPr>
    </w:p>
    <w:p>
      <w:pPr>
        <w:pStyle w:val="Heading2"/>
      </w:pPr>
      <w:r>
        <w:t xml:space="preserve">Revisiones de estimaciones</w:t>
      </w:r>
    </w:p>
    <w:p>
      <w:pPr>
        <w:spacing w:after="100"/>
      </w:pPr>
      <w:r>
        <w:t xml:space="preserve">Contraste con Investing.com: recomendación «compra fuerte», 24 comprar, 4 mantener y 0 vender en los últimos 3 meses (su texto habla de 26 analistas); precio objetivo medio 210,39 EUR, máximo 290 y mínimo 160, igual que MarketScreener, lo que sugiere un mismo origen de datos [74]. Solo MarketScreener da estimaciones completas a 3 años gratis. MarketScreener solo muestra las revisiones en gráficos, sin cifras legibles [57]. Recomendación media: comprar; precio objetivo medio 210,39 EUR, un 9,9 % sobre el cierre de 191,46 EUR [57].</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SAP ha rentado un −15,5 % en un año, frente al +3,0 % del DAX y el +28,0 % del sector tecnológico europeo, que tira de los semiconductores [52]. Dos sesiones lo explican: el −16,1 % del 29-ene-2026, cuando la guía anticipó que el backlog de nube frenaría, y el mínimo de 127,50 EUR del 23-jul-2026, en plena venta de software de aplicaciones por la IA [7, 52]. Desde julio ha subido un 50 %, con compras de la dirección a 133,56-179,15 EUR [45, 47]. A cinco años rinde un 12,2 % anual, por encima del DAX (9,9 %). La beta es de 1,15 y la volatilidad del 41,6 %, alta para su historia.</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SAP cotiza a 18,2 veces el EBITDA de los últimos 12 meses y 28,7 veces el beneficio, un 9 % y un 16 % por debajo de su media de nueve años (19,9 y 34,2 veces), aunque por encima del mínimo de 15,1 veces [52]. El descuento llega después de una caída del 47,8 % desde el máximo de octubre de 2025 hasta julio de 2026: el mercado dejó de pagar la prima de 2024 (30,9 veces) por miedo a que los agentes de IA abaraten el software de aplicaciones, y la recuperación posterior (+50 % desde julio) ha devuelto el múltiplo a la zona media. No es un múltiplo de crisis.</w:t>
      </w:r>
    </w:p>
    <w:p>
      <w:pPr>
        <w:pStyle w:val="Heading1"/>
      </w:pPr>
      <w:r>
        <w:t xml:space="preserve">18. Comparables cotizados</w:t>
      </w:r>
    </w:p>
    <w:p>
      <w:pPr>
        <w:pStyle w:val="Confianza"/>
        <w:spacing w:after="100"/>
      </w:pPr>
      <w:r>
        <w:t xml:space="preserve">Confianza: Media</w:t>
      </w:r>
    </w:p>
    <w:p>
      <w:pPr>
        <w:spacing w:after="100"/>
      </w:pPr>
      <w:r>
        <w:t xml:space="preserve">Grandes editores de software de aplicaciones y plataformas empresariales con modelo de suscripción en la nube que compiten con SAP en ERP, finanzas, recursos humanos, CRM, flujos de trabajo y datos: Oracle (ERP y bases de datos), Microsoft (Dynamics y Azure), Salesforce, Workday, ServiceNow, Adobe, Intuit y Dassault Systèmes (software industrial europeo). Todas cotizan con un consenso amplio. Infor no cotiza; Sage y Nemetschek no se incluyen por tamaño.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221.940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Microsoft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3.545.589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Oracle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382.522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Salesforce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168.279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ServiceNow</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129.957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Adobe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84.143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72.199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Workday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40.129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Dassault Systèmes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28.794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 / 11,8x / 16,9x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213,25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 / 14,1x / 20,4x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149,73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214,19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 / 21,8x / 27,2x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140,69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172,31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214,79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38.192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 / 4,3x / 7,5x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147,77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253,61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14,1 + 0,07 × crecimiento; R² = 0,01. El crecimiento explica poco los múltiplos de estos comparables (R² &lt; 0,3): la regresión no se usa en la valoración.</w:t>
      </w:r>
    </w:p>
    <w:p>
      <w:pPr>
        <w:spacing w:after="100"/>
      </w:pPr>
      <w:r>
        <w:t xml:space="preserve">SAP cotiza a 15,1 veces el EBITDA de los próximos 12 meses y 24,2 veces el beneficio, por encima de la mediana de los ocho grandes del software (11,8 y 21,8 veces) con un crecimiento parecido (10,6 % de mediana; el consenso da a SAP un +11,7 % en 2027) y menos margen (31,1 % frente al 34 %) [60, 61, 62, 63, 64, 65, 66, 67]. La prima se explica por la visibilidad (el 86 % de los ingresos es recurrente) y porque Adobe, Intuit y Salesforce cotizan castigados por el mismo miedo a la IA. La mediana daría 161,12 EUR, un 15,8 % por debajo del precio. La muestra es dispersa (de 8,3 veces Adobe a 33 veces ServiceNow): pesa un 15 %.</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Ansys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Synopsys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32.163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390,19 USD por acción (197 USD en efectivo + 0,3450 acciones de Synopsys); valor empresa ≈ 35.000 M USD; prima del 29 % sobre el cierre del 21-dic-2023 y del 35 % sobre la media de 60 días [69]. Software de simulación, no de gestión.</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Splunk</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Cisco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26.328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157 USD por acción en efectivo; valor de las acciones ≈ 28.000 M USD (≈ 26.328 M EUR); la nota no publica valor empresa ni prima [70].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Informatica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Salesforce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 USD por acción en efectivo; valor de las acciones ≈ 8.000 M USD (≈ 7045 M EUR) neto de la participación previa de Salesforce; sin valor empresa ni prima publicados [71].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Qualtrics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Silver Lake y CPP Investments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18,15 USD por acción; valora la compañía en ≈ 12.500 M USD (≈ 11.676 M EUR); prima del 62 % sobre el cierre no afectado del 25-ene-2023 y del 73 % sobre la media ponderada de 30 días. SAP vendió su participación mayoritaria [72].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Coupa Software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Thoma Bravo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7.574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81 USD por acción en efectivo; valor empresa 8.000 M USD; prima del 77 % sobre el cierre del 22-nov-2022 (antes de las noticias) y del 64 % sobre la media de 30 sesiones [73]. Software de gestión del gasto, competidor de SAP Ariba.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288,79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259,13 – 367,86</w:t>
            </w:r>
          </w:p>
        </w:tc>
      </w:tr>
    </w:tbl>
    <w:p>
      <w:pPr>
        <w:spacing w:after="160" w:before="0"/>
      </w:pPr>
    </w:p>
    <w:p>
      <w:pPr>
        <w:spacing w:after="100"/>
      </w:pPr>
      <w:r>
        <w:t xml:space="preserve">Cinco compras de software empresarial de 2022-2025 a 4,9-15,4 veces las ventas del último ejercicio (estimación propia con los ingresos de sus 10-K) y primas del 29-77 % [69, 70, 71, 72, 73, 84]. Splunk, Informatica y Qualtrics se miden con el valor de las acciones, porque las notas no dan el valor empresa. Darían 288,79 EUR por acción, pero llevan prima de control y SAP, con 221.940 M de capitalización, no es objeto realista de una opa. Pesan un 5 %.</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+9,0 %: la guía da ingresos de nube de 25.800-26.200 M (+23-25 % a divisa constante) e ingresos totales creciendo como en 2025 (+10,6 % a divisa constante), con −1,5 puntos de divisa a tipos de junio; el 1S26 creció un 8 % en euros [4, 5]. 2027e-2028e +11,5 %: SAP espera que el crecimiento acelere en 2027 y el consenso da +11,7 % y +12,0 % [4, 56]. Después baja hasta el 4 % de 2035e. La media del caso base (8,2 %) coincide con el 8,1 % anual de 2021-2025.</w:t>
      </w:r>
    </w:p>
    <w:p>
      <w:pPr>
        <w:keepNext/>
        <w:spacing w:after="100"/>
      </w:pPr>
      <w:r>
        <w:rPr>
          <w:b/>
          <w:bCs/>
        </w:rPr>
        <w:t xml:space="preserve">Márgenes.</w:t>
      </w:r>
    </w:p>
    <w:p>
      <w:pPr>
        <w:spacing w:after="100"/>
      </w:pPr>
      <w:r>
        <w:t xml:space="preserve">Margen EBITDA NIIF del 31,5 % en 2026e: la guía de beneficio operativo no NIIF (11.800-12.200 M a divisa constante, menos 2 puntos de divisa) y unos 450 M de ajustes dan un beneficio NIIF de unos 11.200 M [4]. Sube al 36 % en 2031e porque SAP prevé que los gastos operativos crezcan al 80-90 % de los ingresos en 2027 [4]. El consenso da un 31,7 % en 2026e y un 33,4 % en 2028e [56]. El 36 % queda por debajo del margen EBIT de Oracle y Microsoft (30,6 % y 46,8 %) [18, 19].</w:t>
      </w:r>
    </w:p>
    <w:p>
      <w:pPr>
        <w:keepNext/>
        <w:spacing w:after="100"/>
      </w:pPr>
      <w:r>
        <w:rPr>
          <w:b/>
          <w:bCs/>
        </w:rPr>
        <w:t xml:space="preserve">Inversión y circulante.</w:t>
      </w:r>
    </w:p>
    <w:p>
      <w:pPr>
        <w:spacing w:after="100"/>
      </w:pPr>
      <w:r>
        <w:t xml:space="preserve">Capex del 2,8 % de las ventas: las compras de inmovilizado e intangibles (2,0 % en 2025) más los pagos de arrendamientos (0,8 %), porque la deuda incluye los arrendamientos (NIIF 16) [1]. La nube corre en gran parte en hiperescaladores y su coste ya está en el EBITDA. Amortización del 3,3 % que converge al capex. Circulante del −4 % de las ventas, el de 2025, por los cobros anticipados de nube. Tipo impositivo del 28,5 % (28,7 % NIIF en 2025; guía no NIIF del 29 %) [1, 4].</w:t>
      </w:r>
    </w:p>
    <w:p>
      <w:pPr>
        <w:keepNext/>
        <w:spacing w:after="100"/>
      </w:pPr>
      <w:r>
        <w:rPr>
          <w:b/>
          <w:bCs/>
        </w:rPr>
        <w:t xml:space="preserve">Coste del capital.</w:t>
      </w:r>
    </w:p>
    <w:p>
      <w:pPr>
        <w:spacing w:after="100"/>
      </w:pPr>
      <w:r>
        <w:t xml:space="preserve">Tasa libre del 3,53 %, el Bund a 10 años del 9-oct-2026 [53]. Beta de 1,10, la mensual a 5 años frente al DAX ajustada (1,15 sin ajustar; la semanal a 5 años da 0,99) [52]. Prima de mercado del 5,5 %. Coste de la deuda del 3,5 % (los eurobonos de 2026) y un 4 % de deuda a valor de mercado. WACC del 9,30 %; con la prima implícita del mercado (4,20 %), el 7,92 % [54].</w:t>
      </w:r>
    </w:p>
    <w:p>
      <w:pPr>
        <w:keepNext/>
        <w:spacing w:after="100"/>
      </w:pPr>
      <w:r>
        <w:rPr>
          <w:b/>
          <w:bCs/>
        </w:rPr>
        <w:t xml:space="preserve">Valor terminal.</w:t>
      </w:r>
    </w:p>
    <w:p>
      <w:pPr>
        <w:spacing w:after="100"/>
      </w:pPr>
      <w:r>
        <w:t xml:space="preserve">Crecimiento a perpetuidad del 2,5 %: inflación del euro del 2 % y algo de crecimiento real, por debajo de la tasa libre menos medio punto (3,03 %). El múltiplo de salida implícito es de 10 veces el EBITDA, muy por debajo de las 18,2 de hoy y del mínimo de la década (15,1): el terminal es prudente.</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80.712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7.637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8.875</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290.803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435.843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89.144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128.113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217.257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223.566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192,86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233,37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187,23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181,82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214,17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220,28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237,64</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-2.412 M (-2 % del NOPAT)</w:t>
            </w:r>
          </w:p>
        </w:tc>
      </w:tr>
    </w:tbl>
    <w:p>
      <w:pPr>
        <w:spacing w:after="160" w:before="0"/>
      </w:pPr>
    </w:p>
    <w:p>
      <w:pPr>
        <w:spacing w:after="100"/>
      </w:pPr>
      <w:r>
        <w:t xml:space="preserve">La proyección apenas necesita inversión neta de la amortización (reinversión acumulada de -2.412 M, con un capex bruto medio del 2,8 % de las ventas). En un negocio de activos ligeros, el crecimiento medio del 8,2 %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nube +23-25 % a divisa constante, soporte −7 % y servicios −2 %; ingresos totales +10,6 % a divisa constante y −1,5 puntos de divisa a tipos de junio [4]. Reparto entre migraciones (volumen) y subida del ingreso por cliente al pasar del soporte a RISE (precio):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SAP espera que el crecimiento de los ingresos acelere en 2027 por la nube y la Cloud ERP Suite; el consenso da +11,7 % [4, 56]. El fin del mantenimiento estándar de ECC en 2027 empuja las migraciones [25].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current cloud backlog (22.929 M, +26 % a divisa constante) cubre la mayor parte de la nube de los próximos 12 meses; el consenso da +12,0 % en 2028 [4, 56].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migración de la base instalada de ECC se acerca a su fin (soporte ampliado hasta 2030); el soporte, que se convierte en nube, pesa cada vez menos.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por encima del mercado de ERP (+7,1 % anual previsto) por la venta de IA y datos sobre la base de clientes [14].</w:t>
            </w:r>
          </w:p>
        </w:tc>
      </w:tr>
    </w:tbl>
    <w:p>
      <w:pPr>
        <w:spacing w:after="160" w:before="0"/>
      </w:pPr>
    </w:p>
    <w:p>
      <w:pPr>
        <w:spacing w:after="100"/>
      </w:pPr>
      <w:r>
        <w:t xml:space="preserve">Sí. El 8,2 % anual del caso base no necesita capital (capex del 2,8 % con arrendamientos y circulante negativo por los cobros anticipados de la nube) y queda por debajo del 8,1 % anual de los ingresos de 2021-2025 (con un euro fuerte) y del +26 % del current cloud backlog a divisa constante, que ya cubre el próximo año [4]. El foso es de costes de cambio: un ERP tarda años en sustituirse y SAP ha subido el ingreso por cliente al pasar del soporte a RISE [1]. La cuota implícita no se puede medir con el mismo perímetro (los ingresos de ERP de SAP según Apps Run The World son una parte de los suyos) [14]. El riesgo no es de calidad sino de modelo: que la IA cobre por uso y no por usuario.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(2026e-2035e)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 (base: 8,2 %)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35,8 % (base: 36,0 %)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 (WACC: 9,3 %)</w:t>
            </w:r>
          </w:p>
        </w:tc>
      </w:tr>
    </w:tbl>
    <w:p>
      <w:pPr>
        <w:spacing w:after="160" w:before="0"/>
      </w:pPr>
    </w:p>
    <w:p>
      <w:pPr>
        <w:spacing w:after="100"/>
      </w:pPr>
      <w:r>
        <w:t xml:space="preserve">El DCF da 192,86 EUR por acción, un 0,7 % por encima del precio, con un 59 % del valor en el terminal. </w:t>
      </w:r>
      <w:r>
        <w:rPr>
          <w:b/>
        </w:rPr>
        <w:t xml:space="preserve">El precio descuenta casi exactamente nuestro caso base.</w:t>
      </w:r>
      <w:r>
        <w:t xml:space="preserve"> El DCF inverso dice que los 191,46 EUR de hoy suponen un crecimiento de los ingresos del 8,1 % anual de 2026e a 2035e, frente al 8,2 % de nuestro caso base y al 7,1 % previsto para el mercado de ERP; o, con nuestro crecimiento, un margen EBITDA del 35,8 % en vez del 36 %. Comprar a este precio rinde un 9,3 % anual si se cumple el caso base, justo el WACC. No es un precio exigente frente a la historia (el múltiplo está un 9 % por debajo de su media), pero tampoco deja margen: hay que creer en la aceleración de 2027 y en la subida del margen. Con la prima de riesgo que hoy pide el mercado (4,20 %), el DCF sube a 242,60 EUR.</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agentes de IA desplazan el cobro por usuario y parte de la lógica de negocio hacia capas de datos y agentes de terceros: el backlog de nube frena al 10-12 % y las migraciones de ECC se alargan, como le pasó a Oracle en 2013-2017, con los ingresos casi planos durante la transición. Crecimiento medio del 4,2 %, margen EBITDA del 33 % y crecimiento a perpetuidad del 2 %.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la guía de 2026 y los ingresos aceleran al 11,5 % en 2027-2028 con la migración de ECC antes del fin del mantenimiento, para bajar después al 4 %: crecimiento medio del 8,2 % y margen EBITDA del 36 % desde 2031.</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246,83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migración de ECC se concentra antes de 2030 y SAP cobra la IA sobre los datos de sus clientes (Business Data Cloud, Joule): crecimiento medio del 10,7 % y margen del 38 %, más cerca del de Oracle.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EUR) · precio actual 191,4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186,68 EUR (-2,5 %).</w:t>
      </w:r>
    </w:p>
    <w:p>
      <w:pPr>
        <w:spacing w:after="100"/>
      </w:pPr>
      <w:r>
        <w:t xml:space="preserve">La asimetría es desfavorable con nuestro coste de capital: el alcista vale 246,83 EUR (+28,9 %) y el bajista 124,96 (−34,7 %), 0,83 veces. El bajista no es cosmético: la acción tocó 127,50 EUR en julio, casi el valor de este escenario, cuando el mercado descontó el miedo a la IA [52]. Con la prima de riesgo que hoy pide el mercado (4,20 %), el bajista sube a 152,54 EUR y el alcista a 312,95, y la asimetría pasa a 3,12 veces. El valor ponderado por probabilidad es de 186,68 EUR.</w:t>
      </w:r>
    </w:p>
    <w:p>
      <w:pPr>
        <w:pStyle w:val="Heading1"/>
      </w:pPr>
      <w:r>
        <w:t xml:space="preserve">22. Suma de partes</w:t>
      </w:r>
    </w:p>
    <w:p>
      <w:pPr>
        <w:pStyle w:val="Confianza"/>
        <w:spacing w:after="100"/>
      </w:pPr>
      <w:r>
        <w:t xml:space="preserve">Confianza: Media</w:t>
      </w:r>
    </w:p>
    <w:p>
      <w:pPr>
        <w:spacing w:after="100"/>
      </w:pPr>
      <w:r>
        <w:t xml:space="preserve">No aplica: SAP publica dos segmentos (ATS, el 89 % de los ingresos, y Core Services) solo para 2023-2025, sin comparables puros para los servicios, y los costes centrales no asignados son grandes; la suma de partes repetiría el DCF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EUR) · precio actual 191,4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191,46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244,30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210,39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149,92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214,79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288,79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367,86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219,83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186,68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246,83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191,46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192,42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objetivo ponderado:</w:t>
      </w:r>
      <w:r>
        <w:t xml:space="preserve"> 191,35 EUR (-0,1 % sobre 191,46).</w:t>
      </w:r>
    </w:p>
    <w:p>
      <w:pPr>
        <w:spacing w:after="100"/>
      </w:pPr>
      <w:r>
        <w:t xml:space="preserve">Pesos: DCF 55 %, escenarios 25 %, comparables 15 %, transacciones 5 % y suma de partes 0 %. El DCF manda porque el 86 % de los ingresos es recurrente y el backlog de nube da visibilidad a 12 meses [1, 4]. Los escenarios pesan un 25 % porque el riesgo de la IA es asimétrico. Los comparables (161,12 EUR) pesan un 15 % por la dispersión de la muestra, y las transacciones (288,79 EUR) un 5 % porque llevan prima de control y sus múltiplos son estimaciones. La dispersión entre métodos es grande (de 161 a 289 EUR) pero el DCF y los escenarios, que suman el 80 %, quedan a menos de un 3 % del precio. El valor objetivo es de 191,35 EUR.</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del backlog de nube (guía: ligera desaceleración desde el +25 %) y de la guía rebajada en julio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Confirmará o no la aceleración de los ingresos y los gastos al 80-90 % del crecimiento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Hasta el 31-dic-2027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hasta 10.000 M (7.400 M pendientes a junio)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Retiraría un 3,3 % del capital al precio de hoy</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31-dic-2027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del mantenimiento estándar de SAP ECC</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Fuerza la migración de la base instalada a S/4HANA y RISE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vigor de la NIIF 18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 la definición del beneficio operativo; puede mover los múltiplos publicados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13-sep-2027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Juicio de Celonis contra SAP en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Litigio sobre el acceso a los datos del ERP</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Los agentes de IA abaratan el software de aplicaciones o desplazan el cobro por usuario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124,96 EUR, −35 % sobre el valor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ERP es el sistema de registro de los procesos y los datos; costes de cambio altos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current cloud backlog por debajo del 20 % a divisa constante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Desaceleración de la nube cuando termine la ola de migraciones de ECC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punto menos de crecimiento anual quita 14,08 EUR (−7 %)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Soporte ampliado hasta 2030 y venta de IA y datos sobre la base instalada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la Cloud ERP Suite por debajo del +20 %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el 39 % de los ingresos viene de América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La guía de 2026 preveía 3 puntos menos de crecimiento de la nube por la divisa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también en dólares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 por encima de 1,20 USD</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la IA y de la nube presionan el margen bruto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Un punto menos de margen EBITDA quita 5,66 EUR (−3 %)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Congelación de plantilla durante 12 meses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 nube por debajo del 73 %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Oracle gana cuota en ERP</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Ya es primero en ERP según Apps Run The World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instalada de SAP en las grandes empresas europeas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grandes contratos de migración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compromisos con la Comisión Europea sobre el soporte del ERP</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SAP no espera impacto material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multa; diez años de compromisos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soporte más rápida que la guía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Compras de IA y datos que diluyen el margen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Dremio y Prior Labs restan más de 100 M al beneficio de 2026</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pequeñas frente a la caja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 compra de más de 5.000 M</w:t>
            </w:r>
          </w:p>
        </w:tc>
      </w:tr>
    </w:tbl>
    <w:p>
      <w:pPr>
        <w:spacing w:after="160" w:before="0"/>
      </w:pPr>
    </w:p>
    <w:p>
      <w:pPr>
        <w:pStyle w:val="Heading2"/>
      </w:pPr>
      <w:r>
        <w:t xml:space="preserve">Pre-mortem</w:t>
      </w:r>
    </w:p>
    <w:p>
      <w:pPr>
        <w:spacing w:after="100"/>
      </w:pPr>
      <w:r>
        <w:t xml:space="preserve">Octubre de 2029: la acción ha caído un 40 %, a unos 115 EUR. La historia más probable empieza en 2027: los grandes clientes terminan las migraciones a S/4HANA, pero los nuevos contratos de nube se firman con menos usuarios porque los agentes de IA hacen el trabajo de los empleados que antes pagaban licencia. El backlog de nube frena del 25 % al 12 % en dos años y SAP no consigue cobrar los agentes por uso al mismo ritmo. Los costes de cómputo de la IA bajan el margen bruto de la nube y la expansión del margen operativo se queda en un punto. El mercado deja de ver a SAP como un compuesto de crecimiento y lo valora como a Oracle en 2015, a 10-11 veces el EBITDA. El indicador que lo habría anticipado: el crecimiento del current cloud backlog a divisa constante por debajo del 20 % y la caída del margen bruto de la nube, que ya bajó 0,5 puntos en el 2T26, al 74,3 % [4].</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Morningstar Sustainalytics (riesgo ESG, vía Saxo)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11,09 (riesgo bajo)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Morningstar Sustainalytics (riesgo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10,9 (riesgo bajo)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2022-10</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2023-04</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CSA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80/100</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2023-01</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Cambio climático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2023-06</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ISS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 (Prime)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2023-01</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Oro (74/100)</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2022-12</w:t>
            </w:r>
          </w:p>
        </w:tc>
      </w:tr>
    </w:tbl>
    <w:p>
      <w:pPr>
        <w:spacing w:after="160" w:before="0"/>
      </w:pPr>
    </w:p>
    <w:p>
      <w:pPr>
        <w:pStyle w:val="Heading2"/>
      </w:pPr>
      <w:r>
        <w:t xml:space="preserve">Asuntos materiales</w:t>
      </w:r>
    </w:p>
    <w:p>
      <w:pPr>
        <w:spacing w:after="100"/>
      </w:pPr>
      <w:r>
        <w:t xml:space="preserve">Para un proveedor de software, lo material son tres asuntos. Primero, la seguridad y la protección de datos: SAP aloja procesos críticos de clientes en la nube y una brecha afectaría a la renovación; mide el porcentaje de empleados que pican en campañas simuladas de suplantación, hace al menos tres al año, y mantiene certificados y auditorías SOC anuales [1]. Segundo, el capital humano: más de 110.000 empleados, el I+D supone el 18,0 % de los ingresos, la reestructuración de 2024 afectó a unos 10.000 puestos y la encuesta interna tuvo una participación del 72-74 % [1]. Tercero, las emisiones de la nube: 6,9 millones de toneladas de CO₂ equivalente brutas en 2023 y objetivo de bajar al menos un 90 % (menos de 0,7 millones) en 2030 en todos los alcances; ha firmado contratos de compra de electricidad renovable con entrega desde 2026 [1]. La gobernanza de la IA (Ley de IA de la UE, aplicable desde el 2 de agosto de 2026; los usos de alto riesgo en ámbitos sensibles, hasta el 2 de diciembre de 2027) afecta a funciones como la selección de personal [32].</w:t>
      </w:r>
    </w:p>
    <w:p>
      <w:pPr>
        <w:pStyle w:val="Heading2"/>
      </w:pPr>
      <w:r>
        <w:t xml:space="preserve">Controversias</w:t>
      </w:r>
    </w:p>
    <w:p>
      <w:pPr>
        <w:spacing w:after="100"/>
      </w:pPr>
      <w:r>
        <w:t xml:space="preserve">El 10 de enero de 2024 SAP cerró con la SEC y el DOJ las investigaciones por sobornos a funcionarios en Sudáfrica, Malaui, Kenia, Tanzania, Ghana, Indonesia y Azerbaiyán (2014-2022): más de 98 M USD a la SEC, multa penal de 118,8 M USD y decomiso de unos 103 M USD al DOJ, en parte compensables [29]. En febrero de 2026 pactó con Teradata (secretos industriales y prácticas anticompetitivas en torno a HANA) y pagó 480 M USD [5]. La Comisión Europea abrió en septiembre de 2025 un expediente por el mantenimiento del ERP instalado y lo cerró sin multa el 9 de julio de 2026 con compromisos vinculantes durante diez años [1, 26]. Sigue abierto el pleito antimonopolio de Celonis en EE. UU. (juicio previsto el 13 de septiembre de 2027) y su queja ante el Bundeskartellamt [5].</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precios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nuevos contratos de nube se cobra por uso y no por usuario, y qué pasa con el ingreso por cliente cuando los agentes sustituyen empleados?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que el precio teme y que el bajista recoge.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Backlog</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current cloud backlog viene de migraciones de ECC y cuánto de clientes nuevos?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crecimiento sobrevive al fin de la ola de migraciones.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bruto de nube espera cuando los costes de los modelos de IA crezcan con el uso?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bruto de nube bajó 0,5 puntos en el 2T26.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rentabilidad esperan de Reltio, Dremio y Prior Labs, y hay más compras de datos e IA en camino?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Restan más de 100 M al beneficio de 2026.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Europea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ingresos de soporte quedan expuestos a terceros por los compromisos de julio de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soporte aún es el 25 % de los ingresos del 1S26.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¿Acelerará la recompra (7.400 M pendientes) si la acción vuelve a la zona de 130-160 EUR?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esos precios la rentabilidad para el accionista sube mucho.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getquin (red social de inversores alemana), foro de la acción SAP</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Diez publicaciones de julio a octubre con unos 125 comentarios: compras declaradas en la zona baja de julio, tesis de que los «perdedores de la IA» pueden recuperarse y balances de cartera de agosto que celebran el rebote; la única publicación negativa comenta el recorte de precio objetivo de UBS [76].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getquin, hilo de análisis de los resultados del 2T26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autor plantea si el 2T26 marca un giro (BPA mejor que el consenso, backlog de nube, recompras) aunque el beneficio operativo quedó por debajo de lo esperado; los comentarios mantienen o compran con horizonte largo, discuten la «SaaS-Apokalypse» y una minoría recoge beneficios tras el salto del día siguiente [77].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de.investing.com, comentarios de la acción SAP</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Debate de corto plazo entre alcistas con objetivos por encima de 200 EUR y algún bajista declarado; aparecen la subida de tipos como freno, la duda de si el programa de recompras se ha frenado y un cruce sobre si la migración a S/4HANA antes de 2027 es catalizador o si los clientes la retrasan por presupuesto [78].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boersennews.de, foro SAP (Hauptdiskussion)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Mensajes de la semana previa al corte, casi todos de trading: burla hacia quienes apostaron a la baja tras la subida semanal y previsiones de superar 200 EUR antes de fin de mes; casi sin argumentos de fondo [79].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Agentes de IA y riesgo de erosión del software de aplicaciones («SaaS-Apokalypse»)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particulares tienden a ver la IA como oportunidad para SAP [76, 77]; los analistas que rebajaron la recomendación en agosto-septiembre citan justo el ritmo lento de los agentes: solo 17 disponibles frente a una meta anual de unos 200 [81, 82]. Contrastar con lo que publique SAP el 21-oct.</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Backlog de nube y resultados del 2T26 como punto de giro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prensa recoge un current cloud backlog de 22.900 M EUR (+27 %) y una guía de beneficio operativo no NIIF 2026 recortada a 11.800-12.200 M EUR por la dilución de adquisiciones [82]; UBS espera que el crecimiento del backlog baje a un 24 % a fin de año [81]. Los foros no recogen ese riesgo de desaceleración (cifras a verificar en el 6-K del 2T26).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Rebote desde mínimos y valoración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particulares que compraron en julio celebran el rebote [76], mientras que los analistas (UBS a Neutral, Santander a Market Perform) rebajan por precio tras la recuperación [81, 82]: el sentimiento minorista va en contra de la última tanda de rebajas. La prensa señalaba sobrecompra técnica tras la subida de agosto [83].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 de acciones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las citan como soporte del precio y otros temen que el programa se haya frenado [76, 78]; el estado real del programa debe comprobarse en las comunicaciones de SAP.</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Migración de ECC a S/4HANA antes del fin del soporte en 2027</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Debate minoritario entre quien lo ve como catalizador 2026-2027 y quien cree que los clientes lo aplazan por presupuesto [78]; el analista debe contrastarlo con la política de soporte de SAP.</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Tipos de interés y trading de corto plazo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 parte de los mensajes alemanes son de trading (cortos, niveles técnicos) y no de fundamentales [78, 79]; no aporta información sobre el negocio.</w:t>
            </w:r>
          </w:p>
        </w:tc>
      </w:tr>
    </w:tbl>
    <w:p>
      <w:pPr>
        <w:spacing w:after="160" w:before="0"/>
      </w:pPr>
    </w:p>
    <w:p>
      <w:pPr>
        <w:spacing w:after="100"/>
      </w:pPr>
      <w:r>
        <w:t xml:space="preserve">El inversor particular alemán está más animado que los analistas: compró en los mínimos de julio y habla de objetivos por encima de 200 EUR, mientras UBS y Santander bajaban la recomendación en septiembre porque el precio ya recogía la recuperación y los agentes de IA se monetizan despacio [76, 77, 81, 82]. El debate de fondo es el mismo que el del informe: si la IA convierte el ERP en una pieza más barata. Los foros no recogen el riesgo de que el backlog de nube frene, que es lo que hundió la acción en enero. No hay euforia ni capitulación: el sentimiento no cambia la decisión.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16 de 17 controles correctos y 1 explicados. Fuentes: 84 (51 primarias); citas distintas en el texto: 79.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-4,0 % frente a -4,1 % real: genera una variación de circulante de -89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0,01: el crecimiento no explica los múltiplos de estos comparables; no uses el valor de la regresión. Explicación: Con Oracle (crecimiento del 38,8 % por los contratos de infraestructura para IA) y ServiceNow (33 veces) en la muestra, el crecimiento no explica los múltiplos; no se usa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84 fuentes (51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40, 43, 44, 55, 75.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trimestrales de SAP (no publican consenso); 2) búsqueda de transcripciones y prensa del 1T26 y el 2T26; 3) GuruFocus y roic.ai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Preguntas de analistas del 1T26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Quarterly Statement Q1 2026; 2) transcripción en GuruFocus (403); 3) roic.ai (403) y búsqueda en AllMind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deuda del 20-F 2025 (no la publica); 2) informe semestral 2026 (no da los vencimientos de los tramos nuevos); 3) cálculo con los vencimientos de dic-25, no aplicable tras la emisión de may-26 sin el detalle de tramos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(número de clientes, concentración, tasa de renovación de la nube)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2025 (Our Customers, Performance Management System, Item 5): no publica número de clientes ni renovación; 2) nota de resultados del 2T26 y su texto «About SAP»: sin cifra; 3) web corporativa sap.com/about/company (403) y página de historia (solo usuarios de nube: 269 millones)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MSCI, S&amp;P Global CSA y CDP recientes (2025-2026)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2025: no las recoge; 2) web de inversores de SAP (páginas de sostenibilidad, 404) y News Center (listado sin calificaciones); 3) búsqueda web y página de Sustainalytics (carga dinámica,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 Infor y de Microsoft Dynamics por separado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 no cotiza (propiedad de Koch) y Microsoft no da beneficio por línea de producto en su 10-K de 2026; 2) ARTW solo publica ingresos de ERP; 3) se usa para Microsoft el margen del grupo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accionistas (participación actual de la Hasso Plattner Foundation)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2025, Item 7 (solo lista Hopp y BlackRock por encima del 5 %); 2) avisos de derechos de voto en EQS/Der Aktionär (último localizado de la fundación: junio de 2022, 6,60 %); 3) web de inversores de SAP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WebFetch del registro del Bundesanzeiger filtrando por ISIN: el filtro no se aplica (496 posiciones en 25 páginas; SAP no aparece en la primera); 2) descargar.mjs del enlace de exportación CSV: devuelve HTML sin datos; 3) WebFetch con búsqueda de texto «SAP SE»: tampoco aparece en la primera página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free_float_pct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2025, Major Shareholders: solo Hopp 5,1 % y BlackRock 6,3 %; 2) MarketScreener valuation: no lo da; 3) web de SAP (recompras y accionariado):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roic_pct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finances: solo ROE/ROA; 2) MarketScreener valuation: no lo da; 3) sin otra fuente gratuita homogénea para las ocho en el tiempo disponible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(Seeking Alpha, Stocktwits y foros finanzen.net/ariva/wallstreet-online)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Seeking Alpha (página de análisis y artículo del 2T26) y Stocktwits $SAP: 403; 2) foro de finanzen.net: 403; ariva: exige inicio de sesión; wallstreet-online: el hilo enlazado es de 2008 y la página de foro da 404; 3) búsqueda web de artículos de Seeking Alpha y Motley Fool posteriores al 2T26: solo títulos de julio, sin texto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SAP SE, Form 20-F / Integrated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SAP SE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https://www.sec.gov/Archives/edgar/data/1000184/000110465926020058/sap-20251231x20f.htm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SAP SE, datos XBRL (companyfacts, ifrs-full) de los 20-F 2015-2025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https://data.sec.gov/api/xbrl/companyfacts/CIK0001000184.json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Form 20-F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https://www.sec.gov/Archives/edgar/data/1000184/000110465922029675/sap-20211231x20f.htm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Quarterly Statement Q2 2026 (6-K,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https://www.sec.gov/Archives/edgar/data/1000184/000110465926087251/tm2621275d1_ex99-1.htm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Half-Year Report 2026 (6-K, Exhibit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https://www.sec.gov/Archives/edgar/data/1000184/000110465926087251/tm2621275d1_ex99-2.htm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Quarterly Statement Q1 2026 (6-K,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https://www.sec.gov/Archives/edgar/data/1000184/000110465926049650/tm2612672d1_ex99-1.htm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Quarterly Statement Q4 2025 (6-K,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https://www.sec.gov/Archives/edgar/data/1000184/000110465926009465/tm264433d1_ex99-1.htm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Quarterly Statement Q3 2025 (6-K,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https://www.sec.gov/Archives/edgar/data/1000184/000110465925102307/tm2529346d1_ex99-1.htm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Quarterly Statement Q2 2025 (6-K,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https://www.sec.gov/Archives/edgar/data/1000184/000110465925070485/tm2521516d1_ex99-1.htm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Quarterly Statement Q1 2025 (6-K,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https://www.sec.gov/Archives/edgar/data/1000184/000110465925038859/tm2512979d1_ex99-1.htm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Quarterly Statement Q4 2024 (6-K,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https://www.sec.gov/Archives/edgar/data/1000184/000110465925006886/tm254685d1_ex99-1.htm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Quarterly Statement Q3 2024 (6-K,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https://www.sec.gov/Archives/edgar/data/1000184/000110465924110719/tm2426630d1_ex99-1.htm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2026 SAP SE Earnings Call (transcripción, 23-jul-2026)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AllMind AI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https://allmind.ai/earnings/event/2927320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Top 10 ERP Software Vendors, Market Size and Forecast 2025-2030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Apps Run The World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https://www.appsruntheworld.com/top-10-erp-software-vendors-and-market-forecast/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Oracle Surpasses SAP to Become No. 1 ERP Apps Provider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Apps Run The World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https://www.appsruntheworld.com/oracle-surpasses-sap-to-become-no-1-erp-apps-provider/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Enterprise Resource Planning Software - Worldwide (Market Insights)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https://www.statista.com/outlook/tmo/software/enterprise-software/enterprise-resource-planning-software/worldwide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Forecasts Worldwide IT Spending to Grow 10.8% in 2026, Totaling $6.15 Trillion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https://www.gartner.com/en/newsroom/press-releases/2026-02-03-gartner-forecasts-worldwide-it-spending-to-grow-10-point-8-percent-in-2026-totaling-6-point-15-trillion-dollars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Oracle Corporation, Form 10-K ejercicio terminado el 31-5-2026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Oracle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https://www.sec.gov/Archives/edgar/data/1341439/000119312526277521/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Form 10-K ejercicio terminado el 30-6-2026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https://www.sec.gov/Archives/edgar/data/789019/000119312526323660/msft-20260630.htm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Inc., Form 10-K ejercicio terminado el 31-1-2026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https://www.sec.gov/Archives/edgar/data/1108524/000110852426000060/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Workday, Inc., Form 10-K ejercicio terminado el 31-1-2026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Workday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https://www.sec.gov/Archives/edgar/data/1327811/000132781126000014/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Inc., Form 10-K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https://www.sec.gov/Archives/edgar/data/1373715/000137371526000007/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Q4 and FY 2025 results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https://www.3ds.com/assets/invest/2026-02/dassault-systemes-25q4-earnings_pr_va.pdf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Sage Group plc: Results for the year ended 30 September 2025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Sage Group / FCA National Storage Mechanism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https://data.fca.org.uk/artefacts/NSM/RNS/3331551a-5060-4fad-88d1-730e3d45176b.html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S/4HANA: Maintenance until 2040, clarity and choice for SAP Business Suite 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News Center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https://news.sap.com/2020/02/sap-s4hana-maintenance-2040-clarity-choice-sap-business-suite-7/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Competition &amp; Regulatory Newsletter: European Commission accepts commitments from SAP to address concerns relating to aftermarket practices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Slaughter and May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https://www.slaughterandmay.com/insights/new-insights/competition-and-regulatory-newsletter-european-commission-accepts-commitments-from-sap-to-address-concerns-relating-to-aftermarket-practices/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historical series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History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https://www.sap.com/about/company/history.html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Charges Global Software Company SAP for FCPA Violations (press release 2024-4)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Securities and Exchange Commission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https://www.sec.gov/news/press-release/2024-4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Acknowledging SAP's ESG Efforts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News Center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https://news.sap.com/2023/06/acknowledging-sap-esg-efforts/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(SAPG:xetr), ficha con riesgo ESG de Morningstar Sustainalytics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Saxo 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https://www.home.saxo/en-ch/markets/stocks/sapg-xetr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 Act: regulatory framework on artificial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Comisión Europea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https://digital-strategy.ec.europa.eu/en/policies/regulatory-framework-ai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Annual Report on Form 20-F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https://www.sec.gov/Archives/edgar/data/1000184/000110465924029038/sap-20231231x20f.htm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General Meeting on 05/05/2026: Voting results (Form 6-K,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https://www.sec.gov/Archives/edgar/data/1000184/000110465926057442/tm2613731d1_ex99-1.htm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Voting on Resolutions: juntas de 2025, 2024 y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https://www.sap.com/investors/en/financial-documents-and-events/events/agm/previous-events/voting-on-resolutions.html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on Form 20-F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https://www.sec.gov/Archives/edgar/data/1000184/000110465925017815/sap-20241224x20f.htm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on Form 20-F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https://www.sec.gov/Archives/edgar/data/1000184/000110465923027626/sap-20221231x20f.htm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on Form 20-F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https://www.sec.gov/Archives/edgar/data/1000184/000110465921031847/sap-20201231x20f.htm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Financial Analyst Conference 2026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https://www.sap.com/docs/download/investors/2026/sapphire-2026-financial-analyst-presentation.pdf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SAP SE: Gerhard Oswald, Verkauf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Der Aktionär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https://www.deraktionaer.de/nachricht/eqs-dd-sap-se-deutsch-483721.html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SAP SE: Sebastian Steinhäuser, Kauf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Der Aktionär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https://www.deraktionaer.de/nachricht/eqs-dd-sap-se-deutsch-498855.html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SAP SE: Dominik Asam, Kauf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Der Aktionär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https://www.deraktionaer.de/nachricht/eqs-dd-sap-se-deutsch-499204.html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SAP SE: Sebastian Steinhäuser, Veräußerung zur Begleichung von Steuern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Der Aktionär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https://www.deraktionaer.de/nachricht/eqs-dd-sap-se-deutsch-509449.html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SAP SE: Sebastian Steinhäuser, Veräußerung zur Begleichung von Steuern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Der Aktionär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https://www.deraktionaer.de/nachricht/eqs-dd-sap-se-deutsch-531218.html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SAP SE: Christian Kurt Klein, Kauf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Der Aktionär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https://www.deraktionaer.de/nachricht/eqs-dd-sap-se-deutsch-540301.html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SAP SE: Dominik Asam, Kauf (Derivat)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Der Aktionär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https://www.deraktionaer.de/nachricht/eqs-dd-sap-se-deutsch-540628.html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SAP SE: Gina Vargiu-Breuer, Kauf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Der Aktionär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https://www.deraktionaer.de/nachricht/eqs-dd-sap-se-deutsch-545235.html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SAP SE: Thomas Heinrich Saueressig, Kauf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Der Aktionär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https://www.deraktionaer.de/nachricht/eqs-dd-sap-se-deutsch-547332.html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Stimmrechtsmitteilung: Hasso Plattner Foundation (6,60 %)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Der Aktionär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jun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https://www.deraktionaer.de/nachricht/dgap-stimmrechte-sap-se-deutsch-209259.html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Stimmrechtsmitteilung: BlackRock, Inc. (umbral 16-02-2026)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Der Aktionär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https://www.deraktionaer.de/nachricht/eqs-stimmrechte-sap-se-deutsch-503621.html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Stimmrechtsmitteilung: BlackRock, Inc. (umbral 29-05-2026, 6,75 %)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Der Aktionär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https://www.deraktionaer.de/nachricht/eqs-stimmrechte-sap-se-deutsch-529168.html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SAP.DE, ^GDAXI, EXS1.DE, EXV3.DE, ^STOXX (hasta 2026-10-09)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https://finance.yahoo.com/quote/SAP.DE/history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 temporal de tipos de la deuda federal cotizada (Svensson), vencimiento residual 10 años, serie diaria BBSIS.D.I.ZST.ZI.EUR.S1311.B.A604.R10XX.R.A.A._Z._Z.A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https://api.statistiken.bundesbank.de/rest/data/BBSIS/D.I.ZST.ZI.EUR.S1311.B.A604.R10XX.R.A.A._Z._Z.A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financial calendar (Q3 2026 results 2026-10-21)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https://www.sap.com/investors/en/calendar.html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previsiones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https://www.marketscreener.com/quote/stock/SAP-SE-436555/finances/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https://www.marketscreener.com/quote/stock/SAP-SE-436555/consensus/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https://www.marketscreener.com/quote/stock/SAP-SE-436555/valuation/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de referencia EUR/USD (EXR.D.USD.EUR.SP00.A),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finances y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https://www.marketscreener.com/quote/stock/MICROSOFT-CORPORATION-4835/finances/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Oracle: finances y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https://www.marketscreener.com/quote/stock/ORACLE-CORPORATION-13620698/finances/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finances y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https://www.marketscreener.com/quote/stock/SALESFORCE-INC-12180/finances/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finances y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https://www.marketscreener.com/quote/stock/SERVICENOW-INC-10912979/finances/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finances y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https://www.marketscreener.com/quote/stock/ADOBE-INC-4844/finances/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finances y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https://www.marketscreener.com/quote/stock/INTUIT-INC-23277275/finances/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Workday: finances y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https://www.marketscreener.com/quote/stock/WORKDAY-INC-37866670/finances/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finances y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https://www.marketscreener.com/quote/stock/DASSAULT-SYSTEMES-SE-4635/finances/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Pagos en acciones (us-gaap ShareBasedCompensation, 10-K) de MSFT, ORCL, CRM, NOW, ADBE, INTU y WDAY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 (companyconcept)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https://data.sec.gov/api/xbrl/companyconcept/CIK0001341439/us-gaap/ShareBasedCompensation.json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to Acquire Ansys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https://news.synopsys.com/2024-01-16-Synopsys-to-Acquire-Ansys,-Creating-a-Leader-in-Silicon-to-Systems-Design-Solutions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Cisco to Acquire Splunk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Cisco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https://investor.cisco.com/news/news-details/2023/Cisco-to-Acquire-Splunk-to-Help-Make-Organizations-More-Secure-and-Resilient-in-an-AI-Powered-World/default.aspx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Signs Definitive Agreement to Acquire Informatica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https://investor.salesforce.com/news/news-details/2025/Salesforce-Signs-Definitive-Agreement-to-Acquire-Informatica/default.aspx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Qualtrics to be Acquired by Silver Lake and CPP Investments for $12.5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Silver Lake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https://www.silverlake.com/qualtrics-to-be-acquired-by-silver-lake-and-cpp-investments-for-12-5-billion/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Coupa Software 8-K, exhibit 99.1: acuerdo con Thoma Bravo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Coupa Software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https://www.sec.gov/Archives/edgar/data/1385867/000119312522302253/d400208dex991.htm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https://www.investing.com/equities/sap-ag-consensus-estimates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de posiciones cortas netas (Leerverkaufsregister)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Bundesanzeiger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https://www.bundesanzeiger.de/pub/en/nlp?0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foro de la acción (publicaciones jul-oct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getquin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https://app.getquin.com/de/aktie/DE0007164600/sap/forum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Publicación sobre los resultados del 2T26 de SAP y comentarios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getquin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https://app.getquin.com/de/post/yWNXSwpHYJ</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comentarios de usuarios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 Deutschland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https://de.investing.com/equities/sap-ag-commentary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Hauptdiskussion (foro)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boersennews.de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https://www.boersennews.de/community/diskussion/sap/118/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y opiniones de SAP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https://www.rankia.com/acciones/sap-ag-sap/foro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Aktie: UBS stuft auf Neutral ab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https://www.boerse-express.com/news/articles/sap-aktie-ubs-stuft-auf-neutral-ab-945414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Aktie: Santander stuft auf Market Perform ab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https://www.boerse-express.com/news/articles/sap-aktie-santander-stuft-auf-market-perform-ab-945295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Aktie: Überkauft nach Kraftakt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https://www.boerse-express.com/news/articles/sap-aktie-ueberkauft-nach-kraftakt-936933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anuales de Ansys, Splunk, Informatica, Qualtrics y Coupa (XBRL de sus 10-K)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https://data.sec.gov/api/xbrl/companyconcept/CIK0001013462/us-gaap/Revenues.json</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91,2 %</w:t>
      </w:r>
      <w:r>
        <w:t xml:space="preserve"> · Secciones con menos del 60 % de campos cubiertos: </w:t>
      </w:r>
      <w:r>
        <w:rPr>
          <w:b/>
          <w:bCs/>
        </w:rPr>
        <w:t xml:space="preserve">ninguna</w:t>
      </w:r>
      <w:r>
        <w:t xml:space="preserve"> · Generado el 11 oct 2026.</w:t>
      </w:r>
    </w:p>
    <w:p>
      <w:pPr>
        <w:pStyle w:val="Nota"/>
        <w:spacing w:after="100"/>
      </w:pPr>
      <w:r>
        <w:t xml:space="preserve">Se valora la acción ordinaria de Xetra (SAP), en euros; precio de cierre del viernes 9-oct-2026 (191,46 EUR), porque el corte cae en domingo [52]. El ADR de la NYSE no se usa. Acciones: 1.159,2 M, las emitidas menos la autocartera a 30-jun-2026 más ≈ 5 M de dilución de los planes de acciones, para casar con la caja del mismo balance [5]. Cuentas en NIIF: desde 2021 las cifras son de actividades continuadas (Qualtrics, vendida en 2023, va como actividad interrumpida), y 2017-2020 la incluyen (consolidada desde enero de 2019), así que el crecimiento de 2017-2020 no es comparable [1, 3]. La amortización de 2021-2023 sale del estado de flujos y aún incluye la de Qualtrics. Segmentos: SAP solo publica los dos actuales (ATS y Core Services) para 2023-2025. El EBITDA es NIIF, con los pagos en acciones como gasto (4,6 % de las ventas en 2025); el no NIIF de SAP también los incluye desde 2024, así que el consenso de MarketScreener se toma como NIIF [1, 56]. El circulante incluye los pasivos de contrato (cobros anticipados de nube y soporte). Las inversiones de capital riesgo (Sapphire Ventures, 6.574 M a valor razonable a dic-25) se suman en el puente como asociadas [1].</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SAP SE (SAP)</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191,46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(127,50 – 244,30)</c:v>
                </c:pt>
                <c:pt idx="1">
                  <c:v>Precio objetivo de los analistas (160,00 – 290,00)</c:v>
                </c:pt>
                <c:pt idx="2">
                  <c:v>Comparables: EV/EBITDA NTM (128,40 – 213,25)</c:v>
                </c:pt>
                <c:pt idx="3">
                  <c:v>Comparables: PER NTM (140,69 – 214,79)</c:v>
                </c:pt>
                <c:pt idx="4">
                  <c:v>Transacciones precedentes (EV/ventas) (259,13 – 367,86)</c:v>
                </c:pt>
                <c:pt idx="5">
                  <c:v>DCF (WACC y g ± 0,5) (172,67 – 219,83)</c:v>
                </c:pt>
                <c:pt idx="6">
                  <c:v>Escenarios (bajista – alcista) (124,96 – 246,83)</c:v>
                </c:pt>
                <c:pt idx="7">
                  <c:v>DCF con la prima implícita del mercado (4,2 %)</c:v>
                </c:pt>
                <c:pt idx="8">
                  <c:v>Precio actual (191,46)</c:v>
                </c:pt>
              </c:strCache>
            </c:strRef>
          </c:cat>
          <c:val>
            <c:numRef>
              <c:f>Hoja1!$B$2:$B$10</c:f>
              <c:numCache>
                <c:formatCode>#,##0</c:formatCode>
                <c:ptCount val="9"/>
                <c:pt idx="0">
                  <c:v>127.5</c:v>
                </c:pt>
                <c:pt idx="1">
                  <c:v>160</c:v>
                </c:pt>
                <c:pt idx="2">
                  <c:v>128.4</c:v>
                </c:pt>
                <c:pt idx="3">
                  <c:v>140.69</c:v>
                </c:pt>
                <c:pt idx="4">
                  <c:v>259.13</c:v>
                </c:pt>
                <c:pt idx="5">
                  <c:v>172.67</c:v>
                </c:pt>
                <c:pt idx="6">
                  <c:v>124.96</c:v>
                </c:pt>
                <c:pt idx="7">
                  <c:v>221.78</c:v>
                </c:pt>
                <c:pt idx="8">
                  <c:v>190.5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(127,50 – 244,30)</c:v>
                </c:pt>
                <c:pt idx="1">
                  <c:v>Precio objetivo de los analistas (160,00 – 290,00)</c:v>
                </c:pt>
                <c:pt idx="2">
                  <c:v>Comparables: EV/EBITDA NTM (128,40 – 213,25)</c:v>
                </c:pt>
                <c:pt idx="3">
                  <c:v>Comparables: PER NTM (140,69 – 214,79)</c:v>
                </c:pt>
                <c:pt idx="4">
                  <c:v>Transacciones precedentes (EV/ventas) (259,13 – 367,86)</c:v>
                </c:pt>
                <c:pt idx="5">
                  <c:v>DCF (WACC y g ± 0,5) (172,67 – 219,83)</c:v>
                </c:pt>
                <c:pt idx="6">
                  <c:v>Escenarios (bajista – alcista) (124,96 – 246,83)</c:v>
                </c:pt>
                <c:pt idx="7">
                  <c:v>DCF con la prima implícita del mercado (4,2 %)</c:v>
                </c:pt>
                <c:pt idx="8">
                  <c:v>Precio actual (191,46)</c:v>
                </c:pt>
              </c:strCache>
            </c:strRef>
          </c:cat>
          <c:val>
            <c:numRef>
              <c:f>Hoja1!$C$2:$C$10</c:f>
              <c:numCache>
                <c:formatCode>#,##0</c:formatCode>
                <c:ptCount val="9"/>
                <c:pt idx="0">
                  <c:v>116.80000000000001</c:v>
                </c:pt>
                <c:pt idx="1">
                  <c:v>130</c:v>
                </c:pt>
                <c:pt idx="2">
                  <c:v>84.85</c:v>
                </c:pt>
                <c:pt idx="3">
                  <c:v>74.1</c:v>
                </c:pt>
                <c:pt idx="4">
                  <c:v>108.73000000000002</c:v>
                </c:pt>
                <c:pt idx="5">
                  <c:v>47.160000000000025</c:v>
                </c:pt>
                <c:pt idx="6">
                  <c:v>121.87000000000002</c:v>
                </c:pt>
                <c:pt idx="7">
                  <c:v>45.91999999999999</c:v>
                </c:pt>
                <c:pt idx="8">
                  <c:v>1.9199999999999875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Applications, Technology &amp; Support (ATS)</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27359</c:v>
                </c:pt>
                <c:pt idx="1">
                  <c:v>30248</c:v>
                </c:pt>
                <c:pt idx="2">
                  <c:v>32847</c:v>
                </c:pt>
              </c:numCache>
            </c:numRef>
          </c:val>
        </c:ser>
        <c:ser>
          <c:idx val="1"/>
          <c:order val="1"/>
          <c:tx>
            <c:strRef>
              <c:f>Hoja1!$C$1</c:f>
              <c:strCache>
                <c:ptCount val="1"/>
                <c:pt idx="0">
                  <c:v>Core Services</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3848</c:v>
                </c:pt>
                <c:pt idx="1">
                  <c:v>3927</c:v>
                </c:pt>
                <c:pt idx="2">
                  <c:v>3953</c:v>
                </c:pt>
              </c:numCache>
            </c:numRef>
          </c:val>
        </c:ser>
        <c:ser>
          <c:idx val="2"/>
          <c:order val="2"/>
          <c:tx>
            <c:strRef>
              <c:f>Hoja1!$D$1</c:f>
              <c:strCache>
                <c:ptCount val="1"/>
                <c:pt idx="0">
                  <c:v>No asignado (corporativo, pagos en acciones, reestructuración, amortización de adquisiciones)</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0</c:v>
                </c:pt>
                <c:pt idx="1">
                  <c:v>0</c:v>
                </c:pt>
                <c:pt idx="2">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Applications, Technology &amp; Support (ATS)</c:v>
                </c:pt>
                <c:pt idx="1">
                  <c:v>Core Services</c:v>
                </c:pt>
                <c:pt idx="2">
                  <c:v>No asignado (corporativo, pagos en acciones, reestructuración, amortización de adquisiciones)</c:v>
                </c:pt>
              </c:strCache>
            </c:strRef>
          </c:cat>
          <c:val>
            <c:numRef>
              <c:f>Hoja1!$B$2:$B$4</c:f>
              <c:numCache>
                <c:formatCode>General</c:formatCode>
                <c:ptCount val="3"/>
                <c:pt idx="0">
                  <c:v>89.3</c:v>
                </c:pt>
                <c:pt idx="1">
                  <c:v>10.7</c:v>
                </c:pt>
                <c:pt idx="2">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Alemania</c:v>
                </c:pt>
                <c:pt idx="1">
                  <c:v>Resto de EMEA</c:v>
                </c:pt>
                <c:pt idx="2">
                  <c:v>Estados Unidos</c:v>
                </c:pt>
                <c:pt idx="3">
                  <c:v>Resto de América</c:v>
                </c:pt>
                <c:pt idx="4">
                  <c:v>Japón</c:v>
                </c:pt>
                <c:pt idx="5">
                  <c:v>Resto de APJ</c:v>
                </c:pt>
              </c:strCache>
            </c:strRef>
          </c:cat>
          <c:val>
            <c:numRef>
              <c:f>Hoja1!$B$2:$B$7</c:f>
              <c:numCache>
                <c:formatCode>0"%"</c:formatCode>
                <c:ptCount val="6"/>
                <c:pt idx="0">
                  <c:v>15.8</c:v>
                </c:pt>
                <c:pt idx="1">
                  <c:v>30.4</c:v>
                </c:pt>
                <c:pt idx="2">
                  <c:v>31.4</c:v>
                </c:pt>
                <c:pt idx="3">
                  <c:v>8</c:v>
                </c:pt>
                <c:pt idx="4">
                  <c:v>4.3</c:v>
                </c:pt>
                <c:pt idx="5">
                  <c:v>10.1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(Apps Run The World))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2023</c:v>
                </c:pt>
                <c:pt idx="1">
                  <c:v>2024</c:v>
                </c:pt>
                <c:pt idx="2">
                  <c:v>2025</c:v>
                </c:pt>
                <c:pt idx="3">
                  <c:v>2026e</c:v>
                </c:pt>
                <c:pt idx="4">
                  <c:v>2027e</c:v>
                </c:pt>
                <c:pt idx="5">
                  <c:v>2028e</c:v>
                </c:pt>
                <c:pt idx="6">
                  <c:v>2029e</c:v>
                </c:pt>
                <c:pt idx="7">
                  <c:v>2030e</c:v>
                </c:pt>
              </c:strCache>
            </c:strRef>
          </c:cat>
          <c:val>
            <c:numRef>
              <c:f>Hoja1!$B$2:$B$9</c:f>
              <c:numCache>
                <c:formatCode>#,##0</c:formatCode>
                <c:ptCount val="8"/>
                <c:pt idx="0">
                  <c:v>124200</c:v>
                </c:pt>
                <c:pt idx="1">
                  <c:v>131643</c:v>
                </c:pt>
                <c:pt idx="2">
                  <c:v>145582</c:v>
                </c:pt>
                <c:pt idx="3">
                  <c:v>157100</c:v>
                </c:pt>
                <c:pt idx="4">
                  <c:v>167940</c:v>
                </c:pt>
                <c:pt idx="5">
                  <c:v>179215</c:v>
                </c:pt>
                <c:pt idx="6">
                  <c:v>190557</c:v>
                </c:pt>
                <c:pt idx="7">
                  <c:v>204664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SAP</c:v>
                </c:pt>
                <c:pt idx="1">
                  <c:v>Oracle (Fusion Cloud ERP, NetSuite)</c:v>
                </c:pt>
                <c:pt idx="2">
                  <c:v>Microsoft (Dynamics 365)</c:v>
                </c:pt>
                <c:pt idx="3">
                  <c:v>Salesforce</c:v>
                </c:pt>
                <c:pt idx="4">
                  <c:v>Workday</c:v>
                </c:pt>
                <c:pt idx="5">
                  <c:v>ServiceNow</c:v>
                </c:pt>
                <c:pt idx="6">
                  <c:v>Infor</c:v>
                </c:pt>
                <c:pt idx="7">
                  <c:v>Dassault Systèmes</c:v>
                </c:pt>
                <c:pt idx="8">
                  <c:v>Sage</c:v>
                </c:pt>
              </c:strCache>
            </c:strRef>
          </c:cat>
          <c:val>
            <c:numRef>
              <c:f>Hoja1!$B$2:$B$10</c:f>
              <c:numCache>
                <c:formatCode>0.0"%"</c:formatCode>
                <c:ptCount val="9"/>
                <c:pt idx="0">
                  <c:v>27.2</c:v>
                </c:pt>
                <c:pt idx="1">
                  <c:v>30.6</c:v>
                </c:pt>
                <c:pt idx="2">
                  <c:v>46.8</c:v>
                </c:pt>
                <c:pt idx="3">
                  <c:v>20.1</c:v>
                </c:pt>
                <c:pt idx="4">
                  <c:v>7.5</c:v>
                </c:pt>
                <c:pt idx="5">
                  <c:v>13.7</c:v>
                </c:pt>
                <c:pt idx="7">
                  <c:v>21.7</c:v>
                </c:pt>
                <c:pt idx="8">
                  <c:v>21.1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5</c:v>
                </c:pt>
                <c:pt idx="2">
                  <c:v>4</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Hoja1!$A$2:$A$20</c:f>
              <c:strCache>
                <c:ptCount val="19"/>
                <c:pt idx="0">
                  <c:v>2017</c:v>
                </c:pt>
                <c:pt idx="1">
                  <c:v>2018</c:v>
                </c:pt>
                <c:pt idx="2">
                  <c:v>2019</c:v>
                </c:pt>
                <c:pt idx="3">
                  <c:v>2020</c:v>
                </c:pt>
                <c:pt idx="4">
                  <c:v>2021</c:v>
                </c:pt>
                <c:pt idx="5">
                  <c:v>2022</c:v>
                </c:pt>
                <c:pt idx="6">
                  <c:v>2023</c:v>
                </c:pt>
                <c:pt idx="7">
                  <c:v>2024</c:v>
                </c:pt>
                <c:pt idx="8">
                  <c:v>2025</c:v>
                </c:pt>
                <c:pt idx="9">
                  <c:v>2026e</c:v>
                </c:pt>
                <c:pt idx="10">
                  <c:v>2027e</c:v>
                </c:pt>
                <c:pt idx="11">
                  <c:v>2028e</c:v>
                </c:pt>
                <c:pt idx="12">
                  <c:v>2029e</c:v>
                </c:pt>
                <c:pt idx="13">
                  <c:v>2030e</c:v>
                </c:pt>
                <c:pt idx="14">
                  <c:v>2031e</c:v>
                </c:pt>
                <c:pt idx="15">
                  <c:v>2032e</c:v>
                </c:pt>
                <c:pt idx="16">
                  <c:v>2033e</c:v>
                </c:pt>
                <c:pt idx="17">
                  <c:v>2034e</c:v>
                </c:pt>
                <c:pt idx="18">
                  <c:v>2035e</c:v>
                </c:pt>
              </c:strCache>
            </c:strRef>
          </c:cat>
          <c:val>
            <c:numRef>
              <c:f>Hoja1!$B$2:$B$20</c:f>
              <c:numCache>
                <c:formatCode>#,##0</c:formatCode>
                <c:ptCount val="19"/>
                <c:pt idx="0">
                  <c:v>23461</c:v>
                </c:pt>
                <c:pt idx="1">
                  <c:v>24708</c:v>
                </c:pt>
                <c:pt idx="2">
                  <c:v>27553</c:v>
                </c:pt>
                <c:pt idx="3">
                  <c:v>27338</c:v>
                </c:pt>
                <c:pt idx="4">
                  <c:v>26953</c:v>
                </c:pt>
                <c:pt idx="5">
                  <c:v>29520</c:v>
                </c:pt>
                <c:pt idx="6">
                  <c:v>31207</c:v>
                </c:pt>
                <c:pt idx="7">
                  <c:v>34176</c:v>
                </c:pt>
                <c:pt idx="8">
                  <c:v>36800</c:v>
                </c:pt>
                <c:pt idx="9">
                  <c:v>40112</c:v>
                </c:pt>
                <c:pt idx="10">
                  <c:v>44725</c:v>
                </c:pt>
                <c:pt idx="11">
                  <c:v>49868</c:v>
                </c:pt>
                <c:pt idx="12">
                  <c:v>55104</c:v>
                </c:pt>
                <c:pt idx="13">
                  <c:v>60339</c:v>
                </c:pt>
                <c:pt idx="14">
                  <c:v>65166</c:v>
                </c:pt>
                <c:pt idx="15">
                  <c:v>69728</c:v>
                </c:pt>
                <c:pt idx="16">
                  <c:v>73912</c:v>
                </c:pt>
                <c:pt idx="17">
                  <c:v>77607</c:v>
                </c:pt>
                <c:pt idx="18">
                  <c:v>80712</c:v>
                </c:pt>
              </c:numCache>
            </c:numRef>
          </c:val>
        </c:ser>
        <c:ser>
          <c:idx val="1"/>
          <c:order val="1"/>
          <c:tx>
            <c:strRef>
              <c:f>Hoja1!$C$1</c:f>
              <c:strCache>
                <c:ptCount val="1"/>
                <c:pt idx="0">
                  <c:v>EBITDA</c:v>
                </c:pt>
              </c:strCache>
            </c:strRef>
          </c:tx>
          <c:spPr>
            <a:solidFill>
              <a:srgbClr val="EB6834"/>
            </a:solidFill>
            <a:ln w="9525">
              <a:noFill/>
            </a:ln>
          </c:spPr>
          <c:invertIfNegative val="0"/>
          <c:cat>
            <c:strRef>
              <c:f>Hoja1!$A$2:$A$20</c:f>
              <c:strCache>
                <c:ptCount val="19"/>
                <c:pt idx="0">
                  <c:v>2017</c:v>
                </c:pt>
                <c:pt idx="1">
                  <c:v>2018</c:v>
                </c:pt>
                <c:pt idx="2">
                  <c:v>2019</c:v>
                </c:pt>
                <c:pt idx="3">
                  <c:v>2020</c:v>
                </c:pt>
                <c:pt idx="4">
                  <c:v>2021</c:v>
                </c:pt>
                <c:pt idx="5">
                  <c:v>2022</c:v>
                </c:pt>
                <c:pt idx="6">
                  <c:v>2023</c:v>
                </c:pt>
                <c:pt idx="7">
                  <c:v>2024</c:v>
                </c:pt>
                <c:pt idx="8">
                  <c:v>2025</c:v>
                </c:pt>
                <c:pt idx="9">
                  <c:v>2026e</c:v>
                </c:pt>
                <c:pt idx="10">
                  <c:v>2027e</c:v>
                </c:pt>
                <c:pt idx="11">
                  <c:v>2028e</c:v>
                </c:pt>
                <c:pt idx="12">
                  <c:v>2029e</c:v>
                </c:pt>
                <c:pt idx="13">
                  <c:v>2030e</c:v>
                </c:pt>
                <c:pt idx="14">
                  <c:v>2031e</c:v>
                </c:pt>
                <c:pt idx="15">
                  <c:v>2032e</c:v>
                </c:pt>
                <c:pt idx="16">
                  <c:v>2033e</c:v>
                </c:pt>
                <c:pt idx="17">
                  <c:v>2034e</c:v>
                </c:pt>
                <c:pt idx="18">
                  <c:v>2035e</c:v>
                </c:pt>
              </c:strCache>
            </c:strRef>
          </c:cat>
          <c:val>
            <c:numRef>
              <c:f>Hoja1!$C$2:$C$20</c:f>
              <c:numCache>
                <c:formatCode>#,##0</c:formatCode>
                <c:ptCount val="19"/>
                <c:pt idx="0">
                  <c:v>6149</c:v>
                </c:pt>
                <c:pt idx="1">
                  <c:v>7065</c:v>
                </c:pt>
                <c:pt idx="2">
                  <c:v>7475</c:v>
                </c:pt>
                <c:pt idx="3">
                  <c:v>8454</c:v>
                </c:pt>
                <c:pt idx="4">
                  <c:v>7845</c:v>
                </c:pt>
                <c:pt idx="5">
                  <c:v>7483</c:v>
                </c:pt>
                <c:pt idx="6">
                  <c:v>7172</c:v>
                </c:pt>
                <c:pt idx="7">
                  <c:v>9089</c:v>
                </c:pt>
                <c:pt idx="8">
                  <c:v>11318</c:v>
                </c:pt>
                <c:pt idx="9">
                  <c:v>12635</c:v>
                </c:pt>
                <c:pt idx="10">
                  <c:v>14536</c:v>
                </c:pt>
                <c:pt idx="11">
                  <c:v>16706</c:v>
                </c:pt>
                <c:pt idx="12">
                  <c:v>19011</c:v>
                </c:pt>
                <c:pt idx="13">
                  <c:v>21420</c:v>
                </c:pt>
                <c:pt idx="14">
                  <c:v>23460</c:v>
                </c:pt>
                <c:pt idx="15">
                  <c:v>25102</c:v>
                </c:pt>
                <c:pt idx="16">
                  <c:v>26608</c:v>
                </c:pt>
                <c:pt idx="17">
                  <c:v>27939</c:v>
                </c:pt>
                <c:pt idx="18">
                  <c:v>29056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69.9</c:v>
                </c:pt>
                <c:pt idx="1">
                  <c:v>69.8</c:v>
                </c:pt>
                <c:pt idx="2">
                  <c:v>69.7</c:v>
                </c:pt>
                <c:pt idx="3">
                  <c:v>71.2</c:v>
                </c:pt>
                <c:pt idx="4">
                  <c:v>73.2</c:v>
                </c:pt>
                <c:pt idx="5">
                  <c:v>72.8</c:v>
                </c:pt>
                <c:pt idx="6">
                  <c:v>72.2</c:v>
                </c:pt>
                <c:pt idx="7">
                  <c:v>73</c:v>
                </c:pt>
                <c:pt idx="8">
                  <c:v>72.9</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26.2</c:v>
                </c:pt>
                <c:pt idx="1">
                  <c:v>28.6</c:v>
                </c:pt>
                <c:pt idx="2">
                  <c:v>27.1</c:v>
                </c:pt>
                <c:pt idx="3">
                  <c:v>30.9</c:v>
                </c:pt>
                <c:pt idx="4">
                  <c:v>29.1</c:v>
                </c:pt>
                <c:pt idx="5">
                  <c:v>25.3</c:v>
                </c:pt>
                <c:pt idx="6">
                  <c:v>23</c:v>
                </c:pt>
                <c:pt idx="7">
                  <c:v>26.6</c:v>
                </c:pt>
                <c:pt idx="8">
                  <c:v>30.8</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Hoja1!$D$2:$D$10</c:f>
              <c:numCache>
                <c:formatCode>0"%"</c:formatCode>
                <c:ptCount val="9"/>
                <c:pt idx="0">
                  <c:v>20.8</c:v>
                </c:pt>
                <c:pt idx="1">
                  <c:v>23.1</c:v>
                </c:pt>
                <c:pt idx="2">
                  <c:v>20.3</c:v>
                </c:pt>
                <c:pt idx="3">
                  <c:v>24.2</c:v>
                </c:pt>
                <c:pt idx="4">
                  <c:v>23.4</c:v>
                </c:pt>
                <c:pt idx="5">
                  <c:v>20</c:v>
                </c:pt>
                <c:pt idx="6">
                  <c:v>18.6</c:v>
                </c:pt>
                <c:pt idx="7">
                  <c:v>22.8</c:v>
                </c:pt>
                <c:pt idx="8">
                  <c:v>27.2</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Hoja1!$E$2:$E$10</c:f>
              <c:numCache>
                <c:formatCode>0"%"</c:formatCode>
                <c:ptCount val="9"/>
                <c:pt idx="0">
                  <c:v>17.1</c:v>
                </c:pt>
                <c:pt idx="1">
                  <c:v>16.5</c:v>
                </c:pt>
                <c:pt idx="2">
                  <c:v>12.1</c:v>
                </c:pt>
                <c:pt idx="3">
                  <c:v>18.8</c:v>
                </c:pt>
                <c:pt idx="4">
                  <c:v>23.9</c:v>
                </c:pt>
                <c:pt idx="5">
                  <c:v>11.1</c:v>
                </c:pt>
                <c:pt idx="6">
                  <c:v>11.6</c:v>
                </c:pt>
                <c:pt idx="7">
                  <c:v>9.1</c:v>
                </c:pt>
                <c:pt idx="8">
                  <c:v>19.5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9</c:v>
                </c:pt>
                <c:pt idx="1">
                  <c:v>11</c:v>
                </c:pt>
                <c:pt idx="2">
                  <c:v>12</c:v>
                </c:pt>
                <c:pt idx="3">
                  <c:v>9</c:v>
                </c:pt>
                <c:pt idx="4">
                  <c:v>7</c:v>
                </c:pt>
                <c:pt idx="5">
                  <c:v>3</c:v>
                </c:pt>
                <c:pt idx="6">
                  <c:v>6</c:v>
                </c:pt>
                <c:pt idx="7">
                  <c:v>9</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10</c:v>
                </c:pt>
                <c:pt idx="1">
                  <c:v>10</c:v>
                </c:pt>
                <c:pt idx="2">
                  <c:v>11</c:v>
                </c:pt>
                <c:pt idx="3">
                  <c:v>12</c:v>
                </c:pt>
                <c:pt idx="4">
                  <c:v>11</c:v>
                </c:pt>
                <c:pt idx="5">
                  <c:v>9</c:v>
                </c:pt>
                <c:pt idx="6">
                  <c:v>12</c:v>
                </c:pt>
                <c:pt idx="7">
                  <c:v>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92</c:v>
                </c:pt>
                <c:pt idx="1">
                  <c:v>94</c:v>
                </c:pt>
                <c:pt idx="2">
                  <c:v>105</c:v>
                </c:pt>
                <c:pt idx="3">
                  <c:v>88</c:v>
                </c:pt>
                <c:pt idx="4">
                  <c:v>86</c:v>
                </c:pt>
                <c:pt idx="5">
                  <c:v>77</c:v>
                </c:pt>
                <c:pt idx="6">
                  <c:v>74</c:v>
                </c:pt>
                <c:pt idx="7">
                  <c:v>72</c:v>
                </c:pt>
                <c:pt idx="8">
                  <c:v>66</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0</c:v>
                </c:pt>
                <c:pt idx="1">
                  <c:v>0</c:v>
                </c:pt>
                <c:pt idx="2">
                  <c:v>0</c:v>
                </c:pt>
                <c:pt idx="3">
                  <c:v>0</c:v>
                </c:pt>
                <c:pt idx="4">
                  <c:v>0</c:v>
                </c:pt>
                <c:pt idx="5">
                  <c:v>0</c:v>
                </c:pt>
                <c:pt idx="6">
                  <c:v>0</c:v>
                </c:pt>
                <c:pt idx="7">
                  <c:v>0</c:v>
                </c:pt>
                <c:pt idx="8">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Hoja1!$D$2:$D$10</c:f>
              <c:numCache>
                <c:formatCode>0</c:formatCode>
                <c:ptCount val="9"/>
                <c:pt idx="0">
                  <c:v>49</c:v>
                </c:pt>
                <c:pt idx="1">
                  <c:v>62</c:v>
                </c:pt>
                <c:pt idx="2">
                  <c:v>56</c:v>
                </c:pt>
                <c:pt idx="3">
                  <c:v>47</c:v>
                </c:pt>
                <c:pt idx="4">
                  <c:v>55</c:v>
                </c:pt>
                <c:pt idx="5">
                  <c:v>68</c:v>
                </c:pt>
                <c:pt idx="6">
                  <c:v>43</c:v>
                </c:pt>
                <c:pt idx="7">
                  <c:v>47</c:v>
                </c:pt>
                <c:pt idx="8">
                  <c:v>54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3770</c:v>
                </c:pt>
                <c:pt idx="1">
                  <c:v>2845</c:v>
                </c:pt>
                <c:pt idx="2">
                  <c:v>2276</c:v>
                </c:pt>
                <c:pt idx="3">
                  <c:v>6000</c:v>
                </c:pt>
                <c:pt idx="4">
                  <c:v>5048</c:v>
                </c:pt>
                <c:pt idx="5">
                  <c:v>4360</c:v>
                </c:pt>
                <c:pt idx="6">
                  <c:v>4736</c:v>
                </c:pt>
                <c:pt idx="7">
                  <c:v>3550</c:v>
                </c:pt>
                <c:pt idx="8">
                  <c:v>7544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4008</c:v>
                </c:pt>
                <c:pt idx="1">
                  <c:v>4083</c:v>
                </c:pt>
                <c:pt idx="2">
                  <c:v>3321</c:v>
                </c:pt>
                <c:pt idx="3">
                  <c:v>5145</c:v>
                </c:pt>
                <c:pt idx="4">
                  <c:v>6429</c:v>
                </c:pt>
                <c:pt idx="5">
                  <c:v>3278</c:v>
                </c:pt>
                <c:pt idx="6">
                  <c:v>3633</c:v>
                </c:pt>
                <c:pt idx="7">
                  <c:v>3124</c:v>
                </c:pt>
                <c:pt idx="8">
                  <c:v>7161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14.1</c:v>
                </c:pt>
                <c:pt idx="1">
                  <c:v>14</c:v>
                </c:pt>
                <c:pt idx="2">
                  <c:v>11.3</c:v>
                </c:pt>
                <c:pt idx="3">
                  <c:v>11.9</c:v>
                </c:pt>
                <c:pt idx="4">
                  <c:v>11.5</c:v>
                </c:pt>
                <c:pt idx="5">
                  <c:v>8.4</c:v>
                </c:pt>
                <c:pt idx="6">
                  <c:v>8.5</c:v>
                </c:pt>
                <c:pt idx="7">
                  <c:v>11.2</c:v>
                </c:pt>
                <c:pt idx="8">
                  <c:v>15.5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9.3</c:v>
                </c:pt>
                <c:pt idx="1">
                  <c:v>9.3</c:v>
                </c:pt>
                <c:pt idx="2">
                  <c:v>9.3</c:v>
                </c:pt>
                <c:pt idx="3">
                  <c:v>9.3</c:v>
                </c:pt>
                <c:pt idx="4">
                  <c:v>9.3</c:v>
                </c:pt>
                <c:pt idx="5">
                  <c:v>9.3</c:v>
                </c:pt>
                <c:pt idx="6">
                  <c:v>9.3</c:v>
                </c:pt>
                <c:pt idx="7">
                  <c:v>9.3</c:v>
                </c:pt>
                <c:pt idx="8">
                  <c:v>9.3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Hoja1!$D$2:$D$10</c:f>
              <c:numCache>
                <c:formatCode>0"%"</c:formatCode>
                <c:ptCount val="9"/>
                <c:pt idx="0">
                  <c:v>15.7</c:v>
                </c:pt>
                <c:pt idx="1">
                  <c:v>15</c:v>
                </c:pt>
                <c:pt idx="2">
                  <c:v>11.1</c:v>
                </c:pt>
                <c:pt idx="3">
                  <c:v>17</c:v>
                </c:pt>
                <c:pt idx="4">
                  <c:v>18.8</c:v>
                </c:pt>
                <c:pt idx="5">
                  <c:v>8.3</c:v>
                </c:pt>
                <c:pt idx="6">
                  <c:v>8.7</c:v>
                </c:pt>
                <c:pt idx="7">
                  <c:v>7.1</c:v>
                </c:pt>
                <c:pt idx="8">
                  <c:v>15.9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0.0"x"</c:formatCode>
                <c:ptCount val="9"/>
                <c:pt idx="0">
                  <c:v>0.37</c:v>
                </c:pt>
                <c:pt idx="1">
                  <c:v>0.38</c:v>
                </c:pt>
                <c:pt idx="2">
                  <c:v>1.41</c:v>
                </c:pt>
                <c:pt idx="3">
                  <c:v>1.19</c:v>
                </c:pt>
                <c:pt idx="4">
                  <c:v>0.81</c:v>
                </c:pt>
                <c:pt idx="5">
                  <c:v>0.65</c:v>
                </c:pt>
                <c:pt idx="6">
                  <c:v>0.17</c:v>
                </c:pt>
                <c:pt idx="7">
                  <c:v>0.16</c:v>
                </c:pt>
                <c:pt idx="8">
                  <c:v>-0.03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1598</c:v>
                </c:pt>
                <c:pt idx="1">
                  <c:v>1000</c:v>
                </c:pt>
                <c:pt idx="2">
                  <c:v>1000</c:v>
                </c:pt>
                <c:pt idx="3">
                  <c:v>800</c:v>
                </c:pt>
                <c:pt idx="4">
                  <c:v>500</c:v>
                </c:pt>
                <c:pt idx="5">
                  <c:v>1250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291</c:v>
                </c:pt>
                <c:pt idx="1">
                  <c:v>2036</c:v>
                </c:pt>
                <c:pt idx="2">
                  <c:v>6215</c:v>
                </c:pt>
                <c:pt idx="3">
                  <c:v>662</c:v>
                </c:pt>
                <c:pt idx="4">
                  <c:v>1142</c:v>
                </c:pt>
                <c:pt idx="5">
                  <c:v>679</c:v>
                </c:pt>
                <c:pt idx="6">
                  <c:v>1168</c:v>
                </c:pt>
                <c:pt idx="7">
                  <c:v>1114</c:v>
                </c:pt>
                <c:pt idx="8">
                  <c:v>702</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1565</c:v>
                </c:pt>
                <c:pt idx="1">
                  <c:v>1684</c:v>
                </c:pt>
                <c:pt idx="2">
                  <c:v>1810</c:v>
                </c:pt>
                <c:pt idx="3">
                  <c:v>1866</c:v>
                </c:pt>
                <c:pt idx="4">
                  <c:v>2271</c:v>
                </c:pt>
                <c:pt idx="5">
                  <c:v>2895</c:v>
                </c:pt>
                <c:pt idx="6">
                  <c:v>2417</c:v>
                </c:pt>
                <c:pt idx="7">
                  <c:v>2566</c:v>
                </c:pt>
                <c:pt idx="8">
                  <c:v>2746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Hoja1!$D$2:$D$10</c:f>
              <c:numCache>
                <c:formatCode>#,##0</c:formatCode>
                <c:ptCount val="9"/>
                <c:pt idx="0">
                  <c:v>500</c:v>
                </c:pt>
                <c:pt idx="1">
                  <c:v>0</c:v>
                </c:pt>
                <c:pt idx="2">
                  <c:v>0</c:v>
                </c:pt>
                <c:pt idx="3">
                  <c:v>1492</c:v>
                </c:pt>
                <c:pt idx="4">
                  <c:v>0</c:v>
                </c:pt>
                <c:pt idx="5">
                  <c:v>1500</c:v>
                </c:pt>
                <c:pt idx="6">
                  <c:v>949</c:v>
                </c:pt>
                <c:pt idx="7">
                  <c:v>2106</c:v>
                </c:pt>
                <c:pt idx="8">
                  <c:v>1937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Independiente</c:v>
                </c:pt>
                <c:pt idx="1">
                  <c:v>Otro externo</c:v>
                </c:pt>
                <c:pt idx="2">
                  <c:v>Dominical</c:v>
                </c:pt>
              </c:strCache>
            </c:strRef>
          </c:cat>
          <c:val>
            <c:numRef>
              <c:f>Hoja1!$B$2:$B$4</c:f>
              <c:numCache>
                <c:formatCode>0</c:formatCode>
                <c:ptCount val="3"/>
                <c:pt idx="0">
                  <c:v>8</c:v>
                </c:pt>
                <c:pt idx="1">
                  <c:v>9</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BlackRock, Inc.</c:v>
                </c:pt>
                <c:pt idx="1">
                  <c:v>Hasso Plattner Foundation (Hasso Plattner y sociedades HPC)</c:v>
                </c:pt>
                <c:pt idx="2">
                  <c:v>Dietmar Hopp (conjuntamente)</c:v>
                </c:pt>
                <c:pt idx="3">
                  <c:v>Autocartera</c:v>
                </c:pt>
                <c:pt idx="4">
                  <c:v>Executive Board y Supervisory Board</c:v>
                </c:pt>
              </c:strCache>
            </c:strRef>
          </c:cat>
          <c:val>
            <c:numRef>
              <c:f>Hoja1!$B$2:$B$6</c:f>
              <c:numCache>
                <c:formatCode>0.0"%"</c:formatCode>
                <c:ptCount val="5"/>
                <c:pt idx="0">
                  <c:v>6.75</c:v>
                </c:pt>
                <c:pt idx="1">
                  <c:v>6.6</c:v>
                </c:pt>
                <c:pt idx="2">
                  <c:v>5.1</c:v>
                </c:pt>
                <c:pt idx="3">
                  <c:v>6.05</c:v>
                </c:pt>
                <c:pt idx="4">
                  <c:v>0.01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14.8</c:v>
                </c:pt>
                <c:pt idx="1">
                  <c:v>14.4</c:v>
                </c:pt>
                <c:pt idx="2">
                  <c:v>-5.6</c:v>
                </c:pt>
                <c:pt idx="3">
                  <c:v>40.3</c:v>
                </c:pt>
                <c:pt idx="4">
                  <c:v>-9.6</c:v>
                </c:pt>
                <c:pt idx="5">
                  <c:v>18.4</c:v>
                </c:pt>
                <c:pt idx="6">
                  <c:v>-20.7</c:v>
                </c:pt>
                <c:pt idx="7">
                  <c:v>47.2</c:v>
                </c:pt>
                <c:pt idx="8">
                  <c:v>71.6</c:v>
                </c:pt>
                <c:pt idx="9">
                  <c:v>-11</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5.7</c:v>
                </c:pt>
                <c:pt idx="1">
                  <c:v>11.7</c:v>
                </c:pt>
                <c:pt idx="2">
                  <c:v>-18.8</c:v>
                </c:pt>
                <c:pt idx="3">
                  <c:v>24.7</c:v>
                </c:pt>
                <c:pt idx="4">
                  <c:v>3</c:v>
                </c:pt>
                <c:pt idx="5">
                  <c:v>15.2</c:v>
                </c:pt>
                <c:pt idx="6">
                  <c:v>-12.8</c:v>
                </c:pt>
                <c:pt idx="7">
                  <c:v>19.5</c:v>
                </c:pt>
                <c:pt idx="8">
                  <c:v>18.1</c:v>
                </c:pt>
                <c:pt idx="9">
                  <c:v>22.6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1">
                  <c:v>18.6</c:v>
                </c:pt>
                <c:pt idx="2">
                  <c:v>15.1</c:v>
                </c:pt>
                <c:pt idx="3">
                  <c:v>20.6</c:v>
                </c:pt>
                <c:pt idx="4">
                  <c:v>16.2</c:v>
                </c:pt>
                <c:pt idx="5">
                  <c:v>19.9</c:v>
                </c:pt>
                <c:pt idx="6">
                  <c:v>16.1</c:v>
                </c:pt>
                <c:pt idx="7">
                  <c:v>23.2</c:v>
                </c:pt>
                <c:pt idx="8">
                  <c:v>30.9</c:v>
                </c:pt>
                <c:pt idx="9">
                  <c:v>21.6</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19.9</c:v>
                </c:pt>
                <c:pt idx="1">
                  <c:v>19.9</c:v>
                </c:pt>
                <c:pt idx="2">
                  <c:v>19.9</c:v>
                </c:pt>
                <c:pt idx="3">
                  <c:v>19.9</c:v>
                </c:pt>
                <c:pt idx="4">
                  <c:v>19.9</c:v>
                </c:pt>
                <c:pt idx="5">
                  <c:v>19.9</c:v>
                </c:pt>
                <c:pt idx="6">
                  <c:v>19.9</c:v>
                </c:pt>
                <c:pt idx="7">
                  <c:v>19.9</c:v>
                </c:pt>
                <c:pt idx="8">
                  <c:v>19.9</c:v>
                </c:pt>
                <c:pt idx="9">
                  <c:v>19.9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SAP</c:v>
                </c:pt>
                <c:pt idx="1">
                  <c:v>Microsoft</c:v>
                </c:pt>
                <c:pt idx="2">
                  <c:v>Oracle</c:v>
                </c:pt>
                <c:pt idx="3">
                  <c:v>Salesforce</c:v>
                </c:pt>
                <c:pt idx="4">
                  <c:v>ServiceNow</c:v>
                </c:pt>
                <c:pt idx="5">
                  <c:v>Adobe</c:v>
                </c:pt>
                <c:pt idx="6">
                  <c:v>Intuit</c:v>
                </c:pt>
                <c:pt idx="7">
                  <c:v>Workday</c:v>
                </c:pt>
                <c:pt idx="8">
                  <c:v>Dassault Systèmes</c:v>
                </c:pt>
              </c:strCache>
            </c:strRef>
          </c:cat>
          <c:val>
            <c:numRef>
              <c:f>Hoja1!$B$2:$B$10</c:f>
              <c:numCache>
                <c:formatCode>0.0"x"</c:formatCode>
                <c:ptCount val="9"/>
                <c:pt idx="0">
                  <c:v>15.1</c:v>
                </c:pt>
                <c:pt idx="1">
                  <c:v>15.5</c:v>
                </c:pt>
                <c:pt idx="2">
                  <c:v>10.1</c:v>
                </c:pt>
                <c:pt idx="3">
                  <c:v>12.3</c:v>
                </c:pt>
                <c:pt idx="4">
                  <c:v>33</c:v>
                </c:pt>
                <c:pt idx="5">
                  <c:v>8.3</c:v>
                </c:pt>
                <c:pt idx="6">
                  <c:v>9.7</c:v>
                </c:pt>
                <c:pt idx="7">
                  <c:v>21.1</c:v>
                </c:pt>
                <c:pt idx="8">
                  <c:v>11.2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SAP</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11.6</c:v>
                </c:pt>
              </c:numCache>
            </c:numRef>
          </c:xVal>
          <c:yVal>
            <c:numRef>
              <c:f>Hoja1!$C$2</c:f>
              <c:numCache>
                <c:formatCode>0.0"x"</c:formatCode>
                <c:ptCount val="1"/>
                <c:pt idx="0">
                  <c:v>15.1</c:v>
                </c:pt>
              </c:numCache>
            </c:numRef>
          </c:yVal>
          <c:smooth val="0"/>
        </c:ser>
        <c:ser>
          <c:idx val="1"/>
          <c:order val="1"/>
          <c:tx>
            <c:strRef>
              <c:f>Hoja1!$A$3</c:f>
              <c:strCache>
                <c:ptCount val="1"/>
                <c:pt idx="0">
                  <c:v>Microsoft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18.4</c:v>
                </c:pt>
              </c:numCache>
            </c:numRef>
          </c:xVal>
          <c:yVal>
            <c:numRef>
              <c:f>Hoja1!$C$3</c:f>
              <c:numCache>
                <c:formatCode>0.0"x"</c:formatCode>
                <c:ptCount val="1"/>
                <c:pt idx="0">
                  <c:v>15.5</c:v>
                </c:pt>
              </c:numCache>
            </c:numRef>
          </c:yVal>
          <c:smooth val="0"/>
        </c:ser>
        <c:ser>
          <c:idx val="2"/>
          <c:order val="2"/>
          <c:tx>
            <c:strRef>
              <c:f>Hoja1!$A$4</c:f>
              <c:strCache>
                <c:ptCount val="1"/>
                <c:pt idx="0">
                  <c:v>Oracle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38.8</c:v>
                </c:pt>
              </c:numCache>
            </c:numRef>
          </c:xVal>
          <c:yVal>
            <c:numRef>
              <c:f>Hoja1!$C$4</c:f>
              <c:numCache>
                <c:formatCode>0.0"x"</c:formatCode>
                <c:ptCount val="1"/>
                <c:pt idx="0">
                  <c:v>10.1</c:v>
                </c:pt>
              </c:numCache>
            </c:numRef>
          </c:yVal>
          <c:smooth val="0"/>
        </c:ser>
        <c:ser>
          <c:idx val="3"/>
          <c:order val="3"/>
          <c:tx>
            <c:strRef>
              <c:f>Hoja1!$A$5</c:f>
              <c:strCache>
                <c:ptCount val="1"/>
                <c:pt idx="0">
                  <c:v>Salesforce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10.3</c:v>
                </c:pt>
              </c:numCache>
            </c:numRef>
          </c:xVal>
          <c:yVal>
            <c:numRef>
              <c:f>Hoja1!$C$5</c:f>
              <c:numCache>
                <c:formatCode>0.0"x"</c:formatCode>
                <c:ptCount val="1"/>
                <c:pt idx="0">
                  <c:v>12.3</c:v>
                </c:pt>
              </c:numCache>
            </c:numRef>
          </c:yVal>
          <c:smooth val="0"/>
        </c:ser>
        <c:ser>
          <c:idx val="4"/>
          <c:order val="4"/>
          <c:tx>
            <c:strRef>
              <c:f>Hoja1!$A$6</c:f>
              <c:strCache>
                <c:ptCount val="1"/>
                <c:pt idx="0">
                  <c:v>ServiceNow</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19.5</c:v>
                </c:pt>
              </c:numCache>
            </c:numRef>
          </c:xVal>
          <c:yVal>
            <c:numRef>
              <c:f>Hoja1!$C$6</c:f>
              <c:numCache>
                <c:formatCode>0.0"x"</c:formatCode>
                <c:ptCount val="1"/>
                <c:pt idx="0">
                  <c:v>33</c:v>
                </c:pt>
              </c:numCache>
            </c:numRef>
          </c:yVal>
          <c:smooth val="0"/>
        </c:ser>
        <c:ser>
          <c:idx val="5"/>
          <c:order val="5"/>
          <c:tx>
            <c:strRef>
              <c:f>Hoja1!$A$7</c:f>
              <c:strCache>
                <c:ptCount val="1"/>
                <c:pt idx="0">
                  <c:v>Adobe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9.6</c:v>
                </c:pt>
              </c:numCache>
            </c:numRef>
          </c:xVal>
          <c:yVal>
            <c:numRef>
              <c:f>Hoja1!$C$7</c:f>
              <c:numCache>
                <c:formatCode>0.0"x"</c:formatCode>
                <c:ptCount val="1"/>
                <c:pt idx="0">
                  <c:v>8.3</c:v>
                </c:pt>
              </c:numCache>
            </c:numRef>
          </c:yVal>
          <c:smooth val="0"/>
        </c:ser>
        <c:ser>
          <c:idx val="6"/>
          <c:order val="6"/>
          <c:tx>
            <c:strRef>
              <c:f>Hoja1!$A$8</c:f>
              <c:strCache>
                <c:ptCount val="1"/>
                <c:pt idx="0">
                  <c:v>Intuit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9.2</c:v>
                </c:pt>
              </c:numCache>
            </c:numRef>
          </c:xVal>
          <c:yVal>
            <c:numRef>
              <c:f>Hoja1!$C$8</c:f>
              <c:numCache>
                <c:formatCode>0.0"x"</c:formatCode>
                <c:ptCount val="1"/>
                <c:pt idx="0">
                  <c:v>9.7</c:v>
                </c:pt>
              </c:numCache>
            </c:numRef>
          </c:yVal>
          <c:smooth val="0"/>
        </c:ser>
        <c:ser>
          <c:idx val="7"/>
          <c:order val="7"/>
          <c:tx>
            <c:strRef>
              <c:f>Hoja1!$A$9</c:f>
              <c:strCache>
                <c:ptCount val="1"/>
                <c:pt idx="0">
                  <c:v>Workday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10.8</c:v>
                </c:pt>
              </c:numCache>
            </c:numRef>
          </c:xVal>
          <c:yVal>
            <c:numRef>
              <c:f>Hoja1!$C$9</c:f>
              <c:numCache>
                <c:formatCode>0.0"x"</c:formatCode>
                <c:ptCount val="1"/>
                <c:pt idx="0">
                  <c:v>21.1</c:v>
                </c:pt>
              </c:numCache>
            </c:numRef>
          </c:yVal>
          <c:smooth val="0"/>
        </c:ser>
        <c:ser>
          <c:idx val="8"/>
          <c:order val="8"/>
          <c:tx>
            <c:strRef>
              <c:f>Hoja1!$A$10</c:f>
              <c:strCache>
                <c:ptCount val="1"/>
                <c:pt idx="0">
                  <c:v>Dassault Systèmes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5.3</c:v>
                </c:pt>
              </c:numCache>
            </c:numRef>
          </c:xVal>
          <c:yVal>
            <c:numRef>
              <c:f>Hoja1!$C$10</c:f>
              <c:numCache>
                <c:formatCode>0.0"x"</c:formatCode>
                <c:ptCount val="1"/>
                <c:pt idx="0">
                  <c:v>11.2</c:v>
                </c:pt>
              </c:numCache>
            </c:numRef>
          </c:yVal>
          <c:smooth val="0"/>
        </c:ser>
        <c:axId val="10"/>
        <c:axId val="20"/>
      </c:scatterChart>
      <c:valAx>
        <c:axId val="10"/>
        <c:scaling>
          <c:orientation val="minMax"/>
          <c:max val="5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8378</c:v>
                </c:pt>
                <c:pt idx="1">
                  <c:v>9733</c:v>
                </c:pt>
                <c:pt idx="2">
                  <c:v>11195</c:v>
                </c:pt>
                <c:pt idx="3">
                  <c:v>12731</c:v>
                </c:pt>
                <c:pt idx="4">
                  <c:v>14334</c:v>
                </c:pt>
                <c:pt idx="5">
                  <c:v>15662</c:v>
                </c:pt>
                <c:pt idx="6">
                  <c:v>16735</c:v>
                </c:pt>
                <c:pt idx="7">
                  <c:v>17713</c:v>
                </c:pt>
                <c:pt idx="8">
                  <c:v>18570</c:v>
                </c:pt>
                <c:pt idx="9">
                  <c:v>19284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89144</c:v>
                </c:pt>
                <c:pt idx="1">
                  <c:v>128113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191,46</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124.96</c:v>
                </c:pt>
                <c:pt idx="1">
                  <c:v>192.86</c:v>
                </c:pt>
                <c:pt idx="2">
                  <c:v>246.83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191,46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(127,50 – 244,30)</c:v>
                </c:pt>
                <c:pt idx="1">
                  <c:v>Precio objetivo de los analistas (160,00 – 290,00)</c:v>
                </c:pt>
                <c:pt idx="2">
                  <c:v>Comparables: EV/EBITDA NTM (128,40 – 213,25)</c:v>
                </c:pt>
                <c:pt idx="3">
                  <c:v>Comparables: PER NTM (140,69 – 214,79)</c:v>
                </c:pt>
                <c:pt idx="4">
                  <c:v>Transacciones precedentes (EV/ventas) (259,13 – 367,86)</c:v>
                </c:pt>
                <c:pt idx="5">
                  <c:v>DCF (WACC y g ± 0,5) (172,67 – 219,83)</c:v>
                </c:pt>
                <c:pt idx="6">
                  <c:v>Escenarios (bajista – alcista) (124,96 – 246,83)</c:v>
                </c:pt>
                <c:pt idx="7">
                  <c:v>DCF con la prima implícita del mercado (4,2 %)</c:v>
                </c:pt>
                <c:pt idx="8">
                  <c:v>Precio actual (191,46)</c:v>
                </c:pt>
              </c:strCache>
            </c:strRef>
          </c:cat>
          <c:val>
            <c:numRef>
              <c:f>Hoja1!$B$2:$B$10</c:f>
              <c:numCache>
                <c:formatCode>#,##0</c:formatCode>
                <c:ptCount val="9"/>
                <c:pt idx="0">
                  <c:v>127.5</c:v>
                </c:pt>
                <c:pt idx="1">
                  <c:v>160</c:v>
                </c:pt>
                <c:pt idx="2">
                  <c:v>128.4</c:v>
                </c:pt>
                <c:pt idx="3">
                  <c:v>140.69</c:v>
                </c:pt>
                <c:pt idx="4">
                  <c:v>259.13</c:v>
                </c:pt>
                <c:pt idx="5">
                  <c:v>172.67</c:v>
                </c:pt>
                <c:pt idx="6">
                  <c:v>124.96</c:v>
                </c:pt>
                <c:pt idx="7">
                  <c:v>221.78</c:v>
                </c:pt>
                <c:pt idx="8">
                  <c:v>190.5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(127,50 – 244,30)</c:v>
                </c:pt>
                <c:pt idx="1">
                  <c:v>Precio objetivo de los analistas (160,00 – 290,00)</c:v>
                </c:pt>
                <c:pt idx="2">
                  <c:v>Comparables: EV/EBITDA NTM (128,40 – 213,25)</c:v>
                </c:pt>
                <c:pt idx="3">
                  <c:v>Comparables: PER NTM (140,69 – 214,79)</c:v>
                </c:pt>
                <c:pt idx="4">
                  <c:v>Transacciones precedentes (EV/ventas) (259,13 – 367,86)</c:v>
                </c:pt>
                <c:pt idx="5">
                  <c:v>DCF (WACC y g ± 0,5) (172,67 – 219,83)</c:v>
                </c:pt>
                <c:pt idx="6">
                  <c:v>Escenarios (bajista – alcista) (124,96 – 246,83)</c:v>
                </c:pt>
                <c:pt idx="7">
                  <c:v>DCF con la prima implícita del mercado (4,2 %)</c:v>
                </c:pt>
                <c:pt idx="8">
                  <c:v>Precio actual (191,46)</c:v>
                </c:pt>
              </c:strCache>
            </c:strRef>
          </c:cat>
          <c:val>
            <c:numRef>
              <c:f>Hoja1!$C$2:$C$10</c:f>
              <c:numCache>
                <c:formatCode>#,##0</c:formatCode>
                <c:ptCount val="9"/>
                <c:pt idx="0">
                  <c:v>116.80000000000001</c:v>
                </c:pt>
                <c:pt idx="1">
                  <c:v>130</c:v>
                </c:pt>
                <c:pt idx="2">
                  <c:v>84.85</c:v>
                </c:pt>
                <c:pt idx="3">
                  <c:v>74.1</c:v>
                </c:pt>
                <c:pt idx="4">
                  <c:v>108.73000000000002</c:v>
                </c:pt>
                <c:pt idx="5">
                  <c:v>47.160000000000025</c:v>
                </c:pt>
                <c:pt idx="6">
                  <c:v>121.87000000000002</c:v>
                </c:pt>
                <c:pt idx="7">
                  <c:v>45.91999999999999</c:v>
                </c:pt>
                <c:pt idx="8">
                  <c:v>1.9199999999999875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