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w:t>
      </w:r>
      <w:r>
        <w:t xml:space="preserve"> frente a 31,40 · Rentabilidad total esperada a 12 meses </w:t>
      </w:r>
      <w:r>
        <w:rPr>
          <w:b/>
          <w:bCs/>
        </w:rPr>
        <w:t xml:space="preserve">+0,2 %</w:t>
      </w:r>
      <w:r>
        <w:t xml:space="preserve"> · Alcista / bajista +10,2 % / -42,6 %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-42,6 %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 frente a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26,29 (rentabilidad total esperada ≥ 15 % y el alcista compensa al bajista)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26,29 y 31,50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31,50 (rentabilidad total esperada ≤ −10 %, o negativa con un bajista que pesa el doble que el alcista)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26,61 EUR (-15,3 %).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7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18.02</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2026-10-07T08:38:35.170Z</dcterms:created>
  <dcterms:modified xsi:type="dcterms:W3CDTF">2026-10-07T08:38:35.171Z</dcterms:modified>
</cp:coreProperties>
</file>

<file path=docProps/custom.xml><?xml version="1.0" encoding="utf-8"?>
<Properties xmlns="http://schemas.openxmlformats.org/officeDocument/2006/custom-properties" xmlns:vt="http://schemas.openxmlformats.org/officeDocument/2006/docPropsVTypes"/>
</file>