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31,05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+1,0 %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31,05 EUR</w:t>
      </w:r>
      <w:r>
        <w:t xml:space="preserve"> frente a 31,40 · con la prima implícita del mercado: 34,28 (+9,2 %) · Rentabilidad total esperada a 12 meses </w:t>
      </w:r>
      <w:r>
        <w:rPr>
          <w:b/>
          <w:bCs/>
        </w:rPr>
        <w:t xml:space="preserve">+1,0 %</w:t>
      </w:r>
      <w:r>
        <w:t xml:space="preserve"> · Alcista / bajista +16,4 % / -47,2 %</w:t>
      </w:r>
    </w:p>
    <w:p>
      <w:pPr>
        <w:spacing w:after="100"/>
      </w:pPr>
      <w:r>
        <w:rPr>
          <w:b/>
        </w:rPr>
        <w:t xml:space="preserve">La recomendación y por qué.</w:t>
      </w:r>
      <w:r>
        <w:t xml:space="preserve"> Mantener, con convicción media. El valor objetivo de 31,05 EUR deja una rentabilidad total esperada casi nula, y la asimetría es mala: el escenario alcista gana un 16 % y el bajista pierde un 47 %. Con la prima de riesgo que hoy pide el mercado el valor sube a 34,28 EUR (+9 %), que tampoco llega para comprar: las dos reglas dan Mantener.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28,08 EUR, con una etapa de transición de cinco años (27,61 EUR sin ella),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30,37 EUR o si la cartera de redes acelera por encima del 10 %; venderíamos por encima de 37,10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31,05 EUR</w:t>
      </w:r>
      <w:r>
        <w:t xml:space="preserve"> (-1,1 % sobre 31,40; rentabilidad total esperada +1,0 %) · con la prima implícita del mercado: 34,28 (+9,2 %)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 / -47,2 %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 frente a 8,5 % y 7,4 %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(4,3 %, WACC 7,4 %)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34,28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30,37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30,37 y 37,10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37,10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8,46 %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7,39 %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Etapa de transición (DCF en tres etapas)</w:t>
      </w:r>
    </w:p>
    <w:p>
      <w:pPr>
        <w:spacing w:after="100"/>
      </w:pPr>
      <w:r>
        <w:t xml:space="preserve">Con la etapa de transición de 5 años el DCF da 28,08 por acción; sin ella (crecimiento terminal desde 2032e), 27,61.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0,579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0,534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0,492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0,454</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4.657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416</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0,418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Las redes de distribución tienen inversión regulada comprometida hasta 2037 y la empresa solo cubre el 9 % del mercado europeo: el crecimiento de esa división dura más que la proyección explícita, aunque a un ritmo que converge con el de la inflación [19].</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7.824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(5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5.122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28,08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36,34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38,17</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18,0 %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36,55</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+16,4 %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26,90 EUR (-14,3 %).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31,05 EUR (-1,1 %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15 controles correctos y 1 explicados.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52 %.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11,8 % frente a WACC 8,5 %: crecer apenas crea valor; la etapa de transición infla el DCF sin base. Explicación: El ROIC del grupo (11,8 %) se queda corto, pero el de redes, que es lo que sigue creciendo, supera el 20 % con retribución regulada; la etapa solo añade un 2 % al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97,2 %</w:t>
      </w:r>
      <w:r>
        <w:t xml:space="preserve"> · Secciones con menos del 60 % de campos cubiertos: </w:t>
      </w:r>
      <w:r>
        <w:rPr>
          <w:b/>
          <w:bCs/>
        </w:rPr>
        <w:t xml:space="preserve">ninguna</w:t>
      </w:r>
      <w:r>
        <w:t xml:space="preserve"> · Generado el 7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(36,20 – 44,67)</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36.2</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(36,20 – 44,67)</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8.469999999999999</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1510</c:v>
                </c:pt>
                <c:pt idx="1">
                  <c:v>972</c:v>
                </c:pt>
                <c:pt idx="2">
                  <c:v>2640</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16.57</c:v>
                </c:pt>
                <c:pt idx="1">
                  <c:v>28.08</c:v>
                </c:pt>
                <c:pt idx="2">
                  <c:v>36.55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(36,20 – 44,67)</c:v>
                </c:pt>
                <c:pt idx="8">
                  <c:v>DCF con la prima implícita del mercado (4,3 %)</c:v>
                </c:pt>
                <c:pt idx="9">
                  <c:v>Precio actual (31,40)</c:v>
                </c:pt>
              </c:strCache>
            </c:strRef>
          </c:cat>
          <c:val>
            <c:numRef>
              <c:f>Hoja1!$B$2:$B$11</c:f>
              <c:numCache>
                <c:formatCode>#,##0.0</c:formatCode>
                <c:ptCount val="10"/>
                <c:pt idx="0">
                  <c:v>24.1</c:v>
                </c:pt>
                <c:pt idx="1">
                  <c:v>27</c:v>
                </c:pt>
                <c:pt idx="2">
                  <c:v>29.06</c:v>
                </c:pt>
                <c:pt idx="3">
                  <c:v>29.92</c:v>
                </c:pt>
                <c:pt idx="4">
                  <c:v>24.24</c:v>
                </c:pt>
                <c:pt idx="5">
                  <c:v>24.7</c:v>
                </c:pt>
                <c:pt idx="6">
                  <c:v>16.57</c:v>
                </c:pt>
                <c:pt idx="7">
                  <c:v>36.2</c:v>
                </c:pt>
                <c:pt idx="8">
                  <c:v>31.22</c:v>
                </c:pt>
                <c:pt idx="9">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9"/>
            <c:invertIfNegative val="0"/>
            <c:bubble3D val="0"/>
            <c:spPr>
              <a:solidFill>
                <a:srgbClr val="C9C8C2"/>
              </a:solidFill>
            </c:spPr>
          </c:dPt>
          <c:cat>
            <c:strRef>
              <c:f>Hoja1!$A$2:$A$11</c:f>
              <c:strCache>
                <c:ptCount val="10"/>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(24,70 – 32,63)</c:v>
                </c:pt>
                <c:pt idx="6">
                  <c:v>Escenarios (bajista – alcista) (16,57 – 36,55)</c:v>
                </c:pt>
                <c:pt idx="7">
                  <c:v>Suma de partes (36,20 – 44,67)</c:v>
                </c:pt>
                <c:pt idx="8">
                  <c:v>DCF con la prima implícita del mercado (4,3 %)</c:v>
                </c:pt>
                <c:pt idx="9">
                  <c:v>Precio actual (31,40)</c:v>
                </c:pt>
              </c:strCache>
            </c:strRef>
          </c:cat>
          <c:val>
            <c:numRef>
              <c:f>Hoja1!$C$2:$C$11</c:f>
              <c:numCache>
                <c:formatCode>#,##0.0</c:formatCode>
                <c:ptCount val="10"/>
                <c:pt idx="0">
                  <c:v>9.799999999999997</c:v>
                </c:pt>
                <c:pt idx="1">
                  <c:v>13</c:v>
                </c:pt>
                <c:pt idx="2">
                  <c:v>9.2</c:v>
                </c:pt>
                <c:pt idx="3">
                  <c:v>8.850000000000001</c:v>
                </c:pt>
                <c:pt idx="4">
                  <c:v>11.02</c:v>
                </c:pt>
                <c:pt idx="5">
                  <c:v>7.930000000000003</c:v>
                </c:pt>
                <c:pt idx="6">
                  <c:v>19.979999999999997</c:v>
                </c:pt>
                <c:pt idx="7">
                  <c:v>8.469999999999999</c:v>
                </c:pt>
                <c:pt idx="8">
                  <c:v>7.310000000000002</c:v>
                </c:pt>
                <c:pt idx="9">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2026-10-07T09:38:50.669Z</dcterms:created>
  <dcterms:modified xsi:type="dcterms:W3CDTF">2026-10-07T09:38:50.671Z</dcterms:modified>
</cp:coreProperties>
</file>

<file path=docProps/custom.xml><?xml version="1.0" encoding="utf-8"?>
<Properties xmlns="http://schemas.openxmlformats.org/officeDocument/2006/custom-properties" xmlns:vt="http://schemas.openxmlformats.org/officeDocument/2006/docPropsVTypes"/>
</file>