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Mycronic AB (publ)</w:t>
      </w:r>
    </w:p>
    <w:p>
      <w:pPr>
        <w:spacing w:after="60"/>
        <w:rPr>
          <w:color w:val="52514E"/>
          <w:sz w:val="22"/>
          <w:szCs w:val="22"/>
        </w:rPr>
      </w:pPr>
      <w:r>
        <w:rPr>
          <w:color w:val="52514E"/>
          <w:sz w:val="22"/>
          <w:szCs w:val="22"/>
        </w:rPr>
        <w:t xml:space="preserve">MYCR · Nasdaq Stockholm (Large Cap) · ISIN SE0025158629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300,20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270,06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-9,0 % (base +2,4 %)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214,01 SEK · mercado 245,93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58.644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Mycronic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MYCR / SE0025158629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All-Share (OMXSPI)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Equipos para semiconductores y electrónica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Täby (Estocolmo) · 1984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https://www.mycronic.com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300,20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183,32 – 364,40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58.644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56.970 M SEK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80,7 M SEK/día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270,06 SEK</w:t>
      </w:r>
      <w:r>
        <w:t xml:space="preserve"> frente a 300,20 · Rentabilidad a 12 meses </w:t>
      </w:r>
      <w:r>
        <w:rPr>
          <w:b/>
          <w:bCs/>
        </w:rPr>
        <w:t xml:space="preserve">-9,0 % (base +2,4 %)</w:t>
      </w:r>
      <w:r>
        <w:t xml:space="preserve"> · Valor intrínseco 214,01 SEK · con la prima implícita del mercado: 245,93 (-18,1 %) · Alcista / bajista -19,2 % / -60,1 %</w:t>
      </w:r>
    </w:p>
    <w:p>
      <w:pPr>
        <w:spacing w:after="100"/>
      </w:pPr>
      <w:r>
        <w:rPr>
          <w:b/>
        </w:rPr>
        <w:t xml:space="preserve">La recomendación y por qué.</w:t>
      </w:r>
      <w:r>
        <w:t xml:space="preserve"> Mantener, con convicción media. El objetivo a 12 meses es de 270,06 SEK (nuestro BPA de 2028e × el PER de la regla común), una rentabilidad ponderada del −9,0 % con el dividendo y del +2,4 % en el caso base, frente a un precio de 300,20 SEK (cierre del 19-oct-2026; 293,20 en la sesión del 20-oct a las 11:37 de Estocolmo). El valor intrínseco (214,01 SEK) queda un 28,7 % por debajo del precio y el objetivo medio de los analistas (318,50) un 6 % por encima. La razón principal: es un negocio excelente que cotiza a 30,6 veces el BPA de los próximos 12 meses, frente a una mediana de cinco años de 22,2, justo cuando su cartera de máscaras para 2027 es corta. La convicción es media porque la ponderada está a un punto del umbral de venta (−10 %): un 3T26 sin pedidos de máscaras el 22-oct la llevaría a Vender; un pedido de Prexision la alejaría.</w:t>
      </w:r>
    </w:p>
    <w:p>
      <w:pPr>
        <w:spacing w:after="100"/>
      </w:pPr>
      <w:r>
        <w:rPr>
          <w:b/>
        </w:rPr>
        <w:t xml:space="preserve">El negocio.</w:t>
      </w:r>
      <w:r>
        <w:t xml:space="preserve"> Mycronic fabrica las escritoras láser con las que se hacen todas las máscaras de pantallas del mundo y buena parte de las de chips no críticas, más equipos de montaje, dispensado y pruebas para electrónica [1]. El ROIC fue del 34,5 % en 2025, unos 25 puntos sobre el WACC del 9,2 %, con caja neta de 2.266 M SEK [1, 2]. La sostenibilidad del crecimiento es «Sí»: proyectamos un 8,1 % anual, la mitad del histórico, casi sin capital nuevo. La debilidad es la regularidad: Pattern Generators (75 % del EBIT de las divisiones) vive de pocos pedidos de 3-48 M USD de clientes asiáticos, y en 2022 su EBIT cayó a la mitad.</w:t>
      </w:r>
    </w:p>
    <w:p>
      <w:pPr>
        <w:spacing w:after="100"/>
      </w:pPr>
      <w:r>
        <w:rPr>
          <w:b/>
        </w:rPr>
        <w:t xml:space="preserve">Finanzas.</w:t>
      </w:r>
      <w:r>
        <w:t xml:space="preserve"> Ventas de 3.882 M en 2020 y 8.649 M en los 12 meses a junio de 2026, con un BPA de 3,55 a 8,88 SEK [1, 2]. La previsión de 2026 es de 9.250 M, subida dos veces, con pedidos récord de 2.917 M en el 2T26 por los servidores de IA [2]. El flujo libre convierte el 73-92 % del beneficio según los anticipos. Restamos 592 M de pagos contingentes de compras por su máximo.</w:t>
      </w:r>
    </w:p>
    <w:p>
      <w:pPr>
        <w:spacing w:after="100"/>
      </w:pPr>
      <w:r>
        <w:rPr>
          <w:b/>
        </w:rPr>
        <w:t xml:space="preserve">Equipo y gobierno.</w:t>
      </w:r>
      <w:r>
        <w:t xml:space="preserve"> Anders Lindqvist ha cumplido o superado la previsión de ventas en 2024 y 2025 [2]. Bure (22,75 %) controla y su presidente preside Mycronic; el variable no mide el ROIC [1].</w:t>
      </w:r>
    </w:p>
    <w:p>
      <w:pPr>
        <w:spacing w:after="100"/>
      </w:pPr>
      <w:r>
        <w:rPr>
          <w:b/>
        </w:rPr>
        <w:t xml:space="preserve">Valoración.</w:t>
      </w:r>
      <w:r>
        <w:t xml:space="preserve"> El DCF da 194,17 SEK (−35 %) y el DCF inverso dice que el precio descuenta un crecimiento del 15,3 % anual hasta 2035 con nuestro margen, frente al 7,1 % de nuestro base y al 15,4 % de 2020-2025, que tuvo compras y el mejor ciclo de máscaras. Con la prima del mercado (4,2 %) el DCF sube a 240,44, aún un 20 % bajo el precio. Los comparables de semiconductores dan 264,61. Nuestro BPA de 2028e (10,94 SEK) queda un 15 % bajo el consenso (12,93) porque no ponemos pedidos de máscaras que no están en cartera ni un margen por encima del objetivo de la empresa.</w:t>
      </w:r>
    </w:p>
    <w:p>
      <w:pPr>
        <w:spacing w:after="100"/>
      </w:pPr>
      <w:r>
        <w:rPr>
          <w:b/>
        </w:rPr>
        <w:t xml:space="preserve">Riesgos y catalizadores.</w:t>
      </w:r>
      <w:r>
        <w:t xml:space="preserve"> Los mayores: un 2027 sin máscaras (bajista −60 % en el DCF, BPA de 7,87 en 2028e), los controles de exportación a China (46 % de las ventas) y el fin del ciclo de servidores de IA. El riesgo de la IA es mixto (±10 %): hoy suma pedidos, pero es cíclico y el diseño de máscaras con IA favorece al haz de electrones en las capas críticas. Catalizador: resultados del 3T26 el 22-oct-2026 (consenso de 418 M de EBIT [15]).</w:t>
      </w:r>
    </w:p>
    <w:p>
      <w:pPr>
        <w:spacing w:after="100"/>
      </w:pPr>
      <w:r>
        <w:rPr>
          <w:b/>
        </w:rPr>
        <w:t xml:space="preserve">Qué cambiaría la decisión.</w:t>
      </w:r>
      <w:r>
        <w:t xml:space="preserve"> Comprar por debajo de 214,01 SEK (−29 %); Mantener entre 214,01 y 303,68; Vender por encima de 303,68. Un 3T26 sin pedidos de Prexision o una previsión de 2027 por debajo de 9.000 M nos llevaría a Vender; dos pedidos de Prexision para 2027-2028 y el margen de PCB Assembly Solutions en positivo subirían el base.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270,06 SEK</w:t>
      </w:r>
      <w:r>
        <w:t xml:space="preserve"> (rentabilidad -9,0 % (base +2,4 %)) · Valor intrínseco: 214,01 SEK (-28,7 % sobre 300,20) · con la prima implícita del mercado: 245,93 (-18,1 %)</w:t>
      </w:r>
    </w:p>
    <w:p>
      <w:pPr>
        <w:spacing w:after="100"/>
      </w:pPr>
      <w:r>
        <w:t xml:space="preserve">Mycronic tiene un monopolio de hecho en las escritoras láser de máscaras para pantallas y es líder en las de chips no críticas: Pattern Generators gana un 50 % de EBIT y cobra por adelantado [1]. Con tres divisiones de equipos de electrónica, el grupo vendió 7.938 M SEK en 2025 con un ROIC del 34,5 %, y en 2026 la inversión en servidores de IA le ha dado pedidos récord [1, 2].</w:t>
      </w:r>
    </w:p>
    <w:p>
      <w:pPr>
        <w:spacing w:after="100"/>
      </w:pPr>
      <w:r>
        <w:t xml:space="preserve">El precio descuenta mucho: 30,6 veces el BPA de los próximos 12 meses frente a una mediana de cinco años de 22,2, y un crecimiento implícito del 15,3 % anual hasta 2035 según el DCF inverso, el doble de nuestro base. La acción sube un 45,5 % en 12 meses, aunque ha caído un 18 % desde el máximo del 6-oct [35]. El objetivo medio de los cuatro analistas (318,50 SEK) solo queda un 6 % por encima [27].</w:t>
      </w:r>
    </w:p>
    <w:p>
      <w:pPr>
        <w:spacing w:after="100"/>
      </w:pPr>
      <w:r>
        <w:t xml:space="preserve">El mercado acierta en la calidad y se adelanta en el ciclo: la cartera de máscaras de 2027 son cuatro sistemas y el consenso de 2028 supone un margen por encima del objetivo de la empresa. Para invertir hay que creer que la IA hace de Mycronic una empresa de crecimiento continuo y no de pedidos a saltos.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270,06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 × 7,87 = 131,43 · 27,8x × 10,94 = 304,13 · 27,8x × 12,25 = 340,55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 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318,50 (nuestro base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214,01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 / -60,1 %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frente a 9,2 %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245,93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 frente a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214,01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214,01 y 303,68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303,68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214,01 SEK: Comprar (ponderada ≥ 15 %, base ≥ 12 % y valor intrínseco por encima).</w:t>
      </w:r>
    </w:p>
    <w:p>
      <w:pPr>
        <w:pStyle w:val="ListParagraph"/>
        <w:numPr>
          <w:ilvl w:val="0"/>
          <w:numId w:val="2"/>
        </w:numPr>
        <w:spacing w:after="60"/>
      </w:pPr>
      <w:r>
        <w:t xml:space="preserve">Precio por encima de 303,68 SEK: Vender (ponderada ≤ −10 %).</w:t>
      </w:r>
    </w:p>
    <w:p>
      <w:pPr>
        <w:pStyle w:val="ListParagraph"/>
        <w:numPr>
          <w:ilvl w:val="0"/>
          <w:numId w:val="2"/>
        </w:numPr>
        <w:spacing w:after="60"/>
      </w:pPr>
      <w:r>
        <w:t xml:space="preserve">Un 3T26 (22-oct) sin pedidos de Prexision o una previsión de 2027 por debajo de 9.000 M: Vender.</w:t>
      </w:r>
    </w:p>
    <w:p>
      <w:pPr>
        <w:pStyle w:val="ListParagraph"/>
        <w:numPr>
          <w:ilvl w:val="0"/>
          <w:numId w:val="2"/>
        </w:numPr>
        <w:spacing w:after="60"/>
      </w:pPr>
      <w:r>
        <w:t xml:space="preserve">Dos pedidos de Prexision para 2027-2028 y PCB Assembly Solutions en beneficio: subir el BPA base y revisar.</w:t>
      </w:r>
    </w:p>
    <w:p>
      <w:pPr>
        <w:pStyle w:val="ListParagraph"/>
        <w:numPr>
          <w:ilvl w:val="0"/>
          <w:numId w:val="2"/>
        </w:numPr>
        <w:spacing w:after="60"/>
      </w:pPr>
      <w:r>
        <w:t xml:space="preserve">Escritoras láser de máscaras en las listas de control de exportación a China: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sostiene un crecimiento de dos dígitos y márgenes del 27-28 % de EBIT hasta 2028 (consenso de 12,93 SEK de BPA) y que Mycronic llega al objetivo de 20.000 M; los analistas esperan ≈ 318 SEK, un 6 % sobre el precio.</w:t>
      </w:r>
    </w:p>
    <w:p>
      <w:pPr>
        <w:keepNext/>
        <w:spacing w:after="100"/>
      </w:pPr>
      <w:r>
        <w:rPr>
          <w:b/>
          <w:bCs/>
        </w:rPr>
        <w:t xml:space="preserve">Lo que creemos nosotros.</w:t>
      </w:r>
    </w:p>
    <w:p>
      <w:pPr>
        <w:spacing w:after="100"/>
      </w:pPr>
      <w:r>
        <w:t xml:space="preserve">La calidad es real, pero 2027 será un año flojo en máscaras y el múltiplo de hoy no deja margen: nuestro BPA de 2028e es un 15 % menor que el consenso y, con el PER bajando hacia su historia, el base apenas gana un 2 %.</w:t>
      </w:r>
    </w:p>
    <w:p>
      <w:pPr>
        <w:keepNext/>
        <w:spacing w:after="100"/>
      </w:pPr>
      <w:r>
        <w:rPr>
          <w:b/>
          <w:bCs/>
        </w:rPr>
        <w:t xml:space="preserve">Por qué podemos tener razón.</w:t>
      </w:r>
    </w:p>
    <w:p>
      <w:pPr>
        <w:spacing w:after="100"/>
      </w:pPr>
      <w:r>
        <w:t xml:space="preserve">La historia muestra que los pedidos de máscaras van a saltos (2022) y que el mercado pagó 17-19 veces en esos años. SB1 y SEB ya apuntan a un 2027 más débil [29, 30].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30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Monopolio de hecho en máscaras para pantallas</w:t>
      </w:r>
      <w:r>
        <w:t xml:space="preserve">: todas las fábricas usan máscaras escritas con sus máquinas.</w:t>
      </w:r>
    </w:p>
    <w:p>
      <w:pPr>
        <w:pStyle w:val="ListParagraph"/>
        <w:numPr>
          <w:ilvl w:val="0"/>
          <w:numId w:val="2"/>
        </w:numPr>
        <w:spacing w:after="60"/>
      </w:pPr>
      <w:r>
        <w:rPr>
          <w:b/>
        </w:rPr>
        <w:t xml:space="preserve">ROIC del 34,5 %</w:t>
      </w:r>
      <w:r>
        <w:t xml:space="preserve">: unos 25 puntos sobre el WACC, con caja neta de 2.266 M SEK.</w:t>
      </w:r>
    </w:p>
    <w:p>
      <w:pPr>
        <w:pStyle w:val="ListParagraph"/>
        <w:numPr>
          <w:ilvl w:val="0"/>
          <w:numId w:val="2"/>
        </w:numPr>
        <w:spacing w:after="60"/>
      </w:pPr>
      <w:r>
        <w:rPr>
          <w:b/>
        </w:rPr>
        <w:t xml:space="preserve">IA en tres divisiones</w:t>
      </w:r>
      <w:r>
        <w:t xml:space="preserve">: pedidos récord de 2.917 M en el 2T26 y previsión subida dos veces a 9.250 M.</w:t>
      </w:r>
    </w:p>
    <w:p>
      <w:pPr>
        <w:pStyle w:val="ListParagraph"/>
        <w:numPr>
          <w:ilvl w:val="0"/>
          <w:numId w:val="2"/>
        </w:numPr>
        <w:spacing w:after="60"/>
      </w:pPr>
      <w:r>
        <w:rPr>
          <w:b/>
        </w:rPr>
        <w:t xml:space="preserve">Previsión cumplida</w:t>
      </w:r>
      <w:r>
        <w:t xml:space="preserve">: superada en 2024 (7.057 M frente a 6.500) y 2025 (7.938 M frente a 7.500).</w:t>
      </w:r>
    </w:p>
    <w:p>
      <w:pPr>
        <w:pStyle w:val="ListParagraph"/>
        <w:numPr>
          <w:ilvl w:val="0"/>
          <w:numId w:val="2"/>
        </w:numPr>
        <w:spacing w:after="60"/>
      </w:pPr>
      <w:r>
        <w:rPr>
          <w:b/>
        </w:rPr>
        <w:t xml:space="preserve">Objetivo ambicioso</w:t>
      </w:r>
      <w:r>
        <w:t xml:space="preserve">: 20.000 M de ventas en 2032-2035 con EBIT ≈ 25 %.</w:t>
      </w:r>
    </w:p>
    <w:p>
      <w:pPr>
        <w:pStyle w:val="Heading2"/>
      </w:pPr>
      <w:r>
        <w:t xml:space="preserve">En contra</w:t>
      </w:r>
    </w:p>
    <w:p>
      <w:pPr>
        <w:pStyle w:val="ListParagraph"/>
        <w:numPr>
          <w:ilvl w:val="0"/>
          <w:numId w:val="2"/>
        </w:numPr>
        <w:spacing w:after="60"/>
      </w:pPr>
      <w:r>
        <w:rPr>
          <w:b/>
        </w:rPr>
        <w:t xml:space="preserve">Caro frente a su historia</w:t>
      </w:r>
      <w:r>
        <w:t xml:space="preserve">: 30,6 veces el BPA adelantado frente a una mediana de 22,2.</w:t>
      </w:r>
    </w:p>
    <w:p>
      <w:pPr>
        <w:pStyle w:val="ListParagraph"/>
        <w:numPr>
          <w:ilvl w:val="0"/>
          <w:numId w:val="2"/>
        </w:numPr>
        <w:spacing w:after="60"/>
      </w:pPr>
      <w:r>
        <w:rPr>
          <w:b/>
        </w:rPr>
        <w:t xml:space="preserve">Cartera de máscaras de 2027 corta</w:t>
      </w:r>
      <w:r>
        <w:t xml:space="preserve">: tres Prexision y un SLX; nuestro BPA de 2028e un 15 % bajo el consenso.</w:t>
      </w:r>
    </w:p>
    <w:p>
      <w:pPr>
        <w:pStyle w:val="ListParagraph"/>
        <w:numPr>
          <w:ilvl w:val="0"/>
          <w:numId w:val="2"/>
        </w:numPr>
        <w:spacing w:after="60"/>
      </w:pPr>
      <w:r>
        <w:rPr>
          <w:b/>
        </w:rPr>
        <w:t xml:space="preserve">China</w:t>
      </w:r>
      <w:r>
        <w:t xml:space="preserve">: el 45,9 % de las ventas con controles de exportación al alza.</w:t>
      </w:r>
    </w:p>
    <w:p>
      <w:pPr>
        <w:pStyle w:val="ListParagraph"/>
        <w:numPr>
          <w:ilvl w:val="0"/>
          <w:numId w:val="2"/>
        </w:numPr>
        <w:spacing w:after="60"/>
      </w:pPr>
      <w:r>
        <w:rPr>
          <w:b/>
        </w:rPr>
        <w:t xml:space="preserve">DCF muy por debajo</w:t>
      </w:r>
      <w:r>
        <w:t xml:space="preserve">: 194,17 SEK, un 35 % bajo el precio; el precio pide un 15,3 % anual.</w:t>
      </w:r>
    </w:p>
    <w:p>
      <w:pPr>
        <w:pStyle w:val="ListParagraph"/>
        <w:numPr>
          <w:ilvl w:val="0"/>
          <w:numId w:val="2"/>
        </w:numPr>
        <w:spacing w:after="60"/>
      </w:pPr>
      <w:r>
        <w:rPr>
          <w:b/>
        </w:rPr>
        <w:t xml:space="preserve">PCB Assembly Solutions en pérdidas</w:t>
      </w:r>
      <w:r>
        <w:t xml:space="preserve">: EBIT del −14,5 % en el 2T26.</w:t>
      </w:r>
    </w:p>
    <w:p>
      <w:pPr>
        <w:pStyle w:val="Heading2"/>
      </w:pPr>
      <w:r>
        <w:t xml:space="preserve">Qué tiene que pasar para que la tesis funcione</w:t>
      </w:r>
    </w:p>
    <w:p>
      <w:pPr>
        <w:spacing w:after="100"/>
      </w:pPr>
      <w:r>
        <w:t xml:space="preserve">La tesis depende de que lleguen pedidos de Prexision para 2027-2028 y de que Global Technologies aguante el nivel de pedidos de la IA. La señal en contra sería un 3T26 y un 4T26 sin pedidos de máscaras para pantallas, unos pedidos del grupo por debajo de 2.000 M por trimestre o una previsión de 2027 por debajo de 9.000 M.</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grupo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Pattern Generators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 M, 13 sistemas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la división que da el 75 % del EBIT.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Global Technologies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tirón de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 PCB Assembly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a finales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vuelta al 10 %.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China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Nuevas listas de control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exportación.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21,9x / 19,4x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33,8x / 28,5x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Mycronic nace como Micronic Laser Systems, el fabricante sueco de escritoras láser de máscaras fotográficas para pantallas y chips, y sale a bolsa en Estocolmo en marzo de 2000 [1]. La unión con MYDATA (montaje flexible de placas) le dio el nombre actual y la segunda pata, la electrónica [1]. Desde 2016 compra nichos de equipos de producción: Axxon (dispensado, China, 2016), Vi TECHNOLOGY (inspección, 2017), MRSI (unión de chips ópticos, 2018), atg Luther &amp; Maelzer y HC Xin (2021), Vanguard (2024) y Hprobe, RoBAT y Surfx (2025) [1, 11, 12]. Con Anders Lindqvist, consejero delegado desde 2019, se organizó en cuatro divisiones y las ventas pasaron de 4.307 a 7.938 M SEK en 2025 [1]. Bure Equity es el primer accionista (22,75 %) [1]. En agosto de 2026 fijó un objetivo de 20.000 M de ventas para 2032-2035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Nasdaq Stockholm (marzo); entra en el índice OMXSB en 2022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Axxon (Shenzhen): dispensado y recubrimiento, base de High Volume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Vi TECHNOLOGY (inspección óptica) y MRSI (unión de chips para óptica)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Anders Lindqvist, antes en Piab y Atlas Copco,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atg Luther &amp; Maelzer (pruebas eléctricas de placas) y del 75 % de HC Xin por 1.117 M SEK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sin pedidos grandes de máscaras: el EBIT cae a 894 M y Pattern Generators a 465 M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entregas de máscaras: BPA de 8,62 SEK (+69 %) y dividendo extraordinario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2 por 1; compras de Hprobe, RoBAT y Surfx (920 M SEK)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récord de 2.917 M en el 2T26 por servidores de IA; previsión subida dos veces a 9.250 M; nuevos objetivos para 2032-2035 [2,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Mycronic AB, de Täby (Suecia), diseña y fabrica equipos de producción de alta precisión para la industria electrónica [1]. Cuatro divisiones: </w:t>
      </w:r>
      <w:r>
        <w:rPr>
          <w:b/>
        </w:rPr>
        <w:t xml:space="preserve">Pattern Generators</w:t>
      </w:r>
      <w:r>
        <w:t xml:space="preserve"> (escritoras láser de máscaras fotográficas para pantallas —Prexision— y para semiconductores —SLX—, más metrología, reparación y servicio; 3.232 M SEK y EBIT de 1.623 M en 2025), </w:t>
      </w:r>
      <w:r>
        <w:rPr>
          <w:b/>
        </w:rPr>
        <w:t xml:space="preserve">PCB Assembly Solutions</w:t>
      </w:r>
      <w:r>
        <w:t xml:space="preserve"> (líneas flexibles de montaje de placas para series cortas; 1.372 M), </w:t>
      </w:r>
      <w:r>
        <w:rPr>
          <w:b/>
        </w:rPr>
        <w:t xml:space="preserve">High Volume</w:t>
      </w:r>
      <w:r>
        <w:t xml:space="preserve"> (dispensado y recubrimiento automáticos, fabricados en China y desde 2025 en Tailandia; 1.720 M) y </w:t>
      </w:r>
      <w:r>
        <w:rPr>
          <w:b/>
        </w:rPr>
        <w:t xml:space="preserve">Global Technologies</w:t>
      </w:r>
      <w:r>
        <w:t xml:space="preserve"> (pruebas eléctricas de placas, unión de chips para óptica, plasma, pruebas magnéticas e interconexión fotónica; 1.632 M) [1]. Clientes: talleres de máscaras y fabricantes de pantallas y chips en Asia, y fabricantes de electrónica y subcontratistas en todo el mundo. China fue el 45,9 % de las ventas de 2025 y Asia el 74 % [1]. Plantilla media de 2.772 personas en el primer semestre de 2026 [2].</w:t>
      </w:r>
    </w:p>
    <w:p>
      <w:pPr>
        <w:pStyle w:val="Heading2"/>
      </w:pPr>
      <w:r>
        <w:t xml:space="preserve">Cómo gana dinero</w:t>
      </w:r>
    </w:p>
    <w:p>
      <w:pPr>
        <w:spacing w:after="100"/>
      </w:pPr>
      <w:r>
        <w:t xml:space="preserve">El beneficio sale casi todo de las máscaras: Pattern Generators hizo el 41 % de las ventas y el 84 % del EBIT de las divisiones en 2025, con margen bruto del 68 % y EBIT del 50 % [1]. Cada máquina se vende con anticipo y se reconoce al entregarla, así que el trimestre depende de cuántas se entregan (EBIT de 831 M en el 1T26 con el primer Prexision 8000 Evo, de 173 M en el 4T25) [2]. El posventa (servicio, piezas, mejoras del láser) es el 25 % de las ventas del grupo y el 29 % de la división, y es la parte recurrente [1]. Las otras divisiones tienen márgenes brutos del 35-56 % y EBIT del 5-36 %; Global Technologies pasó del 3,5 % al 35,6 % en un año por volumen y mezcla de pruebas de placas de IA [2]. Apalancamiento operativo alto: el gasto fijo en I+D (12,3 % de las ventas) y estructura no baja cuando faltan entregas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Pattern Generators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PCB Assembly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High Volume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Technologies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Pattern Generators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PCB Assembly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High Volume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Technologies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Pattern Generators vende a pocos clientes: talleres de máscaras independientes (Photronics, Tekscend, LG Innotek, Dai Nippon, entre otros) y fabricantes de pantallas y chips con taller propio, el 95 % en Asia [1]. Todos los fabricantes de pantallas usan máscaras escritas con máquinas de Mycronic [1]. Un pedido puede valer 3-8 M USD (SLX), 27-30 M USD (SLX a medida) o 45-48 M USD (Prexision 8000 Evo) [1, 2]. La empresa no publica el peso del primer cliente; cinco clientes suman el 13 % (17 % en 2024) de las cuentas a cobrar [1]. Las demás divisiones venden a miles de fabricantes de electrónica y subcontratistas, en parte por distribuidores [1]. El poder de precio de Pattern Generators se ve en un margen bruto del 66-77 % trimestral y en los pedidos de anticipo; en PCB Assembly Solutions, con rivales japoneses y coreanos, el margen bruto bajó del 41,7 % en 2023 al 34,8 % en el 2T26 [1,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grupo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7.757 (2025); 9.815 en los 12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trimestral de 2.917 M en el 2T26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4.681 (2025); 5.255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 Pattern Generators bajó de 3.334 a 1.706 M; la de Global Technologies subió de 514 a 2.099 M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en la cartera de Pattern Generators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(jun-26): 5 en 3T26, 3 en 4T26, 4 en 2027, 1 en 2028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dos SLX pedidos en oct-26 para el 1T28 [2,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(2025); 58,8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Pattern Generators 68,3 % en 2025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posventa (%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1.977 M en 2025; 29 % en Pattern Generators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en I+D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producto de inspección de máscaras de semiconductores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Mycronic no tiene un mercado único: vende equipos de producción para electrónica en cuatro nichos [1]. El que decide el beneficio es el de </w:t>
      </w:r>
      <w:r>
        <w:rPr>
          <w:b/>
        </w:rPr>
        <w:t xml:space="preserve">escritoras láser de máscaras fotográficas</w:t>
      </w:r>
      <w:r>
        <w:t xml:space="preserve"> (Pattern Generators: 41 % de las ventas y 84 % del EBIT de las divisiones en 2025) [1]. No hay estadística pública de ese nicho; se usa como referencia el mercado de máscaras que fabrican sus clientes: máscaras para pantallas, 994 M USD en 2025 (Omdia), y para semiconductores, 10.600 M USD (TechInsights) [2]. Los otros nichos son equipos SMT (unos 4.700 M USD; Protec MDC), dispensado (800 M USD; Prismark), pruebas eléctricas de placas (sobre un mercado de placas de 85.800 M USD) y unión de chips para óptica (sobre componentes ópticos de 40.800 M USD; Lightcounting) [2]. La serie de abajo es el mercado de máscaras para pantallas, el más ligado a las Prexision.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994 M USD (≈ 9.850 M SEK) de máscaras para pantallas en 2025 (Omdia) y ≈ 10.600 M USD de máscaras para semiconductores (TechInsights)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áscaras para pantallas, Omd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Pantallas OLED más grandes y avanzadas (G8.6)</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Área de máscaras OLED +5,0 % anual en 2025-2030 frente a +1,6 % del total; primer Prexision 8000 Evo en producción en Photronics Corea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Chips de IA y memoria avanzada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Máscaras para semiconductores +17,9 % en 2025 y +15 % previsto en 2026; las capas menos críticas y la segunda capa de las más avanzadas se escriben con láser [2,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servidores de IA (placas de muchas capas, óptica)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Global Technologies de 1.111 M en el 2T26 (+176 %); componentes ópticos +50,4 % en 2025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las pantallas y capacidad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pantallas −4,7 % previsto en 2026 por presión de precios [2]; pedidos de SLX frenados en 2025 por menos inversión china en capacidad de chips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Electrónica industrial europea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PCB Assembly Solutions con ventas −8 % en 2025 y margen EBIT del −14,5 % en el 2T26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Defensa y aeroespacial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dos mayores pedidos de la historia de PCB Assembly Solutions, de defensa en EE. UU. y Europa, en el 2T26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escritoras láser de máscaras para pantallas no hay rival relevante (todas las fábricas usan máscaras de Mycronic); en láser para chips compite con Applied Materials y Heidelberg Instruments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talleres de máscaras y fabricantes asiáticos (95 % de las ventas de la división) deciden cuándo invierten; un pedido puede ser de 45-48 M USD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Dependencia de proveedores únicos en algunos componentes (riesgo declarado), sin efecto visible en márgenes brutos del 66-77 % [1,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Décadas de I+D (445 M SEK al año en la división), más de 400 patentes y base instalada con servicio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escritoras de haz de electrones (NuFlare, IMS) dominan las capas más críticas de chips; el láser conserva la mayoría de las máscaras de chips y todas las de pantallas [2, 4].</w:t>
            </w:r>
          </w:p>
        </w:tc>
      </w:tr>
    </w:tbl>
    <w:p>
      <w:pPr>
        <w:spacing w:after="160" w:before="0"/>
      </w:pPr>
    </w:p>
    <w:p>
      <w:pPr>
        <w:pStyle w:val="Heading2"/>
      </w:pPr>
      <w:r>
        <w:t xml:space="preserve">Ciclo</w:t>
      </w:r>
    </w:p>
    <w:p>
      <w:pPr>
        <w:spacing w:after="100"/>
      </w:pPr>
      <w:r>
        <w:t xml:space="preserve">Los indicadores son los pedidos y la cartera: pedidos del grupo de 9.815 M en 12 meses (+27 %) y cartera de 5.255 M [2]. Pero el ciclo es doble: Global Technologies y High Volume están en expansión por la inversión en IA, mientras que la cartera de máscaras bajó de 3.334 M a 1.706 M y solo tiene cuatro sistemas para 2027 [2]. En 2022 Pattern Generators casi no entregó máquinas grandes y su EBIT cayó de 832 a 465 M [11]; en 2020 el grupo bajó ventas un 10 % [1]; en 2008-09 la empresa (entonces Micronic Mydata) tuvo pérdidas.</w:t>
      </w:r>
    </w:p>
    <w:p>
      <w:pPr>
        <w:pStyle w:val="Heading2"/>
      </w:pPr>
      <w:r>
        <w:t xml:space="preserve">Regulación</w:t>
      </w:r>
    </w:p>
    <w:p>
      <w:pPr>
        <w:spacing w:after="100"/>
      </w:pPr>
      <w:r>
        <w:t xml:space="preserve">Las máquinas de Mycronic están sujetas a control de exportación de productos de doble uso y a las listas de entidades de EE. UU.; China fue el 45,9 % de las ventas de 2025 [1]. La empresa trata los aranceles y las barreras comerciales como riesgo principal y en 2025 rebajó un trimestre su previsión por los aranceles de EE. UU. [1, 2]. Un endurecimiento de los controles sobre equipos de máscaras o de montaje hacia China pesaría sobre todo en High Volume (82 % de sus ventas en China) y en los SLX vendidos a talleres chinos [1]. No hay cambios regulatorios con fecha que afecten a las cifras; la empresa responde con producción en Tailandia («China+N») [2].</w:t>
      </w:r>
    </w:p>
    <w:p>
      <w:pPr>
        <w:pStyle w:val="Heading2"/>
      </w:pPr>
      <w:r>
        <w:t xml:space="preserve">Tendencias y disrupción</w:t>
      </w:r>
    </w:p>
    <w:p>
      <w:pPr>
        <w:spacing w:after="100"/>
      </w:pPr>
      <w:r>
        <w:t xml:space="preserve">La IA es la tendencia dominante: en chips sube la demanda de máscaras (también de capas escritas por láser) y en servidores la de placas de muchas capas, pruebas eléctricas, dispensado para disipar calor y montaje de módulos ópticos, donde Mycronic gana con Global Technologies y High Volume [2, 4]. En pantallas, el paso a OLED grandes (G8.6) exige máscaras más avanzadas, que solo escribe el Prexision 8000 Evo [2]. La amenaza tecnológica es el haz de electrones en las capas críticas y, a largo plazo, la litografía sin máscara; la empresa responde con un producto nuevo de inspección de máscaras de chips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escritoras láser de máscaras para pantallas (todas las fábricas usan máscaras de sus máquinas); líder en láser para máscaras de chips junto a Applied Materials; 1.º mundial en dispensado y recubrimiento según la empresa; nicho en montaje flexible de placas frente a Fuji y Koh Young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 (ALTA, escritoras láser)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305.525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escritoras láser de máscaras para chips; su negocio de máscaras es una parte mínima del grupo [1,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Heidelberg Instruments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Escritoras láser de menor tamaño; no cotiza ni publica cuentas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Nordson (dispensado)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High Volume en dispensado y recubrimiento [1,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ASMPT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Hong Kong</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0522.HK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unión de chips (Die Bonding) y montaje SMT [1,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 Semiconductor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BESI.AS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unión de chips para encapsulado avanzado [1,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6134.T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PCB Assembly Solutions en colocación de componentes [1,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Koh Young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098460.KQ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inspección 3D de placas [1,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Hioki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6866.T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de PCB Test en pruebas eléctricas de placas [1,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más allá de la base instalada que estandariza los procesos de los talleres de máscaras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máscaras de cada fábrica de pantallas se escriben con sus máquinas; el posventa es el 29 % de la división y crece con los SLX que salen de garantía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400 patentes y 445 M SEK de I+D al año solo en Pattern Generators; el Prexision 8000 Evo es la única máquina para máscaras G8.6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68-77 % en Pattern Generators, frente al 35-44 % en las demás divisiones, donde no hay ventaja de coste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escritoras para pantallas pequeño (pocas máquinas al año) que no justifica un segundo proveedor; margen EBIT de la división del 50-57 % [1].</w:t>
            </w:r>
          </w:p>
        </w:tc>
      </w:tr>
    </w:tbl>
    <w:p>
      <w:pPr>
        <w:spacing w:after="160" w:before="0"/>
      </w:pPr>
    </w:p>
    <w:p>
      <w:pPr>
        <w:pStyle w:val="Heading2"/>
      </w:pPr>
      <w:r>
        <w:t xml:space="preserve">Amenazas</w:t>
      </w:r>
    </w:p>
    <w:p>
      <w:pPr>
        <w:spacing w:after="100"/>
      </w:pPr>
      <w:r>
        <w:t xml:space="preserve">El foso de máscaras para pantallas es amplio, pero el mercado es pequeño y depende de pocas inversiones al año: lo que lo erosionaría no es un rival sino la falta de pedidos (2022, y ahora una cartera de 2027 con cuatro sistemas) [2, 11]. En chips, el haz de electrones gana las capas críticas y Applied Materials compite en láser (probabilidad media de perder cuota en nodos nuevos) [1]. En las otras tres divisiones el foso es estrecho: PCB Assembly Solutions perdió margen frente a japoneses y coreanos (EBIT del 12,7 % en 2023 al −14,5 % en el 2T26) y High Volume depende de China [1, 2]. Global Technologies crece con la IA, con rivales grandes (ASMPT, BESI, Hioki)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2020-2025: ingresos </w:t>
      </w:r>
      <w:r>
        <w:rPr>
          <w:b/>
          <w:bCs/>
        </w:rPr>
        <w:t xml:space="preserve">15,4 %</w:t>
      </w:r>
      <w:r>
        <w:t xml:space="preserve">, EBITDA </w:t>
      </w:r>
      <w:r>
        <w:rPr>
          <w:b/>
          <w:bCs/>
        </w:rPr>
        <w:t xml:space="preserve">15,3 %</w:t>
      </w:r>
      <w:r>
        <w:t xml:space="preserve">, BPA </w:t>
      </w:r>
      <w:r>
        <w:rPr>
          <w:b/>
          <w:bCs/>
        </w:rPr>
        <w:t xml:space="preserve">17,6 %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3.882 M SEK en 2020 a 7.938 M en 2025 (TCAC del 15,4 %) y a 8.649 M en los últimos doce meses a junio de 2026 [1, 2]. En 2025 el crecimiento fue del 12 %: 15 % orgánico, 4 % de compras y −7 % de divisa [1]. El margen EBIT va con la mezcla de Pattern Generators (máscaras, con margen EBIT del 50-57 %): 17,5 % en 2022, año sin entregas grandes, 28,6 % en 2024 y 24,4 % en 2025, cuando la división bajó del 56,5 % al 50,2 % y el grupo subió el gasto en I+D al 12,3 % de las ventas [1]. Los costes ligados a compras (amortización de intangibles comprados, retenciones y transacción) fueron 196 M en 2025 y 74 M en 2024 (margen subyacente del 26,9 % y 29,7 %) [1]. El primer semestre de 2026 llevó el margen al 33,2 % con la entrega del primer Prexision 8000 Evo (pedido de 45-48 M USD) y con Global Technologies en el 30,9 % [2]. Los años no comparables son 2021 y 2025 por las compras.</w:t>
      </w:r>
    </w:p>
    <w:p>
      <w:pPr>
        <w:pStyle w:val="Heading2"/>
      </w:pPr>
      <w:r>
        <w:t xml:space="preserve">Ajustes y partidas no recurrentes</w:t>
      </w:r>
    </w:p>
    <w:p>
      <w:pPr>
        <w:spacing w:after="100"/>
      </w:pPr>
      <w:r>
        <w:t xml:space="preserve">Se usan cifras publicadas. La empresa da un EBIT «subyacente» sin costes ligados a compras: 2.136 M en 2025 frente a 1.940 publicados (196 M de diferencia: amortización de intangibles comprados, programas de retención y gastos de transacción), y 1.681 M en el primer semestre de 2026 frente a 1.636 [1, 2]. Se repiten todos los años porque el grupo compra empresas pequeñas casi cada año, así que no se tratan como no recurrentes. En el segundo trimestre de 2026 hay además 39 M de reestructuración en PCB Assembly Solutions (100 M previstos hasta 2027), 24 M del plan de opciones de los empleados de Axxon (High Volume) y +14 M por revaluar el pago aplazado de Surfx [2]. El BPA de 2020-2024 está reexpresado por el desdoblamiento de dos por una de junio de 2025 [1, 14].</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(14-jul-2026) la dirección subió por segunda vez la previsión de ventas de 2026, de 8.750 a 9.250 M SEK (en febrero era 8.250 M), tras pedidos récord de 2.917 M (+119 %) [2, 3, 4]. El mensaje cambió respecto al 4T25: entonces el énfasis estaba en la caída de pedidos (−19 %) y en el gasto en I+D que bajó el margen al 17 % [4]; en 2026 el motor es Global Technologies (pedidos de 1.111 M en el trimestre, más de mil millones por primera vez) por la inversión en placas de servidores para IA, y High Volume por dispensado para disipar calor en servidores y montaje de módulos ópticos [2]. Pattern Generators recibió cuatro SLX, uno a medida de 27-30 M USD que la empresa pide no tomar como recurrente; su cartera bajó a 1.706 M (13 sistemas) y la dirección movió entregas de un trimestre a otro (un SLX del 2T al 3T26, un Prexision Lite 8 Evo y un MMS del 3T al 4T26) [2]. Los analistas preguntaron por la visibilidad de máscaras en 2027 (solo tres Prexision 8 Evo y un SLX en cartera para 2027) y por PCB Assembly Solutions, con margen EBIT del −14,5 % y un plan de reestructuración para volver al 10 % a finales de 2027 [2]. El EBIT del trimestre (698 M) superó en un 26 % al consenso de 554 M [15, 16]. Los resultados del 3T26 salen el 22-oct-2026; el consenso de siete analistas espera ventas de 2.171 M y EBIT de 418 M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Compras de atg Luther &amp; Maelzer (jun-21) y del 75 % de Shenzhen Huan Cheng Xin (HC Xin, nov-21): 1.117 M de caja; el balance de 2021 las incluye y la cuenta solo una parte del año [12].; 2025: Compras de Hprobe (mar-25), RoBAT (abr-25) y Surfx (jun-25) por 920 M de caja; aportaron 266 M de ventas en 2025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todos los años: 1.004 M en 2022, 2.795 M en 2024, 1.974 M en 2025 y 2.267 M en junio de 2026 [1, 2]. La caja bajó en 2025 por las compras (920 M) y el dividendo con extraordinario (734 M). El circulante crece con las ventas: existencias de 2.461 M en junio de 2026 (2.150 M en diciembre) por la cartera de sistemas de Global Technologies y High Volume y la fábrica nueva de Tailandia [2]. Los anticipos de clientes financian buena parte de las existencias de Pattern Generators y bajan cuando la cartera de máscaras se consume (de 1.253 M a 1.038 M en 2025) [1]: si en 2027 entran menos pedidos de máscaras, el circulante consumirá caja.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6.370</w:t>
      </w:r>
      <w:r>
        <w:t xml:space="preserve">, conversión </w:t>
      </w:r>
      <w:r>
        <w:rPr>
          <w:b/>
          <w:bCs/>
        </w:rPr>
        <w:t xml:space="preserve">98 %</w:t>
      </w:r>
      <w:r>
        <w:t xml:space="preserve"> del beneficio neto; adquisiciones 2.337, dividendos 2.302, recompras 103.</w:t>
      </w:r>
    </w:p>
    <w:p>
      <w:pPr>
        <w:spacing w:after="100"/>
      </w:pPr>
      <w:r>
        <w:t xml:space="preserve">La conversión de beneficio en caja es irregular por los anticipos de las máscaras: flujo operativo de 1.874 M en 2024 (111 % del beneficio) y de 1.407 M en 2025 (90 %), cuando el circulante consumió 549 M por existencias y menos anticipos [1]. En los doce meses a junio de 2026 el flujo operativo fue de 2.051 M [2]. La inversión es baja: 165 M en 2025 (2,1 % de las ventas, 91 M material y 74 M de desarrollo capitalizado) más 109 M de arrendamientos [1]; en el primer semestre de 2026 subió a 128 M por la fábrica de Tailandia y Kista [2]. Estimación propia: casi todo el capex es de mantenimiento y capacidad ligera; el crecimiento se compra (952 M en 2025, 1.117 M en 2021). Los usos de la caja en 2021-2025: dividendos 2.106 M, compras 2.337 M, recompras 103 M [1, 13].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AB (Anna Svanberg)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NIIF-UE con informe de auditoría sin salvedades de EY en 2025 [1]. El reconocimiento de ingresos es en el momento de la entrega o la aceptación para los sistemas (6.674 M de 7.938 en 2025) y a lo largo del tiempo para el servicio (1.264 M) [1]: por eso las ventas de Pattern Generators saltan con cada máscara entregada (1.291 M en el 1T26 frente a 577 M en el 4T25) [2]. La capitalización de desarrollo es modesta (64 M en 2025, 6,5 % del gasto en I+D) y la amortización de lo capitalizado parecida (54 M) [1]. El fondo de comercio subió a 2.646 M (37 % del patrimonio) por las compras de 2025; no ha habido deterioros [1]. La remuneración en acciones es pequeña (43 M de planes a largo plazo en 2025) [1]. El tipo impositivo efectivo es del 19-21 % [1]. Los indicadores del motor (Altman Z, Piotroski F y Beneish M) deben leerse con la irregularidad de la cuenta: un año de pocas entregas de máscaras mueve márgenes, existencias y anticipos a la vez.</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concentradas en entregas grandes de Pattern Generators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Prexision 8000 Evo de 45-48 M USD y los SLX a medida de 27-30 M USD mueven el trimestre: el EBIT del grupo fue de 938 M en el 1T26 y de 342 M en el 4T25 [2,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de 2.461 M en junio de 2026 (+14 % en seis meses) y bajas de existencias de 48 M en 2025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de compras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196 M en 2025 fuera del EBIT subyacente; se tratan como recurrentes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2.646 M en 2025 (el 53 % del capital invertido medio); ha subido más de un 5 % en 4 de 5 años: comprador en serie. ROIC publicado 34,5 %; sin fondo de comercio, 73,8 %.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39,0 % · </w:t>
      </w:r>
      <w:r>
        <w:rPr>
          <w:b/>
          <w:bCs/>
        </w:rPr>
        <w:t xml:space="preserve">WACC</w:t>
      </w:r>
      <w:r>
        <w:t xml:space="preserve">: 9,2 %.</w:t>
      </w:r>
    </w:p>
    <w:p>
      <w:pPr>
        <w:spacing w:after="100"/>
      </w:pPr>
      <w:r>
        <w:t xml:space="preserve">Mycronic crea valor con holgura: el ROIC fue del 34,5 % en 2025 y del 45,8 % en 2024, frente a un WACC del 9,2 %, y no bajó del 20 % ni en 2022, el año sin máscaras [1, 10]. Lo mueve el margen y no la rotación: el capital invertido rota 0,7-1,0 veces, pero Pattern Generators gana un EBIT del 50 % sobre ventas y cobra anticipos que financian sus existencias [1]. Sin el fondo de comercio de las compras el ROIC pasa del 70 %: la mitad del capital son compras de Global Technologies y High Volume, que rinden mucho menos (EBIT del 14-16 % en 2025). El ROIC incremental histórico (39 %) sale sobre todo de más máscaras, no de las compras. Los comparables de metrología (KLA, Lasertec) tienen márgenes operativos mayores (35-45 % [20]), pero el grupo está por encima de BESI, ASMPT o Nordson en rentabilidad sobre el capital.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2.687 M SEK a 30-jun-2026 y líneas de crédito de 2.000 M sin disponer; caja neta de 2.267 M (pasivos con interés de 421 M, sobre todo arrendamientos)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No hay deuda bancaria relevante: los pasivos con interés (348 M a cierre de 2025, 421 M en junio de 2026) son casi todos arrendamientos (336 M en 2025; vencimientos sin descontar de 374 M, 106 M a un año) [1, 2]. Los anticipos de clientes, 1.038 M en 2025 (1.253 M en 2024), se compensan con entregas de máscaras y no se devuelven en caja: son circulante, no deuda [1]. Pagos aplazados y contingentes de compras: hasta 57,8 M USD por Surfx en 2026-2028 (9,4 M de retención) y 19 M SEK aplazados por Cowin DST a tres años, en «otros pasivos no corrientes» (337 M en junio de 2026) [1, 2]. Provisiones de garantías y pensiones pequeñas (39 M a largo y 83 M a corto en 2025). El plan de opciones de Axxon puede dar a los empleados una parte minoritaria de la filial china de High Volume [2, 4].</w:t>
      </w:r>
    </w:p>
    <w:p>
      <w:pPr>
        <w:pStyle w:val="Heading1"/>
      </w:pPr>
      <w:r>
        <w:t xml:space="preserve">12. Asignación de capital</w:t>
      </w:r>
    </w:p>
    <w:p>
      <w:pPr>
        <w:pStyle w:val="Confianza"/>
        <w:spacing w:after="100"/>
      </w:pPr>
      <w:r>
        <w:t xml:space="preserve">Confianza: Alta</w:t>
      </w:r>
    </w:p>
    <w:p>
      <w:pPr>
        <w:spacing w:after="100"/>
      </w:pPr>
      <w:r>
        <w:t xml:space="preserve">La política de dividendos es repartir al menos un tercio del beneficio neto [1]. Dividendo de 3,25 SEK por acción con cargo a 2025 (41 % del beneficio), 2,75 SEK más 1,00 extraordinario con cargo a 2024 [1]. No hay recompras en marcha más allá de la cobertura de los planes de acciones (19 M en 2025) [1]. Prioridades declaradas: crecimiento orgánico con I+D (13 % de las ventas), compras de nichos tecnológicos dentro de Global Technologies y de las otras divisiones, y caja neta para aguantar los ciclos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atg Luther &amp; Maelzer (pruebas de placas,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línea PCB Test, hoy la de más crecimiento por las placas de servidores de IA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Shenzhen Huan Cheng Xin (HC Xin, 75 %; dispensado en China)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High Volume (Axxon); el 25 % restante se compró en 2025 por 32 M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Vanguard Automation (Alemania; nanoimpresión 3D de interconexiones fotónicas)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(18 M EUR más hasta 8 M EUR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 Photonic Interconnects, aún pequeña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Hprobe (Francia; pruebas magnéticas de MRAM)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(16 M EUR)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75 M y EBIT de −9 M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RoBAT (Reino Unido; pruebas)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(7,5 M GBP más hasta 4 M GBP)</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52 M y EBIT de −8 M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Surfx Technologies (EE. UU.; plasma atmosférico para encapsulado avanzado)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(87,5 M USD; hasta 57,8 M USD contingentes)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139 M y EBIT de −39 M en 2025 (con costes de compra); fondo de comercio de 596 M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Cowin DST (Corea; reparación de pantallas y máscaras)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(20,5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31 M y EBIT de −21 M en marzo-junio de 2026 [2].</w:t>
            </w:r>
          </w:p>
        </w:tc>
      </w:tr>
    </w:tbl>
    <w:p>
      <w:pPr>
        <w:spacing w:after="160" w:before="0"/>
      </w:pPr>
    </w:p>
    <w:p>
      <w:pPr>
        <w:spacing w:after="100"/>
      </w:pPr>
      <w:r>
        <w:t xml:space="preserve">La dirección asigna bien el capital en el núcleo: el ROIC del grupo está por encima del 20 % con caja neta y el dividendo ronda el 40 % del beneficio [1]. Las compras son la parte dudosa: entre 2024 y 2026 se han gastado unos 1.300 M en empresas pequeñas que en 2025 restaron EBIT (Hprobe −9 M, RoBAT −8 M, Surfx −39 M) y en junio de 2026 Cowin DST −21 M [1, 2]; el fondo de comercio ya es el 37 % del patrimonio. La línea que salió bien, atg (PCB Test, 2021), explica gran parte del salto de Global Technologies en 2026 [2]. Sin dilución: 195,3 M de acciones desde 2017 (ajustadas por el desdoblamiento)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Anders Lindqvist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Piab (2013-2019) y directivo de Atlas Copco (2004-2013, entre otros presidente en China). Con él las ventas pasaron de 4.307 M SEK en 2019 a 7.938 M en 2025 y el EBIT de 1.124 a 1.940 M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 Brorsson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de desarrollo corporativo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Ramirent y cargos en Atlas Copco. Lleva las compras de Global Technologies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Patrik Tigerschiöld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Bure Equity (primer accionista, 22,75 %), antiguo consejero delegado de Bure (2010-2013); consejero desde 2009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Charlott Samuelsson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Pattern Generators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 su carrera en Mycronic (posventa, desarrollo); bajo su dirección la división llegó a 3.232 M de ventas y EBIT del 50 %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Magnus Marthinsson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Global Technologies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Posventa y desarrollo en Mycronic; la división pasó de 928 M de ventas en 2023 a 1.632 M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Clemens Jargon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PCB Assembly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Telecomunicaciones y semiconductores (Infineon, Siemens); la división cayó de EBIT del 12,7 % en 2023 al 5,8 % en 2025 y está en reestructuración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«al nivel de 6.500 M SEK» (mantenida en el 3T24)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7.057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7.500 M (feb-25), rebajada a 7.000-7.500 M (abr-25) y devuelta a 7.500 M (jul-25)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7.938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8.250 M (feb-26), subida a 8.750 M (abr-26) y a 9.250 M (jul-26)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4.919 M en el primer semestre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2027-2030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10.000 M de ventas y EBIT de 2.000 M con margen &gt; 20 %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8.649 M de ventas y 2.232 M de EBIT en 12 meses a jun-26; sustituido en ago-26 por 20.000 M en 2032-2035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creíble: la previsión anual de ventas se ha cumplido o superado en 2024 y 2025, y en 2026 se ha subido dos veces [2]. El consejero delegado y el director financiero vienen de Atlas Copco y han llevado el grupo hacia compras de nichos, con la parte buena (PCB Test) y la floja (Surfx, Hprobe y RoBAT con EBIT negativo en 2025) [1]. La directora de Pattern Generators lleva 30 años en la empresa, lo que da continuidad técnica pero concentra conocimiento [1]. La única salida en 24 meses fue la de la directora de personas (nov-25), ya sustituida [25]. No hay plan de sucesión público del consejero delegado.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Patrik Tigerschiöld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Arun Bansal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Anna Belfrage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Katarina Bonde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Staffan Dahlström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 Hinrichsen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 Risberg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Jörgen Lundberg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Sahar Raouf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1,58 / ventas 4,14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Bure Equity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inversión (accionista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SEB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Cuarto Fondo de Pensiones (AP4)</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pensiones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Handelsbanken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Lannebo Kapitalförvaltning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562.876 acciones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Anders Lindqvist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Lena Båvegård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Clemens Jargon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Charlott Samuelsson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24,3 M SEK en 2025: 8,0 M de salario, 0,3 M de otras retribuciones, 9,2 M de variable anual, 3,9 M de variable a largo plazo en acciones y 2,8 M de pensión (19,9 M en 2024) [1]. El variable anual se liga a objetivos financieros del grupo (EBIT y crecimiento) [1, 22]; los planes de acciones a largo plazo dan acciones gratuitas según el resultado y la permanencia (en septiembre de 2026 se entregaron 13.948 acciones al consejero delegado) [24]. Ninguna métrica de ROIC ni de rentabilidad para el accionista entra en el variable. La junta de 2026 aprobó el informe de remuneraciones y las directrices; los comunicados no dan el porcentaje de votos [21].</w:t>
      </w:r>
    </w:p>
    <w:p>
      <w:pPr>
        <w:pStyle w:val="Heading2"/>
      </w:pPr>
      <w:r>
        <w:t xml:space="preserve">Operaciones vinculadas, estructura de control y defensas</w:t>
      </w:r>
    </w:p>
    <w:p>
      <w:pPr>
        <w:spacing w:after="100"/>
      </w:pPr>
      <w:r>
        <w:t xml:space="preserve">Una acción, un voto, sin blindajes [1]. Bure Equity tiene el 22,75 % y es de hecho el accionista de control: el presidente del consejo, Patrik Tigerschiöld, preside también Bure, y el consejero delegado de Bure, Henrik Blomquist, está en el comité de nombramientos con SEB Fonder y AP4 (36,6 % de los votos entre los tres) [1, 23]. Con los fondos suecos (más del 60 % del capital entre los diez primeros) el minoritario institucional pesa mucho en las juntas [1]. No hay operaciones vinculadas relevantes. Las operaciones de directivos de 2026 son entregas de acciones de los planes de incentivos y la venta de parte de ellas para pagar impuestos (2 de septiembre, a 304,85 SEK) [24].</w:t>
      </w:r>
    </w:p>
    <w:p>
      <w:pPr>
        <w:pStyle w:val="Heading2"/>
      </w:pPr>
      <w:r>
        <w:t xml:space="preserve">Señales de alerta</w:t>
      </w:r>
    </w:p>
    <w:p>
      <w:pPr>
        <w:pStyle w:val="ListParagraph"/>
        <w:numPr>
          <w:ilvl w:val="0"/>
          <w:numId w:val="2"/>
        </w:numPr>
        <w:spacing w:after="60"/>
      </w:pPr>
      <w:r>
        <w:t xml:space="preserve">Ninguna relevante detectada tras revisar el informe de gobierno de 2025, los comunicados de las juntas de 2025 y 2026, el registro de operaciones de directivos de la Finansinspektionen y los comunicados de 12 meses. Las ventas de directivos de septiembre de 2026 son para pagar impuestos de acciones recibidas en planes de incentivos.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Previsión de 2026: ventas «al nivel de 9.250 M SEK», subida el 14-jul-2026 desde 8.750 M (24-abr) y 8.250 M (5-feb) [2, 3, 4]. No da previsión de márgenes. Objetivo a medio plazo presentado el 31-ago-2026: 20.000 M de ventas en 2032-2035 con margen EBIT en torno al 25 % y cada división por encima del 10 % [18]; sustituye al de 10.000 M y 2.000 M de EBIT en 2027-2030. PCB Assembly Solutions debe volver a un margen EBIT &gt; 10 % a finales de 2027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(4 analistas) [28]; Yahoo da BPA de 10,28 y ventas de 9.377 M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[28]; Yahoo BPA 11,00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 2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230,00 – 385,00</w:t>
            </w:r>
          </w:p>
        </w:tc>
      </w:tr>
    </w:tbl>
    <w:p>
      <w:pPr>
        <w:spacing w:after="160" w:before="0"/>
      </w:pPr>
    </w:p>
    <w:p>
      <w:pPr>
        <w:pStyle w:val="Heading2"/>
      </w:pPr>
      <w:r>
        <w:t xml:space="preserve">Revisiones de estimaciones</w:t>
      </w:r>
    </w:p>
    <w:p>
      <w:pPr>
        <w:spacing w:after="100"/>
      </w:pPr>
      <w:r>
        <w:t xml:space="preserve">En 90 días el BPA de 2026 de Yahoo pasó de 10,22 a 10,28 y el de 2027 de 11,01 a 11,00: estable [27]. En 12 meses las estimaciones subieron mucho por los pedidos de Global Technologies y las dos subidas de la previsión (DNB Carnegie llevó su objetivo de 320 a 385 SEK en julio) [31]. En octubre el sesgo es a la baja para 2027: SB1 está un 21,5 % bajo el consenso en EBIT de 2027 por entregas de Prexision aplazadas y SEB bajó a mantener [29, 30]. Solo hay estimaciones completas de cuatro analistas en las fuentes gratuitas (MarketScreener y Yahoo, que coinciden en ventas); Modular Finance reúne a siete para el trimestre [15]. Los objetivos van de 230 a 385 SEK.</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batido con claridad al índice sueco: +49,4 % en un año frente al +12,0 % del OMXSPI y +36,7 % anual a tres años frente al +14,1 % (rentabilidades de precio) [26]. Los años malos coinciden con los valles de pedidos de máscaras (2021 −14 % y 2022 −7 %) [26]. La caída máxima en cinco años fue del −43,4 % (nov-21 a sep-22) [26]. Volatilidad del 39 % y beta de 0,93 frente al OMXSPI (1,02 semanal) [26]. No hay posiciones cortas declaradas de 0,5 % o más en el registro de la Finansinspektionen [34]. Desde el máximo del 6-oct-2026 (364,40 SEK) ha caído un 18 % por las rebajas de SEB y SB1 [29, 30].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 / -15,7 % / +9,0 % / +45,5 %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-18,3 % / +55,2 %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5-feb-2026 (un día) con los resultados del 4T25: pedidos −19 % y EBIT de 342 M frente a 376 M esperados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un mes hasta el 24-abr-2026: EBIT récord de 938 M en el 1T26 (consenso 898 M) con el primer Prexision 8000 Evo, y previsión de ventas subida a 8.750 M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14-jul-2026 (≈ +13 % en el día) con el 2T26: pedidos récord de 2.917 M (37 % sobre lo esperado), EBIT de 698 M y previsión a 9.250 M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12,6 % en el último mes desde el máximo de 364,40 SEK (6-oct): SEB bajó la recomendación a mantener el 15-oct (−8,1 % ese día; objetivo de 385 a 360 SEK) por la incertidumbre de Pattern Generators en 2027 y la valoración en línea con el sector, y SB1 avisó el 14-oct de un EBIT de 2027 un 21,5 % bajo el consenso por entregas de Prexision aplazadas [29,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jueves 22-oct a las 8:00; consenso de siete analistas: ventas de 2.171 M y EBIT de 418 M [2,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 baja a mantener (de comprar) con objetivo de 360 SEK (385): sube un 2-5 % el EBIT ajustado de 2026-2028 por divisa, pero ve incertidumbre en Pattern Generators en 2027 y la acción a 22 veces EV/EBIT de 2027, como el sector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SB1 Markets mantiene neutral y sube el objetivo a 350 SEK (335); su EBIT de 2027 queda un 21,5 % bajo el consenso por entregas de Prexision aplazadas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de dos SLX de un cliente de EE. UU. por 14-16 M USD, entrega en el 1T28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 de acciones de los planes de incentivos al consejero delegado y a la dirección, y venta de una parte para pagar impuestos (consejero delegado: 8.073 acciones a 304,85 SEK)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objetivo de 20.000 M de ventas en 2032-2035 con margen EBIT en torno al 25 %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DNB Carnegie sube a comprar con objetivo de 385 SEK (320) tras el 2T26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subió un 45,5 % en 12 meses por tres resultados mejores de lo esperado (1T26 y 2T26 con previsiones al alza) y cayó un 18,3 % desde el máximo del 6-oct por dos informes de bancos que ven un 2027 flojo en máscaras [29, 30, 35]. Esa caída tiene causa y la tesis del informe ya la recoge (cartera de Pattern Generators para 2027 con cuatro sistemas). No hay colocaciones, ampliaciones, litigios ni ofertas pendientes; Bure no ha anunciado ventas. Los resultados del 3T26 (22-oct) no aplazan la decisión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Mycronic cotiza en lo alto de su historia: 21,9 veces el EBITDA de los últimos 12 meses frente a una media de 16,8 en los cierres de 2020-2025 (máximo de 20,7), y 33,8 veces el beneficio frente a una media de 26,9 [1, 26]. La prima (26-30 %) tiene una parte estructural: hoy tiene caja neta, un ROIC por encima del 30 % y una tercera división ligada a la IA, y el mercado ya no la ve solo como un fabricante de máscaras para pantallas. La otra parte es de ciclo: los múltiplos al cierre suben cuando el mercado espera un año mejor, y la cartera de máscaras de 2027 no lo es. En PER adelantado (precio ÷ BPA del año siguiente) la mediana de 2021-2025 es de 22,2 veces y el mínimo de 16,7, frente a 30,6 hoy.</w:t>
      </w:r>
    </w:p>
    <w:p>
      <w:pPr>
        <w:pStyle w:val="Heading1"/>
      </w:pPr>
      <w:r>
        <w:t xml:space="preserve">18. Comparables cotizados</w:t>
      </w:r>
    </w:p>
    <w:p>
      <w:pPr>
        <w:pStyle w:val="Confianza"/>
        <w:spacing w:after="100"/>
      </w:pPr>
      <w:r>
        <w:t xml:space="preserve">Confianza: Media</w:t>
      </w:r>
    </w:p>
    <w:p>
      <w:pPr>
        <w:spacing w:after="100"/>
      </w:pPr>
      <w:r>
        <w:t xml:space="preserve">Fabricantes cotizados de equipos de semiconductores y electrónica con nichos de alta precisión y margen alto: inspección y metrología de máscaras y obleas (Lasertec, KLA, Nova, Camtek, Onto), unión de chips y encapsulado (BESI, ASMPT, Kulicke &amp; Soffa), dispensado (Nordson) y deposición (Aixtron). No hay ningún fabricante cotizado de escritoras láser de máscaras: Applied Materials las fabrica dentro de un grupo de 30.800 M USD y no se usa; Photronics es cliente, no comparable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Mycronic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Lasertec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2.151.498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Camtek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Onto Innovation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 Semiconductor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ASMPT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Kulicke &amp; Soffa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Aixtron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 / 34,0x / 37,2x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 / 25,1x / 26,6x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6,7x / 10,1x / 14,8x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No hay ningún fabricante cotizado de escritoras láser de máscaras: Applied Materials las hace dentro de un grupo de 30.800 M USD y Photronics es cliente [1, 27]. Usamos equipos de semiconductores y electrónica: metrología (Lasertec, KLA, Nova, Camtek, Onto), unión y encapsulado (BESI, ASMPT, Kulicke &amp; Soffa), dispensado (Nordson) y deposición (Aixtron). Su PER mediano de los próximos 12 meses es de 25,1 veces y Mycronic cotiza a 28,5: prima del 14 %, con menos crecimiento (11 % frente al 41 % de KLA y Lasertec) pero más caja neta y un ROIC del 34,5 %. Frente a Nordson (25 veces), el comparable de dispensado más parecido por ciclo, también cotiza con prima.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Cowin DST (Corea; reparación de pantallas y máscaras)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Mycronic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78 M SEK en 2025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ETZ (Alemania; sondas de prueba)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Mycronic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85 % de sus ventas eran a Mycronic: proveedor integrado, no comparable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Surfx Technologies (EE. UU.; plasma atmosférico)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Mycronic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87,5 M USD sobre ventas de 12 M USD en 2024 (25-30 M USD previstos para 2025: ≈ 3,2x)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RoBAT (Reino Unido; pruebas)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Mycronic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 M GBP sobre ventas de 3 M GBP en 2024, más hasta 4 M GBP contingentes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Hprobe (Francia; pruebas magnéticas)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 EUR sobre ventas de 4 M EUR en 2024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117,82 – 222,08</w:t>
            </w:r>
          </w:p>
        </w:tc>
      </w:tr>
    </w:tbl>
    <w:p>
      <w:pPr>
        <w:spacing w:after="160" w:before="0"/>
      </w:pPr>
    </w:p>
    <w:p>
      <w:pPr>
        <w:spacing w:after="100"/>
      </w:pPr>
      <w:r>
        <w:t xml:space="preserve">Son compras pequeñas de la propia Mycronic, todas en efectivo y sin EBITDA publicado: pagó entre 2,4 y 7,3 veces las ventas por empresas que restaban EBIT [1, 2]. Sirven para ver la disciplina de compra, no para valorar el grupo, que no tiene operaciones comparables recientes con múltiplo público. Con Bure al 22,75 % y una capitalización de unos 57.000 M SEK, una oferta por el grupo es poco probable a corto plazo.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(+17,2 %, fijo): primer semestre de 4.919 M (+16,9 %) y previsión «al nivel de 9.250 M» subida dos veces; el consenso está en 9.377 M [2, 28]. 2027e solo +5 %: la cartera de máscaras de 2027 son tres Prexision 8 Evo y un SLX, más dos SLX pedidos el 14-oct para 2028 [2, 19], y SB1 ve el EBIT de 2027 un 21,5 % bajo el consenso [30]. Después, +10 % en 2028e-2029e (IA en Global Technologies y High Volume, máscaras de chips) y descenso hasta el 4 % en 2035e: media del 7,1 % en 2027e-2035e, la mitad del 15,4 % de 2020-2025 (con compras) y por debajo del objetivo de la empresa (20.000 M en 2032-2035, ≈ 11 % anual) [18].</w:t>
      </w:r>
    </w:p>
    <w:p>
      <w:pPr>
        <w:keepNext/>
        <w:spacing w:after="100"/>
      </w:pPr>
      <w:r>
        <w:rPr>
          <w:b/>
          <w:bCs/>
        </w:rPr>
        <w:t xml:space="preserve">Márgenes.</w:t>
      </w:r>
    </w:p>
    <w:p>
      <w:pPr>
        <w:spacing w:after="100"/>
      </w:pPr>
      <w:r>
        <w:t xml:space="preserve">Margen EBITDA del 30,5 % en 2026e (primer semestre 37,1 %; consenso 30,3 % [28]) y 28-29 % después, coherente con el objetivo de EBIT de ≈ 25 % a largo plazo (más ≈ 4 puntos de amortización) [18]. Es la media de 2020-2025 (28,6 % en 2025, 32,4 % en 2024, 22,4 % en 2022): Pattern Generators gana el 50 % de EBIT pero sus entregas van a saltos; PCB Assembly Solutions está en pérdidas (−14,5 % en el 2T26) y debe volver al 10 % a finales de 2027 [2]. No proyectamos que la mezcla de IA en Global Technologies (35,6 % de EBIT en el 2T26) se mantenga en lo alto del ciclo.</w:t>
      </w:r>
    </w:p>
    <w:p>
      <w:pPr>
        <w:keepNext/>
        <w:spacing w:after="100"/>
      </w:pPr>
      <w:r>
        <w:rPr>
          <w:b/>
          <w:bCs/>
        </w:rPr>
        <w:t xml:space="preserve">Inversión y circulante.</w:t>
      </w:r>
    </w:p>
    <w:p>
      <w:pPr>
        <w:spacing w:after="100"/>
      </w:pPr>
      <w:r>
        <w:t xml:space="preserve">Capex del 3,5 % de las ventas (inmovilizado e intangibles, 165 M en 2025, más pagos de arrendamiento, 109 M: con NIIF 16 los alquileres están en la deuda y hay que pagarlos en el capex), subiendo al 3,8 % para igualar la amortización en 2035e [1]. Circulante comercial del 25 % de las ventas, neto de anticipos de clientes, igual que la media de 2023-2025 (25,0 % en 2025) [1]. No se proyectan compras: el capital de las de 2025-2026 ya está en el puente (pagos contingentes) y su resultado en la proyección.</w:t>
      </w:r>
    </w:p>
    <w:p>
      <w:pPr>
        <w:keepNext/>
        <w:spacing w:after="100"/>
      </w:pPr>
      <w:r>
        <w:rPr>
          <w:b/>
          <w:bCs/>
        </w:rPr>
        <w:t xml:space="preserve">Coste del capital.</w:t>
      </w:r>
    </w:p>
    <w:p>
      <w:pPr>
        <w:spacing w:after="100"/>
      </w:pPr>
      <w:r>
        <w:t xml:space="preserve">Tasa libre del 3,22 % (bono sueco a 10 años, 19-oct-2026 [32]); beta de 1,0, entre la mensual a 5 años (0,93) y la semanal ajustada (1,01) [26]; prima del 5,5 %; prima adicional de 0,5 puntos por la dependencia de China (46 % de las ventas) y de pocos pedidos grandes de máscaras. Coste de la deuda del 4 % y peso del 1 % (solo arrendamientos: tiene caja neta). WACC del 9,16 %. Con la prima implícita del mercado (4,2 % [33]) el WACC baja al 7,87 % y el DCF sube a 240,44 SEK, aún un 20 % bajo el precio.</w:t>
      </w:r>
    </w:p>
    <w:p>
      <w:pPr>
        <w:keepNext/>
        <w:spacing w:after="100"/>
      </w:pPr>
      <w:r>
        <w:rPr>
          <w:b/>
          <w:bCs/>
        </w:rPr>
        <w:t xml:space="preserve">Valor terminal.</w:t>
      </w:r>
    </w:p>
    <w:p>
      <w:pPr>
        <w:spacing w:after="100"/>
      </w:pPr>
      <w:r>
        <w:t xml:space="preserve">Crecimiento a perpetuidad del 2,5 %: inflación objetivo del Riksbank (2 %) más medio punto real, y por debajo de la tasa libre menos medio punto (2,72 %). El múltiplo de salida implícito (≈ 12 veces el EBITDA) queda por debajo de los 19-22 a los que cotiza hoy Mycronic: el DCF no supone que el mercado pague siempre la prima de la IA. El valor terminal pesa un 59 %.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183,30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234,43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(reinvierte el 28 %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 (histórico: 39,0 %)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 frente al 8,1 %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2.058 M, el 8 % del NOPAT, con un capex bruto medio del 3,7 % de las ventas). En un negocio de activos ligeros, el crecimiento medio del 8,1 %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9.250 M [2]: volumen del 22 % (orgánico del 28 % en el 1T26 y del 15 % en el 2T26: pedidos récord de Global Technologies y High Volume para servidores de IA y cinco SLX y un FPS en el 3T26), precio del 1 % y −5,8 % de divisa (corona fuerte frente al dólar) neto de las compras (Surfx, RoBAT, Hprobe, Cowin y ETZ) [2,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menos máscaras entregadas (cuatro sistemas en cartera para 2027 frente a ≈ 10 en 2026) compensado por las otras divisiones; precio del 1 %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8,5 %: dos SLX ya pedidos para el 1T28 [19], renovación de escritoras de pantallas (OLED de tamaño medio) y crecimiento de las placas de IA; precio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8,5 % y precio del 1,5 %, por debajo del ritmo del objetivo de la empresa (≈ 11 % anual)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7,5 % y precio del 1,5 %: converge hacia el crecimiento de los equipos de electrónica.</w:t>
            </w:r>
          </w:p>
        </w:tc>
      </w:tr>
    </w:tbl>
    <w:p>
      <w:pPr>
        <w:spacing w:after="160" w:before="0"/>
      </w:pPr>
    </w:p>
    <w:p>
      <w:pPr>
        <w:spacing w:after="100"/>
      </w:pPr>
      <w:r>
        <w:t xml:space="preserve">El crecimiento proyectado (8,1 % medio en 2026e-2035e) está por debajo del histórico (15,4 % anual en 2020-2025) y del objetivo de la empresa (≈ 11 %) [18], y casi no necesita capital: la reinversión neta es el 8 % del NOPAT y el crecimiento que financia al ROIC actual (9,7 %) supera al proyectado. El motor da también «Sí». El foso en máscaras para pantallas es amplio (todas las fábricas usan máscaras escritas con sus máquinas [1]) y el margen bruto del 66-77 % de Pattern Generators muestra poder de precios. Lo que falta es la cuota en cifras (no se publica): la prueba de cuota queda sin número. El riesgo no está en la capacidad de crecer sino en la regularidad de los pedidos.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 (base: 7,1 %)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41,2 % (base: 28,0 %)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 (WACC: 9,2 %)</w:t>
            </w:r>
          </w:p>
        </w:tc>
      </w:tr>
    </w:tbl>
    <w:p>
      <w:pPr>
        <w:spacing w:after="160" w:before="0"/>
      </w:pPr>
    </w:p>
    <w:p>
      <w:pPr>
        <w:spacing w:after="100"/>
      </w:pPr>
      <w:r>
        <w:t xml:space="preserve">El DCF da 194,17 SEK por acción, un 35,3 % bajo el precio (300,20), con un WACC del 9,16 % y un valor terminal que pesa el 59 %. El DCF inverso dice que el precio descuenta un crecimiento del 15,3 % anual en 2027e-2035e con nuestro margen (o un margen del 41,2 % con nuestro crecimiento), frente al 7,1 % de nuestro caso base y al 15,4 % de 2020-2025, que incluía compras y el mejor ciclo de máscaras de su historia. La rentabilidad implícita es del 6,8 % anual, por debajo del WACC (9,2 %) y de lo que pide el mercado (7,9 %). El precio es exigente: pide repetir el último lustro en la década siguiente, sin años malos como 2022, o llegar a los 20.000 M del objetivo antes de 2032. Ni con la prima del mercado (240,44 SEK) se llega al precio. El rango con ± 0,5 puntos de WACC y crecimiento terminal (173,89-221,45) queda entero por debajo.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 máscaras se secan en 2027 (como en 2022) y el ciclo de servidores de IA se frena: ventas −7 % en 2027e y margen EBITDA 6 puntos menor; después, crecimiento 3 puntos menor y margen 3 puntos menor que el base para siempre, por controles de exportación a China que cierran parte de High Volume y de los SLX chinos.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2027 flojo en máscaras (+5 %) compensado por Global Technologies y High Volume, vuelta al 10 % en 2028-2029 y margen EBITDA del 28-29 %, coherente con el objetivo de EBIT de ≈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pedidos de máscaras de 2027-2028 llegan pronto (OLED de tamaño medio, chips de IA) y la IA sigue tirando de las otras divisiones: 3 puntos más de crecimiento y 1,5 puntos más de margen, cerca del objetivo de 20.000 M en 2032-2035.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SEK) · precio actual 30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187,70 SEK (-37,5 %).</w:t>
      </w:r>
    </w:p>
    <w:p>
      <w:pPr>
        <w:spacing w:after="100"/>
      </w:pPr>
      <w:r>
        <w:t xml:space="preserve">Los tres escenarios quedan por debajo del precio: el alcista vale 242,64 SEK (−19,2 %) y el bajista 119,81 (−60,1 %). Ni siquiera crecer al 10,1 % anual con un margen final del 29,5 % justifica 300 SEK con un WACC del 9,2 %. El bajista no es extremo: 2022 ya tuvo un año sin máscaras (EBIT −15 %) y China pesa el 46 % de las ventas. El valor ponderado de los escenarios (187,70 SEK) queda un 37 % bajo el precio.</w:t>
      </w:r>
    </w:p>
    <w:p>
      <w:pPr>
        <w:pStyle w:val="Heading1"/>
      </w:pPr>
      <w:r>
        <w:t xml:space="preserve">22. Suma de partes</w:t>
      </w:r>
    </w:p>
    <w:p>
      <w:pPr>
        <w:pStyle w:val="Confianza"/>
        <w:spacing w:after="100"/>
      </w:pPr>
      <w:r>
        <w:t xml:space="preserve">Confianza: Media</w:t>
      </w:r>
    </w:p>
    <w:p>
      <w:pPr>
        <w:spacing w:after="100"/>
      </w:pPr>
      <w:r>
        <w:t xml:space="preserve">No aplica como método de valoración: Pattern Generators da el 75 % del EBIT de las divisiones en 2025 y no tiene ningún comparable cotizado (Applied Materials fabrica escritoras láser dentro de un grupo de 30.800 M USD) [1, 27]. Las otras tres divisiones (PCB Assembly Solutions, High Volume y Global Technologies) tendrían comparables (Fuji, Koh Young, Nordson, BESI), pero con márgenes del 5-16 % en 2025 no cambian el total.</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SEK) · precio actual 30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214,01 SEK (-28,7 % sobre 300,20).</w:t>
      </w:r>
    </w:p>
    <w:p>
      <w:pPr>
        <w:spacing w:after="100"/>
      </w:pPr>
      <w:r>
        <w:t xml:space="preserve">Pesos: DCF 50 %, comparables 30 % y escenarios 20 %. El DCF es el método más fiable para un negocio con caja neta y ROIC alto, pero los pedidos a saltos lo hacen sensible al año de partida; los escenarios recogen ese ciclo. Los comparables (PER de los próximos 12 meses, mediana de 25,1 veces: Lasertec, KLA, Nova, Camtek, Onto, BESI, ASMPT, Kulicke &amp; Soffa, Nordson y Aixtron [27]) son equipos de semiconductores en pleno ciclo de IA y crecen más (KLA y Lasertec +41 %): dan 264,61 SEK y son el método más generoso fuera del EV/EBITDA. Las transacciones (EV/ventas de 3,25 veces, compras pequeñas de Mycronic) no pesan. El valor objetivo de la síntesis es de 214,01 SEK (−28,7 %). El puente resta 592 M SEK de pagos contingentes de compras por su máximo (Surfx y Cowin DST, ≈ 3 SEK por acción) y suma la caja neta (2.266 M); los anticipos de clientes se compensan con entregas y van en el circulante.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(30.6x) ÷ 1.1 (tope: la mediana de 5 años, 22.2x,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304,13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340,55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bl>
    <w:p>
      <w:pPr>
        <w:spacing w:after="160" w:before="0"/>
      </w:pPr>
    </w:p>
    <w:p>
      <w:pPr>
        <w:spacing w:after="100"/>
      </w:pPr>
      <w:r>
        <w:rPr>
          <w:b/>
          <w:bCs/>
        </w:rPr>
        <w:t xml:space="preserve">Objetivo a 12 meses (ponderado):</w:t>
      </w:r>
      <w:r>
        <w:t xml:space="preserve"> 270,06 SEK · rentabilidad -9,0 % (base +2,4 %) · señal Mantener.</w:t>
      </w:r>
    </w:p>
    <w:p>
      <w:pPr>
        <w:spacing w:after="100"/>
      </w:pPr>
      <w:r>
        <w:t xml:space="preserve">Para comparar, con la regla v2 (historia al cierre, mismo precio): 23,2x / 25,8x / 25,8x, -10,4 % Vender; con el tope anterior del base (×1,3, 14-oct mediodía): -13,8 %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(10,05 SEK) está entre el de MarketScreener (9,90) y el de Yahoo (10,28) [27, 28]; el de 2027e (9,76) queda un 9 % bajo el consenso (10,70) y el de 2028e (10,94) un 15 % bajo (12,93). La diferencia está en las ventas (10.745 M frente a 11.478 en 2028e) y en el margen EBIT (25 % frente al 27,4 % del consenso, por encima del objetivo de la propia empresa, ≈ 25 % [18]). La mantenemos tras revisar cada supuesto: la cartera de máscaras de 2027 es corta y SB1 ya está un 21,5 % bajo el consenso en EBIT de 2027 [30]. Nuestro precio base (304,13 SEK) queda un 4,5 % bajo el objetivo medio (318,50).</w:t>
      </w:r>
    </w:p>
    <w:p>
      <w:pPr>
        <w:keepNext/>
        <w:spacing w:after="100"/>
      </w:pPr>
      <w:r>
        <w:rPr>
          <w:b/>
          <w:bCs/>
        </w:rPr>
        <w:t xml:space="preserve">Del valor intrínseco al objetivo a 12 meses.</w:t>
      </w:r>
    </w:p>
    <w:p>
      <w:pPr>
        <w:spacing w:after="100"/>
      </w:pPr>
      <w:r>
        <w:t xml:space="preserve">El objetivo a 12 meses (270,06 SEK, ponderado) queda un 10,0 % bajo el precio (−9,0 % con dividendo); el base (304,13 SEK, +2,4 % con dividendo) supone que el BPA crece un 11 % anual hasta 10,94 SEK en 2028e y que el PER baja de 30,6 a 27,8 veces (el tope de ÷1,1 en el camino hacia la mediana de cinco años, 22,2). El bajista (131,43) es el PER del cierre de 2023 (16,7) sobre un BPA un 28 % menor, y es lo que hunde la ponderada. El valor intrínseco (214,01) está un 21 % por debajo del objetivo a 12 meses: el mercado paga la IA por adelantado y la regla supone que el múltiplo baja despacio. Para comprar haría falta un precio de 214,01 SEK (−29 %); para vender (ponderada ≤ −10 %), uno por encima de 303,68.</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2.171 M de ventas y 418 M de EBIT [15]; pedidos de máscaras para 2027 y confirmación de la previsión de 9.250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previsión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previsión de ventas de 2027 frente a los 10.048 M del consenso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a 2027-06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Prexision para pantallas OLED de tamaño medio (45-48 M USD cada uno)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Rellenan el hueco de 2027-2028: cada uno ≈ 0,9 SEK de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reglas de control de exportación de EE. UU. y la UE sobre equipos de semiconductores a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para los SLX chinos y High Volume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PCB Assembly Solutions con margen EBIT &gt; 10 % (plan de reestructuración)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150 M de EBIT si se cumple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2027 y dividendo (3,25 SEK en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1,1 %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en servidores de IA (pedidos de Global Technologies de 1.111 M en el 2T26)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las otras divisiones; un frenazo restaría 10-15 % de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30,6 veces el BPA de los próximos 12 meses frente a una mediana adelantada de cinco años de 22,2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si el PER vuelve a 22-23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por IA y objetivo de 20.000 M en 2032-2035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2027 por debajo de 10.000 M o pedidos trimestrales &lt; 2.000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máscaras a saltos y de pocos clientes asiáticos (cartera de 2027: tres Prexision y un SLX)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−40 %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Posventa recurrente (≈ 29 % de la división), anticipos y dos SLX ya pedidos para 2028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pedido de Prexision en el 3T26-4T26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exportaciones y tensión con China (45,9 % de las ventas; High Volume 82 % en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 y geopolítica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en Tailandia («China+N»); las máscaras de pantallas no son de nodo avanzado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Inclusión de escritoras láser de máscaras en las listas de EE. UU. o de la UE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servidores de IA (Global Technologies y High Volume)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diversificados (vehículo, consumo, óptica)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Global Technologies por debajo de 600 M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Tecnología: los escritores de haz múltiple de electrones ganan capas de máscaras de chips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láser sigue siendo más barato para capas no críticas; en pantallas no hay alternativa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SLX a la baja con el mercado de máscaras de chips creciendo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PCB Assembly Solutions en pérdidas (EBIT −14,5 % en el 2T26) y compras de Global Technologies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y 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reestructuración (100 M de costes hasta 2027)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PCB Assembly Solutions sin mejorar en 2027 o deterioro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99 % de las ventas fuera de Suecia y costes en coronas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parciales y producción en Asia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Dólar por debajo de 9 SEK</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(cambio en la demanda de equipos y en el diseño de máscaras)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hoy suma pedidos en tres de las cuatro divisiones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pedidos de placas y óptica para servidores</w:t>
            </w:r>
          </w:p>
        </w:tc>
      </w:tr>
    </w:tbl>
    <w:p>
      <w:pPr>
        <w:spacing w:after="160" w:before="0"/>
      </w:pPr>
    </w:p>
    <w:p>
      <w:pPr>
        <w:pStyle w:val="Heading2"/>
      </w:pPr>
      <w:r>
        <w:t xml:space="preserve">Pre-mortem</w:t>
      </w:r>
    </w:p>
    <w:p>
      <w:pPr>
        <w:spacing w:after="100"/>
      </w:pPr>
      <w:r>
        <w:t xml:space="preserve">Octubre de 2029: la acción ha perdido un 40 %. No fue un problema de calidad sino de ciclo y de precio. En 2027 no llegó ningún Prexision nuevo: los fabricantes de pantallas chinos y coreanos aplazaron sus fábricas de OLED de tamaño medio y Pattern Generators entregó cuatro sistemas, como en 2022. Al mismo tiempo, los hiperescaladores frenaron la inversión en servidores tras dos años récord y Global Technologies perdió un tercio de sus pedidos. EE. UU. amplió los controles de exportación a equipos de máscaras y montaje hacia China, y High Volume, con el 82 % de sus ventas allí, se quedó sin parte de sus clientes. El BPA bajó de 10 a 7 SEK y el mercado volvió a pagar 17-20 veces, como en 2022-2023. La señal temprana: un 3T26 y un 4T26 sin pedidos de Prexision, una previsión de 2027 por debajo de 9.000 M y pedidos trimestrales del grupo por debajo de 2.000 M.</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3-5 años</w:t>
      </w:r>
    </w:p>
    <w:p>
      <w:pPr>
        <w:spacing w:after="100"/>
      </w:pPr>
      <w:r>
        <w:t xml:space="preserve">Hoy la IA es sobre todo viento a favor: las placas de muchas capas de los servidores (pruebas eléctricas de atg), el dispensado para disipar calor (High Volume) y el montaje de módulos ópticos (MRSI) dieron pedidos récord de 1.111 M en Global Technologies en el 2T26, y los chips de IA suben la demanda de máscaras, también de capas escritas por láser [2, 4]. El riesgo está en dos sitios: (1) ese tirón es cíclico y depende de la inversión de pocos hiperescaladores; si se frena, la parte de crecimiento que hoy paga el mercado desaparece; (2) el diseño de máscaras con IA (litografía computacional, formas curvas) empuja hacia escritores de haz múltiple de electrones, no láser, en las capas más avanzadas. La IA no sustituye las máquinas: no hay producto que la IA haga innecesario. Señal: pedidos de Global Technologies por debajo de 600 M o pedidos de SLX cayendo con el mercado de máscaras creciendo.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Mycronic es el control de exportaciones: sus máquinas están sujetas a las normas de doble uso y a las listas de entidades de EE. UU., y China fue el 45,9 % de las ventas de 2025 [1]. Le sigue la concentración en Asia de sus clientes de máscaras (95 % de Pattern Generators) [1]. Las emisiones propias son pequeñas (montaje en Täby, Suzhou, Shenzhen y Tailandia, sin fabricación pesada); lo social está en la cadena de suministro de componentes ópticos y electrónicos y en el talento de I+D (12,3 % de las ventas) [1].</w:t>
      </w:r>
    </w:p>
    <w:p>
      <w:pPr>
        <w:pStyle w:val="Heading2"/>
      </w:pPr>
      <w:r>
        <w:t xml:space="preserve">Controversias</w:t>
      </w:r>
    </w:p>
    <w:p>
      <w:pPr>
        <w:spacing w:after="100"/>
      </w:pPr>
      <w:r>
        <w:t xml:space="preserve">No hemos encontrado sanciones, litigios relevantes ni incidentes en los informes anuales de 2023-2025 ni en los comunicados de 2025-2026 [1, 10, 11]. Calificaciones de MSCI, Sustainalytics o CDP no comprobadas en fuente primaria: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máscaras de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fábricas de pantallas OLED de tamaño medio están en negociación y cuándo esperan los pedidos de Prexision 8 Evo para entregar en 2027-2028?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tres Prexision y un SLX en cartera para 2027, es la diferencia entre nuestro base y el bajista (−28 % de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exportaciones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SLX y de High Volume va a clientes chinos que podrían entrar en listas de control, y cuánto se puede servir desde Tailandia?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46 % de las ventas; es el riesgo de mayor impacto.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Global Technologies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EBIT del 35,6 % de Global Technologies en el 2T26 es mezcla de pruebas de placas de IA y cuánto aguanta si los pedidos vuelven a 400-500 M al trimestre?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2027-2028 supone márgenes de grupo por encima del objetivo del 25 %.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Haz de electrones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capas por juego de máscaras de chips se escriben hoy con láser y cómo cambia eso en los nodos de 2 nm y en las máscaras curvas?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las máscaras de chips crecen o se estancan para Mycronic.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PCB Assembly Solutions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perdió margen frente a los rivales japoneses y coreanos y qué pasa si no llega al 10 % de EBIT a finales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venta o un cierre cambiaría el perímetro y el capital empleado.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contingentes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valor razonable tienen hoy los hasta 57,8 M USD contingentes de Surfx y qué objetivos los disparan?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Restamos el máximo (≈ 3 SEK por acción); Surfx perdió 39 M en 2025.</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35 (23 primarias); citas distintas en el texto: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25,0 % frente a 25,0 % real: genera una variación de circulante de 343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fuentes (23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informe de gobierno y nota 9: dice que la junta de 2025 reelegió a EY, sin año de primera elección; 2) comunicados de las juntas de 2025 y 2026 en MFN: solo la reelección; 3) informe anual 2021 (ESEF): EY ya era auditor, sin fecha de primer nombramiento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35 del informe anual 2025: solo arrendamientos, sin vida media; 2) nota 21: vencimientos sin descontar; 3) sin deuda bancaria: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páginas de divisiones: «posición número uno» sin cifra de cuota; 2) informes trimestrales 2025-2026 (sección de mercados): tamaño de los mercados de máscaras, no de las escritoras; 3) búsqueda de estudios del mercado de escritoras de máscaras: sin cifra pública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nombra competidores; 2) Omdia y TechInsights citados por la empresa: mercado de máscaras, no de escritoras; 3) competidores no cotizados (Heidelberg Instruments) sin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la junta de 2026: «aprobó el informe de remuneraciones», sin votos; 2) comunicado de la junta de 2025: igual; 3) acta de la junta en la web de la empresa: no localizada en los documentos descargables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8 del informe anual 2025: remuneración y número medio de empleados, sin coste medio por empleado; 2) informe de remuneraciones: no descargado de la web (solo HTML dinámico); 3) cálculo con gastos de personal totales: la nota mezcla países y no da el total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 per_ntm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PER al cierre sobre el BPA del año; 2) Yahoo: sin series históricas de múltiplos adelantados; 3) MarketScreener: series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cortos de la Finansinspektionen (vigentes): ninguna posición ≥ 0,5 %; 2) Yahoo: sin dato para Estocolmo; 3) no hay dato agregado por debajo del umbral de publicación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(API, MYCR.ST): símbolo no encontrado; Simply Wall St (narrativas de usuarios): 403; 2) foros nórdicos: el foro de Inderes no tiene hilo propio de Mycronic (solo menciones sueltas) y el foro de Nordnet y Onvista no muestran mensajes sin sesión; 3) búsqueda de debates en Reddit, Flashback y Placera de los últimos tres meses: ningún hilo con debate real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(cuentas consolidadas, notas 6, 7, 19, 21, 23, 26, 34 y 35; resumen de diez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https://storage.mfn.se/74466bcb-9f6d-45f8-9c6a-71c20d3e0d6e/annual-report-2025.pdf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Interim Report January-June 2026 (cuentas del semestre, divisiones, cartera de pedidos de Pattern Generators, compras de ETZ y Cowin DST, datos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https://storage.mfn.se/c8f3d92b-f205-4f1a-9552-77f0d11afede/interim-report-january-june-2026.pdf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https://storage.mfn.se/fc37436b-e2f2-4f49-9f06-cc710a20f428/interim-report-january-march-2026.pdf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Year-end Report January-December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https://storage.mfn.se/41c3f8b1-a8ec-44f6-9e70-2c87b6e2c154/year-end-report-january-december-2025.pdf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January-September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https://storage.mfn.se/4187001e-7585-471a-99df-a05da8c2a81a/interim-report-january-september-2025.pdf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https://storage.mfn.se/20ebf2ea-548e-4ebd-b63e-1ca3cd5ab9ff/interim-report-january-june-2025.pdf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January-March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https://storage.mfn.se/5230bfda-11ee-4dc6-b008-a7c32b1a0457/interim-report-january-march-2025.pdf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Year-end Report January-December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https://storage.mfn.se/38f354ea-44e6-4b34-86d2-2f3ce946d3d3/year-end-report-january-december-2024.pdf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January-September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https://storage.mfn.se/a33f0c8b-0e01-46a9-b3fb-41781fb25e04/interim-report-january-september-2024.pdf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and Sustainability Report 2024 (divisiones 2022-2024)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https://storage.mfn.se/a/mycronic/9886c5d7-0cee-4544-bb56-c531ef7da1bc/annual-and-sustainability-report-2024.pdf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and Sustainability Report 2023 (cuenta 2022-2023, nota 19 de intangibles y fondo de comercio, divisiones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https://storage.mfn.se/13cdbaea-e787-4cb7-99cf-bb350135e30b/annual-and-sustainability-report-2023.pdf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Årsredovisning 2021 (ESEF): cuenta, balance y notas de 2020-2021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https://filings.xbrl.org/549300S5CCFESE4C6Y07/2021-12-31/ESEF/SE/0/mycr-2021-12-31-sv/reports/mycr-2021-12-31-sv.xhtml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2021-2024 en XBRL (cuenta, balance, flujos, existencias, anticipos de clientes)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 (LEI 549300S5CCFESE4C6Y07)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https://filings.xbrl.org/549300S5CCFESE4C6Y07/2024-12-31/ESEF/SE/0/Mycronic-2024-12-31-0-sv.json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executes share split and determines record date (desdoblamiento 2 por 1, 195.833.018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https://storage.mfn.se/f549412e-e8a8-4084-ab36-a78ef700b2cb/mycronic-executes-share-split-and-determines-record-date.pdf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Modular Finance IR Consensus: consenso de Mycronic antes de los resultados del 1T25 al 3T26 (ventas y EBIT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Modular Finance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https://www.inderes.se/en/releases/modular-finance-ir-consensus-mycronic-consensus-estimates-q3-2026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lyfter tvåsiffrigt – analyshuset upprepar Neutral (2T26: ventas 7 % y pedidos 37 % sobre lo esperado)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Aktiespararna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https://www.aktiespararna.se/nyheter/mycronic-lyfter-tvasiffrigt-analyshuset-upprepar-neutral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Technologies acquires Surfx in the US; Pattern Generators makes acquisition in South Korea (Cowin DST); Global Technologies makes acquisition in Germany (ETZ)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https://storage.mfn.se/81679e42-404f-480c-b9c1-a0b65d1097ee/global-technologies-makes-acquisition-in-germany.pdf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presents new financial targets (20.000 M SEK de ventas en 2032-2035, margen EBIT en torno al 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https://storage.mfn.se/9994b3bd-d046-4bc7-8801-089184d16e47/260831-mycronic-presents-new-financial-targets.pdf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receives order for two SLX mask writers (14-16 M USD, cliente de EE. UU., entrega 1T28)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https://storage.mfn.se/c002cbab-59b6-47c0-a769-78d8210c396a/mycronic-receives-order-for-two-slx-mask-writers.pdf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operativo de los últimos 12 meses de competidores (Applied Materials, Nordson, ASMPT, BESI, Fuji, Koh Young, Hioki, Lasertec, KLA, Photronics)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financialData)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https://finance.yahoo.com/quote/NDSN/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from the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https://storage.mfn.se/b9bcc931-5d0a-46a3-b7b0-a4a2d0645553/communique-from-the-annual-general-meeting-and-statutory-meeting-of-the-board-of-directors-of-mycronic-ab-publ.pdf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to the Annual General Meeting 2026 (propuestas de remuneración y planes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https://storage.mfn.se/5cf9f847-5d1a-4891-9bd3-a9c80dd19efc/notice-to-the-annual-general-meeting-in-mycronic-ab-publ.pdf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appoints Nomination Committee (Bure, SEB Fonder, Cuarto Fondo de Pensiones)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https://storage.mfn.se/86a562bb-556a-4b92-885e-79620347d4d9/mycronic-appoints-nomination-committee.pdf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Insynsregistret: operaciones de directivos de Mycronic (20-oct-2025 a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https://marknadssok.fi.se/publiceringsklient/sv-SE/Search/Search?SearchFunctionType=Insyn&amp;Utgivare=Mycronic+AB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change at Mycronic (salida de la directora de personas, nov-25; nombramiento de Annika Haaker, feb-26)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https://storage.mfn.se/c6952c2d-8b63-4911-8c3d-7199506bc1d8/management-change-at-mycronic.pdf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MYCR.ST, ^OMXSPI y EXV3.DE (precio, rango, volumen, rentabilidades, beta, volatilidad, caída máxima, cierres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https://finance.yahoo.com/quote/MYCR.ST/history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Mycronic y comparables: BPA y ventas por ejercicio, objetivos de precio, recomendaciones (quoteSummary, 20-oct-2026 09:42 UTC)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https://finance.yahoo.com/quote/MYCR.ST/analysis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Mycronic AB: estimaciones anuales 2026-2028 (ventas, EBITDA, EBIT, beneficio, BPA, dividendo) y objetivo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https://www.marketscreener.com/quote/stock/MYCRONIC-AB-6491366/finances/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SEB sänker Mycronic till behåll (objetivo 360 SEK, antes 385)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https://www.placera.se/telegram/mycronic-seb-sanker-mycronic-till-behall-20261015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SB1 höjer riktkursen för Mycronic till 350 kronor – upprepar neutral (EBIT 2027 un 21,5 % bajo el consenso por entregas de Prexision aplazadas)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https://www.placera.se/telegram/mycronic-sb1-hojer-riktkursen-for-mycronic-till-350-kronor-upprepar-neutral-20261014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Köpråd för Mycronic – här är morgonens aktierekar (DNB Carnegie sube a comprar, objetivo 385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https://placera.se/nyheter/koprad-for-mycronic--har-ar-morgonens-aktierekar-2026-07-15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del Estado sueco a 10 años (SEGVB10YC): 3,22 %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Sveriges Riksbank (API SWEA)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https://api.riksbank.se/swea/v1/Observations/SEGVB10YC/2026-10-08/2026-10-20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Blankningsregistret: posiciones cortas significativas vigentes (ninguna ≥ 0,5 % en Mycronic)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https://www.fi.se/sv/vara-register/blankningsregistret/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de MYCR.ST (1, 3, 6 y 12 meses, máximos, media de 200 sesiones, tendencia): sesión del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(herramientas/movimiento.mjs)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https://finance.yahoo.com/quote/MYCR.ST/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86,2 %</w:t>
      </w:r>
      <w:r>
        <w:t xml:space="preserve"> · Secciones con menos del 60 % de campos cubiertos: </w:t>
      </w:r>
      <w:r>
        <w:rPr>
          <w:b/>
          <w:bCs/>
        </w:rPr>
        <w:t xml:space="preserve">sentimiento</w:t>
      </w:r>
      <w:r>
        <w:t xml:space="preserve"> · Generado el 20 oct 2026.</w:t>
      </w:r>
    </w:p>
    <w:p>
      <w:pPr>
        <w:pStyle w:val="Nota"/>
        <w:spacing w:after="100"/>
      </w:pPr>
      <w:r>
        <w:t xml:space="preserve">Cifras en millones de SEK, ejercicio natural. El último ejercicio cerrado es 2025 y el último trimestre publicado el 2T26 (14-jul-2026); los resultados del 3T26 salen el 22-oct-2026, dos días después del corte. Cuentas de 2020-2024 del XBRL ESEF del regulador y de 2025 del informe anual auditado (ESEF de 2025 sin XBRL descargable), con los trimestres 3T24-2T26 [1, 2, 3, 4, 5, 6, 7, 8, 9, 13]. Precio: cierre del 19-oct-2026 (300,20 SEK); la sesión del 20-oct estaba abierta durante el análisis (293,20 SEK a las 11:37 de Estocolmo [35]) y la decisión se comprueba con ese precio en las pruebas de robustez. El PER actual de la regla usa el BPA de los próximos 12 meses (2,4 meses de 2026e y 9,6 de 2027e), la misma base que la historia. Sin cuota de mercado publicada de las escritoras de máscaras: la prueba de cuota de la sostenibilidad queda sin cifra. Sentimiento de foros no disponible (tres intentos). Una acción vale ≈ 27,0 EUR (11,11 SEK por EUR, 20-oct [27]): la posición mínima de 1.000 EUR son ≈ 37 acciones.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Mycronic AB (publ) (MYCR)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300,20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(183,32 – 364,40)</c:v>
                </c:pt>
                <c:pt idx="1">
                  <c:v>Precio objetivo de los analistas (230,00 – 385,00)</c:v>
                </c:pt>
                <c:pt idx="2">
                  <c:v>Comparables: PER NTM (253,28 – 280,43)</c:v>
                </c:pt>
                <c:pt idx="3">
                  <c:v>Transacciones precedentes (EV/ventas) (117,82 – 222,08)</c:v>
                </c:pt>
                <c:pt idx="4">
                  <c:v>DCF (WACC y g ± 0,5) (173,89 – 221,45)</c:v>
                </c:pt>
                <c:pt idx="5">
                  <c:v>Escenarios (bajista – alcista) (119,81 – 242,64)</c:v>
                </c:pt>
                <c:pt idx="6">
                  <c:v>DCF con la prima implícita del mercado (4,2 %)</c:v>
                </c:pt>
                <c:pt idx="7">
                  <c:v>Precio actual (300,20)</c:v>
                </c:pt>
              </c:strCache>
            </c:strRef>
          </c:cat>
          <c:val>
            <c:numRef>
              <c:f>Hoja1!$B$2:$B$9</c:f>
              <c:numCache>
                <c:formatCode>#,##0</c:formatCode>
                <c:ptCount val="8"/>
                <c:pt idx="0">
                  <c:v>183.32</c:v>
                </c:pt>
                <c:pt idx="1">
                  <c:v>230</c:v>
                </c:pt>
                <c:pt idx="2">
                  <c:v>253.28</c:v>
                </c:pt>
                <c:pt idx="3">
                  <c:v>117.82</c:v>
                </c:pt>
                <c:pt idx="4">
                  <c:v>173.89</c:v>
                </c:pt>
                <c:pt idx="5">
                  <c:v>119.81</c:v>
                </c:pt>
                <c:pt idx="6">
                  <c:v>220.02</c:v>
                </c:pt>
                <c:pt idx="7">
                  <c:v>298.7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(183,32 – 364,40)</c:v>
                </c:pt>
                <c:pt idx="1">
                  <c:v>Precio objetivo de los analistas (230,00 – 385,00)</c:v>
                </c:pt>
                <c:pt idx="2">
                  <c:v>Comparables: PER NTM (253,28 – 280,43)</c:v>
                </c:pt>
                <c:pt idx="3">
                  <c:v>Transacciones precedentes (EV/ventas) (117,82 – 222,08)</c:v>
                </c:pt>
                <c:pt idx="4">
                  <c:v>DCF (WACC y g ± 0,5) (173,89 – 221,45)</c:v>
                </c:pt>
                <c:pt idx="5">
                  <c:v>Escenarios (bajista – alcista) (119,81 – 242,64)</c:v>
                </c:pt>
                <c:pt idx="6">
                  <c:v>DCF con la prima implícita del mercado (4,2 %)</c:v>
                </c:pt>
                <c:pt idx="7">
                  <c:v>Precio actual (300,20)</c:v>
                </c:pt>
              </c:strCache>
            </c:strRef>
          </c:cat>
          <c:val>
            <c:numRef>
              <c:f>Hoja1!$C$2:$C$9</c:f>
              <c:numCache>
                <c:formatCode>#,##0</c:formatCode>
                <c:ptCount val="8"/>
                <c:pt idx="0">
                  <c:v>181.07999999999998</c:v>
                </c:pt>
                <c:pt idx="1">
                  <c:v>155</c:v>
                </c:pt>
                <c:pt idx="2">
                  <c:v>27.150000000000006</c:v>
                </c:pt>
                <c:pt idx="3">
                  <c:v>104.26000000000002</c:v>
                </c:pt>
                <c:pt idx="4">
                  <c:v>47.56</c:v>
                </c:pt>
                <c:pt idx="5">
                  <c:v>122.82999999999998</c:v>
                </c:pt>
                <c:pt idx="6">
                  <c:v>45.08000000000001</c:v>
                </c:pt>
                <c:pt idx="7">
                  <c:v>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(SEK, millones)</a:t>
            </a:r>
          </a:p>
        </c:rich>
      </c:tx>
      <c:overlay val="0"/>
    </c:title>
    <c:autoTitleDeleted val="0"/>
    <c:plotArea>
      <c:layout/>
      <c:barChart>
        <c:barDir val="col"/>
        <c:grouping val="stacked"/>
        <c:varyColors val="0"/>
        <c:ser>
          <c:idx val="0"/>
          <c:order val="0"/>
          <c:tx>
            <c:strRef>
              <c:f>Hoja1!$B$1</c:f>
              <c:strCache>
                <c:ptCount val="1"/>
                <c:pt idx="0">
                  <c:v>Pattern Generators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1645</c:v>
                </c:pt>
                <c:pt idx="1">
                  <c:v>1369</c:v>
                </c:pt>
                <c:pt idx="2">
                  <c:v>2106</c:v>
                </c:pt>
                <c:pt idx="3">
                  <c:v>2997</c:v>
                </c:pt>
                <c:pt idx="4">
                  <c:v>3232</c:v>
                </c:pt>
              </c:numCache>
            </c:numRef>
          </c:val>
        </c:ser>
        <c:ser>
          <c:idx val="1"/>
          <c:order val="1"/>
          <c:tx>
            <c:strRef>
              <c:f>Hoja1!$C$1</c:f>
              <c:strCache>
                <c:ptCount val="1"/>
                <c:pt idx="0">
                  <c:v>PCB Assembly Solutions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1176</c:v>
                </c:pt>
                <c:pt idx="1">
                  <c:v>1405</c:v>
                </c:pt>
                <c:pt idx="2">
                  <c:v>1535</c:v>
                </c:pt>
                <c:pt idx="3">
                  <c:v>1489</c:v>
                </c:pt>
                <c:pt idx="4">
                  <c:v>1372</c:v>
                </c:pt>
              </c:numCache>
            </c:numRef>
          </c:val>
        </c:ser>
        <c:ser>
          <c:idx val="2"/>
          <c:order val="2"/>
          <c:tx>
            <c:strRef>
              <c:f>Hoja1!$D$1</c:f>
              <c:strCache>
                <c:ptCount val="1"/>
                <c:pt idx="0">
                  <c:v>High Volume</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1200</c:v>
                </c:pt>
                <c:pt idx="1">
                  <c:v>1479</c:v>
                </c:pt>
                <c:pt idx="2">
                  <c:v>1140</c:v>
                </c:pt>
                <c:pt idx="3">
                  <c:v>1434</c:v>
                </c:pt>
                <c:pt idx="4">
                  <c:v>1720</c:v>
                </c:pt>
              </c:numCache>
            </c:numRef>
          </c:val>
        </c:ser>
        <c:ser>
          <c:idx val="3"/>
          <c:order val="3"/>
          <c:tx>
            <c:strRef>
              <c:f>Hoja1!$E$1</c:f>
              <c:strCache>
                <c:ptCount val="1"/>
                <c:pt idx="0">
                  <c:v>Global Technologies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657</c:v>
                </c:pt>
                <c:pt idx="1">
                  <c:v>865</c:v>
                </c:pt>
                <c:pt idx="2">
                  <c:v>928</c:v>
                </c:pt>
                <c:pt idx="3">
                  <c:v>1138</c:v>
                </c:pt>
                <c:pt idx="4">
                  <c:v>1632</c:v>
                </c:pt>
              </c:numCache>
            </c:numRef>
          </c:val>
        </c:ser>
        <c:ser>
          <c:idx val="4"/>
          <c:order val="4"/>
          <c:tx>
            <c:strRef>
              <c:f>Hoja1!$F$1</c:f>
              <c:strCache>
                <c:ptCount val="1"/>
                <c:pt idx="0">
                  <c:v>Grupo y eliminaciones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-43</c:v>
                </c:pt>
                <c:pt idx="1">
                  <c:v>1</c:v>
                </c:pt>
                <c:pt idx="2">
                  <c:v>-3</c:v>
                </c:pt>
                <c:pt idx="3">
                  <c:v>-1</c:v>
                </c:pt>
                <c:pt idx="4">
                  <c:v>-18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Pattern Generators</c:v>
                </c:pt>
                <c:pt idx="1">
                  <c:v>PCB Assembly Solutions</c:v>
                </c:pt>
                <c:pt idx="2">
                  <c:v>High Volume</c:v>
                </c:pt>
                <c:pt idx="3">
                  <c:v>Global Technologies</c:v>
                </c:pt>
                <c:pt idx="4">
                  <c:v>Grupo y eliminaciones</c:v>
                </c:pt>
              </c:strCache>
            </c:strRef>
          </c:cat>
          <c:val>
            <c:numRef>
              <c:f>Hoja1!$B$2:$B$6</c:f>
              <c:numCache>
                <c:formatCode>General</c:formatCode>
                <c:ptCount val="5"/>
                <c:pt idx="0">
                  <c:v>40.7</c:v>
                </c:pt>
                <c:pt idx="1">
                  <c:v>17.3</c:v>
                </c:pt>
                <c:pt idx="2">
                  <c:v>21.7</c:v>
                </c:pt>
                <c:pt idx="3">
                  <c:v>20.6</c:v>
                </c:pt>
                <c:pt idx="4">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China</c:v>
                </c:pt>
                <c:pt idx="1">
                  <c:v>Resto de Asia</c:v>
                </c:pt>
                <c:pt idx="2">
                  <c:v>Corea del Sur</c:v>
                </c:pt>
                <c:pt idx="3">
                  <c:v>EE. UU.</c:v>
                </c:pt>
                <c:pt idx="4">
                  <c:v>Resto de Europa</c:v>
                </c:pt>
                <c:pt idx="5">
                  <c:v>Otras Américas</c:v>
                </c:pt>
                <c:pt idx="6">
                  <c:v>Suecia</c:v>
                </c:pt>
                <c:pt idx="7">
                  <c:v>Otros</c:v>
                </c:pt>
              </c:strCache>
            </c:strRef>
          </c:cat>
          <c:val>
            <c:numRef>
              <c:f>Hoja1!$B$2:$B$9</c:f>
              <c:numCache>
                <c:formatCode>0"%"</c:formatCode>
                <c:ptCount val="8"/>
                <c:pt idx="0">
                  <c:v>45.9</c:v>
                </c:pt>
                <c:pt idx="1">
                  <c:v>16.9</c:v>
                </c:pt>
                <c:pt idx="2">
                  <c:v>11.2</c:v>
                </c:pt>
                <c:pt idx="3">
                  <c:v>12.4</c:v>
                </c:pt>
                <c:pt idx="4">
                  <c:v>10.5</c:v>
                </c:pt>
                <c:pt idx="5">
                  <c:v>2</c:v>
                </c:pt>
                <c:pt idx="6">
                  <c:v>0.6</c:v>
                </c:pt>
                <c:pt idx="7">
                  <c:v>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(máscaras para pantallas, Omdia))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2023</c:v>
                </c:pt>
                <c:pt idx="1">
                  <c:v>2024</c:v>
                </c:pt>
                <c:pt idx="2">
                  <c:v>2025</c:v>
                </c:pt>
                <c:pt idx="3">
                  <c:v>2026e</c:v>
                </c:pt>
              </c:strCache>
            </c:strRef>
          </c:cat>
          <c:val>
            <c:numRef>
              <c:f>Hoja1!$B$2:$B$5</c:f>
              <c:numCache>
                <c:formatCode>#,##0</c:formatCode>
                <c:ptCount val="4"/>
                <c:pt idx="0">
                  <c:v>908</c:v>
                </c:pt>
                <c:pt idx="1">
                  <c:v>921</c:v>
                </c:pt>
                <c:pt idx="2">
                  <c:v>994</c:v>
                </c:pt>
                <c:pt idx="3">
                  <c:v>1024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2</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Mycronic</c:v>
                </c:pt>
                <c:pt idx="1">
                  <c:v>Applied Materials (ALTA, escritoras láser)</c:v>
                </c:pt>
                <c:pt idx="2">
                  <c:v>Heidelberg Instruments</c:v>
                </c:pt>
                <c:pt idx="3">
                  <c:v>Nordson (dispensado)</c:v>
                </c:pt>
                <c:pt idx="4">
                  <c:v>ASMPT</c:v>
                </c:pt>
                <c:pt idx="5">
                  <c:v>BE Semiconductor</c:v>
                </c:pt>
                <c:pt idx="6">
                  <c:v>Fuji Corporation</c:v>
                </c:pt>
                <c:pt idx="7">
                  <c:v>Koh Young</c:v>
                </c:pt>
                <c:pt idx="8">
                  <c:v>Hioki</c:v>
                </c:pt>
              </c:strCache>
            </c:strRef>
          </c:cat>
          <c:val>
            <c:numRef>
              <c:f>Hoja1!$B$2:$B$10</c:f>
              <c:numCache>
                <c:formatCode>0.0"%"</c:formatCode>
                <c:ptCount val="9"/>
                <c:pt idx="0">
                  <c:v>24.4</c:v>
                </c:pt>
                <c:pt idx="1">
                  <c:v>33.7</c:v>
                </c:pt>
                <c:pt idx="3">
                  <c:v>27.4</c:v>
                </c:pt>
                <c:pt idx="4">
                  <c:v>15.9</c:v>
                </c:pt>
                <c:pt idx="5">
                  <c:v>43.5</c:v>
                </c:pt>
                <c:pt idx="6">
                  <c:v>25.1</c:v>
                </c:pt>
                <c:pt idx="7">
                  <c:v>16.4</c:v>
                </c:pt>
                <c:pt idx="8">
                  <c:v>18.2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4</c:v>
                </c:pt>
                <c:pt idx="3">
                  <c:v>2</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3882</c:v>
                </c:pt>
                <c:pt idx="1">
                  <c:v>4635</c:v>
                </c:pt>
                <c:pt idx="2">
                  <c:v>5119</c:v>
                </c:pt>
                <c:pt idx="3">
                  <c:v>5706</c:v>
                </c:pt>
                <c:pt idx="4">
                  <c:v>7057</c:v>
                </c:pt>
                <c:pt idx="5">
                  <c:v>7938</c:v>
                </c:pt>
                <c:pt idx="6">
                  <c:v>9303</c:v>
                </c:pt>
                <c:pt idx="7">
                  <c:v>9769</c:v>
                </c:pt>
                <c:pt idx="8">
                  <c:v>10745</c:v>
                </c:pt>
                <c:pt idx="9">
                  <c:v>11820</c:v>
                </c:pt>
                <c:pt idx="10">
                  <c:v>12884</c:v>
                </c:pt>
                <c:pt idx="11">
                  <c:v>13914</c:v>
                </c:pt>
                <c:pt idx="12">
                  <c:v>14888</c:v>
                </c:pt>
                <c:pt idx="13">
                  <c:v>15782</c:v>
                </c:pt>
                <c:pt idx="14">
                  <c:v>16571</c:v>
                </c:pt>
                <c:pt idx="15">
                  <c:v>17234</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1112</c:v>
                </c:pt>
                <c:pt idx="1">
                  <c:v>1254</c:v>
                </c:pt>
                <c:pt idx="2">
                  <c:v>1147</c:v>
                </c:pt>
                <c:pt idx="3">
                  <c:v>1499</c:v>
                </c:pt>
                <c:pt idx="4">
                  <c:v>2287</c:v>
                </c:pt>
                <c:pt idx="5">
                  <c:v>2270</c:v>
                </c:pt>
                <c:pt idx="6">
                  <c:v>2838</c:v>
                </c:pt>
                <c:pt idx="7">
                  <c:v>2784</c:v>
                </c:pt>
                <c:pt idx="8">
                  <c:v>3116</c:v>
                </c:pt>
                <c:pt idx="9">
                  <c:v>3428</c:v>
                </c:pt>
                <c:pt idx="10">
                  <c:v>3672</c:v>
                </c:pt>
                <c:pt idx="11">
                  <c:v>3966</c:v>
                </c:pt>
                <c:pt idx="12">
                  <c:v>4169</c:v>
                </c:pt>
                <c:pt idx="13">
                  <c:v>4419</c:v>
                </c:pt>
                <c:pt idx="14">
                  <c:v>4640</c:v>
                </c:pt>
                <c:pt idx="15">
                  <c:v>4825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53.6</c:v>
                </c:pt>
                <c:pt idx="1">
                  <c:v>49.3</c:v>
                </c:pt>
                <c:pt idx="2">
                  <c:v>44.7</c:v>
                </c:pt>
                <c:pt idx="3">
                  <c:v>50.1</c:v>
                </c:pt>
                <c:pt idx="4">
                  <c:v>52.7</c:v>
                </c:pt>
                <c:pt idx="5">
                  <c:v>52.4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28.6</c:v>
                </c:pt>
                <c:pt idx="1">
                  <c:v>27.1</c:v>
                </c:pt>
                <c:pt idx="2">
                  <c:v>22.4</c:v>
                </c:pt>
                <c:pt idx="3">
                  <c:v>26.3</c:v>
                </c:pt>
                <c:pt idx="4">
                  <c:v>32.4</c:v>
                </c:pt>
                <c:pt idx="5">
                  <c:v>28.6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23.1</c:v>
                </c:pt>
                <c:pt idx="1">
                  <c:v>22.6</c:v>
                </c:pt>
                <c:pt idx="2">
                  <c:v>17.5</c:v>
                </c:pt>
                <c:pt idx="3">
                  <c:v>21.6</c:v>
                </c:pt>
                <c:pt idx="4">
                  <c:v>28.6</c:v>
                </c:pt>
                <c:pt idx="5">
                  <c:v>24.4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17.9</c:v>
                </c:pt>
                <c:pt idx="1">
                  <c:v>17.9</c:v>
                </c:pt>
                <c:pt idx="2">
                  <c:v>14.5</c:v>
                </c:pt>
                <c:pt idx="3">
                  <c:v>17.5</c:v>
                </c:pt>
                <c:pt idx="4">
                  <c:v>23.8</c:v>
                </c:pt>
                <c:pt idx="5">
                  <c:v>19.7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39.7</c:v>
                </c:pt>
                <c:pt idx="1">
                  <c:v>4.6</c:v>
                </c:pt>
                <c:pt idx="2">
                  <c:v>26.6</c:v>
                </c:pt>
                <c:pt idx="3">
                  <c:v>35.3</c:v>
                </c:pt>
                <c:pt idx="4">
                  <c:v>-4</c:v>
                </c:pt>
                <c:pt idx="5">
                  <c:v>-1.8</c:v>
                </c:pt>
                <c:pt idx="6">
                  <c:v>16.9</c:v>
                </c:pt>
                <c:pt idx="7">
                  <c:v>16.9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45</c:v>
                </c:pt>
                <c:pt idx="1">
                  <c:v>2</c:v>
                </c:pt>
                <c:pt idx="2">
                  <c:v>25</c:v>
                </c:pt>
                <c:pt idx="3">
                  <c:v>44</c:v>
                </c:pt>
                <c:pt idx="4">
                  <c:v>-4</c:v>
                </c:pt>
                <c:pt idx="5">
                  <c:v>3</c:v>
                </c:pt>
                <c:pt idx="6">
                  <c:v>28</c:v>
                </c:pt>
                <c:pt idx="7">
                  <c:v>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57</c:v>
                </c:pt>
                <c:pt idx="1">
                  <c:v>52</c:v>
                </c:pt>
                <c:pt idx="2">
                  <c:v>81</c:v>
                </c:pt>
                <c:pt idx="3">
                  <c:v>81</c:v>
                </c:pt>
                <c:pt idx="4">
                  <c:v>78</c:v>
                </c:pt>
                <c:pt idx="5">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239</c:v>
                </c:pt>
                <c:pt idx="1">
                  <c:v>212</c:v>
                </c:pt>
                <c:pt idx="2">
                  <c:v>185</c:v>
                </c:pt>
                <c:pt idx="3">
                  <c:v>205</c:v>
                </c:pt>
                <c:pt idx="4">
                  <c:v>225</c:v>
                </c:pt>
                <c:pt idx="5">
                  <c:v>208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53</c:v>
                </c:pt>
                <c:pt idx="1">
                  <c:v>46</c:v>
                </c:pt>
                <c:pt idx="2">
                  <c:v>40</c:v>
                </c:pt>
                <c:pt idx="3">
                  <c:v>50</c:v>
                </c:pt>
                <c:pt idx="4">
                  <c:v>61</c:v>
                </c:pt>
                <c:pt idx="5">
                  <c:v>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915</c:v>
                </c:pt>
                <c:pt idx="1">
                  <c:v>825</c:v>
                </c:pt>
                <c:pt idx="2">
                  <c:v>628</c:v>
                </c:pt>
                <c:pt idx="3">
                  <c:v>1328</c:v>
                </c:pt>
                <c:pt idx="4">
                  <c:v>1541</c:v>
                </c:pt>
                <c:pt idx="5">
                  <c:v>1133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694</c:v>
                </c:pt>
                <c:pt idx="1">
                  <c:v>828</c:v>
                </c:pt>
                <c:pt idx="2">
                  <c:v>741</c:v>
                </c:pt>
                <c:pt idx="3">
                  <c:v>998</c:v>
                </c:pt>
                <c:pt idx="4">
                  <c:v>1683</c:v>
                </c:pt>
                <c:pt idx="5">
                  <c:v>1560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30.3</c:v>
                </c:pt>
                <c:pt idx="1">
                  <c:v>28.1</c:v>
                </c:pt>
                <c:pt idx="2">
                  <c:v>20.4</c:v>
                </c:pt>
                <c:pt idx="3">
                  <c:v>27.6</c:v>
                </c:pt>
                <c:pt idx="4">
                  <c:v>45.8</c:v>
                </c:pt>
                <c:pt idx="5">
                  <c:v>34.5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9.2</c:v>
                </c:pt>
                <c:pt idx="1">
                  <c:v>9.2</c:v>
                </c:pt>
                <c:pt idx="2">
                  <c:v>9.2</c:v>
                </c:pt>
                <c:pt idx="3">
                  <c:v>9.2</c:v>
                </c:pt>
                <c:pt idx="4">
                  <c:v>9.2</c:v>
                </c:pt>
                <c:pt idx="5">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20.6</c:v>
                </c:pt>
                <c:pt idx="1">
                  <c:v>22.6</c:v>
                </c:pt>
                <c:pt idx="2">
                  <c:v>17.2</c:v>
                </c:pt>
                <c:pt idx="3">
                  <c:v>20.1</c:v>
                </c:pt>
                <c:pt idx="4">
                  <c:v>28.6</c:v>
                </c:pt>
                <c:pt idx="5">
                  <c:v>22.9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-0.93</c:v>
                </c:pt>
                <c:pt idx="1">
                  <c:v>-0.35</c:v>
                </c:pt>
                <c:pt idx="2">
                  <c:v>-0.88</c:v>
                </c:pt>
                <c:pt idx="3">
                  <c:v>-1.28</c:v>
                </c:pt>
                <c:pt idx="4">
                  <c:v>-1.22</c:v>
                </c:pt>
                <c:pt idx="5">
                  <c:v>-0.87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(SEK,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2027-2030</c:v>
                </c:pt>
                <c:pt idx="2">
                  <c:v>2031+</c:v>
                </c:pt>
              </c:strCache>
            </c:strRef>
          </c:cat>
          <c:val>
            <c:numRef>
              <c:f>Hoja1!$B$2:$B$4</c:f>
              <c:numCache>
                <c:formatCode>#,##0</c:formatCode>
                <c:ptCount val="3"/>
                <c:pt idx="0">
                  <c:v>106</c:v>
                </c:pt>
                <c:pt idx="1">
                  <c:v>255</c:v>
                </c:pt>
                <c:pt idx="2">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c:v>
                </c:pt>
                <c:pt idx="1">
                  <c:v>1117</c:v>
                </c:pt>
                <c:pt idx="2">
                  <c:v>0</c:v>
                </c:pt>
                <c:pt idx="3">
                  <c:v>6</c:v>
                </c:pt>
                <c:pt idx="4">
                  <c:v>258</c:v>
                </c:pt>
                <c:pt idx="5">
                  <c:v>952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196</c:v>
                </c:pt>
                <c:pt idx="1">
                  <c:v>294</c:v>
                </c:pt>
                <c:pt idx="2">
                  <c:v>294</c:v>
                </c:pt>
                <c:pt idx="3">
                  <c:v>343</c:v>
                </c:pt>
                <c:pt idx="4">
                  <c:v>441</c:v>
                </c:pt>
                <c:pt idx="5">
                  <c:v>734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23</c:v>
                </c:pt>
                <c:pt idx="2">
                  <c:v>16</c:v>
                </c:pt>
                <c:pt idx="3">
                  <c:v>26</c:v>
                </c:pt>
                <c:pt idx="4">
                  <c:v>19</c:v>
                </c:pt>
                <c:pt idx="5">
                  <c:v>19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Otro externo</c:v>
                </c:pt>
              </c:strCache>
            </c:strRef>
          </c:cat>
          <c:val>
            <c:numRef>
              <c:f>Hoja1!$B$2:$B$4</c:f>
              <c:numCache>
                <c:formatCode>0</c:formatCode>
                <c:ptCount val="3"/>
                <c:pt idx="0">
                  <c:v>1</c:v>
                </c:pt>
                <c:pt idx="1">
                  <c:v>6</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Bure Equity</c:v>
                </c:pt>
                <c:pt idx="1">
                  <c:v>SEB Fonder</c:v>
                </c:pt>
                <c:pt idx="2">
                  <c:v>Swedbank Robur Fonder</c:v>
                </c:pt>
                <c:pt idx="3">
                  <c:v>Cuarto Fondo de Pensiones (AP4)</c:v>
                </c:pt>
                <c:pt idx="4">
                  <c:v>Handelsbanken Fonder</c:v>
                </c:pt>
                <c:pt idx="5">
                  <c:v>Lannebo Kapitalförvaltning</c:v>
                </c:pt>
                <c:pt idx="6">
                  <c:v>Vanguard</c:v>
                </c:pt>
                <c:pt idx="7">
                  <c:v>Autocartera</c:v>
                </c:pt>
              </c:strCache>
            </c:strRef>
          </c:cat>
          <c:val>
            <c:numRef>
              <c:f>Hoja1!$B$2:$B$9</c:f>
              <c:numCache>
                <c:formatCode>0.0"%"</c:formatCode>
                <c:ptCount val="8"/>
                <c:pt idx="0">
                  <c:v>22.75</c:v>
                </c:pt>
                <c:pt idx="1">
                  <c:v>8.72</c:v>
                </c:pt>
                <c:pt idx="2">
                  <c:v>7.57</c:v>
                </c:pt>
                <c:pt idx="3">
                  <c:v>7.24</c:v>
                </c:pt>
                <c:pt idx="4">
                  <c:v>5.32</c:v>
                </c:pt>
                <c:pt idx="5">
                  <c:v>3.89</c:v>
                </c:pt>
                <c:pt idx="6">
                  <c:v>3.21</c:v>
                </c:pt>
                <c:pt idx="7">
                  <c:v>0.29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19.1</c:v>
                </c:pt>
                <c:pt idx="1">
                  <c:v>-13.3</c:v>
                </c:pt>
                <c:pt idx="2">
                  <c:v>38.9</c:v>
                </c:pt>
                <c:pt idx="3">
                  <c:v>56.7</c:v>
                </c:pt>
                <c:pt idx="4">
                  <c:v>32.6</c:v>
                </c:pt>
                <c:pt idx="5">
                  <c:v>-14</c:v>
                </c:pt>
                <c:pt idx="6">
                  <c:v>-7.2</c:v>
                </c:pt>
                <c:pt idx="7">
                  <c:v>46.8</c:v>
                </c:pt>
                <c:pt idx="8">
                  <c:v>39</c:v>
                </c:pt>
                <c:pt idx="9">
                  <c:v>11.8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5.8</c:v>
                </c:pt>
                <c:pt idx="1">
                  <c:v>6.4</c:v>
                </c:pt>
                <c:pt idx="2">
                  <c:v>-7.7</c:v>
                </c:pt>
                <c:pt idx="3">
                  <c:v>29.6</c:v>
                </c:pt>
                <c:pt idx="4">
                  <c:v>12.9</c:v>
                </c:pt>
                <c:pt idx="5">
                  <c:v>35</c:v>
                </c:pt>
                <c:pt idx="6">
                  <c:v>-24.6</c:v>
                </c:pt>
                <c:pt idx="7">
                  <c:v>15.6</c:v>
                </c:pt>
                <c:pt idx="8">
                  <c:v>5.6</c:v>
                </c:pt>
                <c:pt idx="9">
                  <c:v>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20.7</c:v>
                </c:pt>
                <c:pt idx="1">
                  <c:v>16.1</c:v>
                </c:pt>
                <c:pt idx="2">
                  <c:v>15.8</c:v>
                </c:pt>
                <c:pt idx="3">
                  <c:v>17.5</c:v>
                </c:pt>
                <c:pt idx="4">
                  <c:v>15.9</c:v>
                </c:pt>
                <c:pt idx="5">
                  <c:v>18.3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16.8</c:v>
                </c:pt>
                <c:pt idx="1">
                  <c:v>16.8</c:v>
                </c:pt>
                <c:pt idx="2">
                  <c:v>16.8</c:v>
                </c:pt>
                <c:pt idx="3">
                  <c:v>16.8</c:v>
                </c:pt>
                <c:pt idx="4">
                  <c:v>16.8</c:v>
                </c:pt>
                <c:pt idx="5">
                  <c:v>16.8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Mycronic</c:v>
                </c:pt>
                <c:pt idx="1">
                  <c:v>Lasertec</c:v>
                </c:pt>
                <c:pt idx="2">
                  <c:v>KLA</c:v>
                </c:pt>
                <c:pt idx="3">
                  <c:v>Nova</c:v>
                </c:pt>
                <c:pt idx="4">
                  <c:v>Camtek</c:v>
                </c:pt>
                <c:pt idx="5">
                  <c:v>Onto Innovation</c:v>
                </c:pt>
                <c:pt idx="6">
                  <c:v>BE Semiconductor</c:v>
                </c:pt>
                <c:pt idx="7">
                  <c:v>ASMPT</c:v>
                </c:pt>
                <c:pt idx="8">
                  <c:v>Kulicke &amp; Soffa</c:v>
                </c:pt>
                <c:pt idx="9">
                  <c:v>Nordson</c:v>
                </c:pt>
                <c:pt idx="10">
                  <c:v>Aixtron</c:v>
                </c:pt>
              </c:strCache>
            </c:strRef>
          </c:cat>
          <c:val>
            <c:numRef>
              <c:f>Hoja1!$B$2:$B$12</c:f>
              <c:numCache>
                <c:formatCode>0.0"x"</c:formatCode>
                <c:ptCount val="11"/>
                <c:pt idx="0">
                  <c:v>19.4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1651</c:v>
                </c:pt>
                <c:pt idx="1">
                  <c:v>1823</c:v>
                </c:pt>
                <c:pt idx="2">
                  <c:v>1921</c:v>
                </c:pt>
                <c:pt idx="3">
                  <c:v>2113</c:v>
                </c:pt>
                <c:pt idx="4">
                  <c:v>2264</c:v>
                </c:pt>
                <c:pt idx="5">
                  <c:v>2474</c:v>
                </c:pt>
                <c:pt idx="6">
                  <c:v>2621</c:v>
                </c:pt>
                <c:pt idx="7">
                  <c:v>2794</c:v>
                </c:pt>
                <c:pt idx="8">
                  <c:v>2971</c:v>
                </c:pt>
                <c:pt idx="9">
                  <c:v>3129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14747</c:v>
                </c:pt>
                <c:pt idx="1">
                  <c:v>21511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300,20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119.81</c:v>
                </c:pt>
                <c:pt idx="1">
                  <c:v>194.17</c:v>
                </c:pt>
                <c:pt idx="2">
                  <c:v>242.64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300,20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(183,32 – 364,40)</c:v>
                </c:pt>
                <c:pt idx="1">
                  <c:v>Precio objetivo de los analistas (230,00 – 385,00)</c:v>
                </c:pt>
                <c:pt idx="2">
                  <c:v>Comparables: PER NTM (253,28 – 280,43)</c:v>
                </c:pt>
                <c:pt idx="3">
                  <c:v>Transacciones precedentes (EV/ventas) (117,82 – 222,08)</c:v>
                </c:pt>
                <c:pt idx="4">
                  <c:v>DCF (WACC y g ± 0,5) (173,89 – 221,45)</c:v>
                </c:pt>
                <c:pt idx="5">
                  <c:v>Escenarios (bajista – alcista) (119,81 – 242,64)</c:v>
                </c:pt>
                <c:pt idx="6">
                  <c:v>DCF con la prima implícita del mercado (4,2 %)</c:v>
                </c:pt>
                <c:pt idx="7">
                  <c:v>Precio actual (300,20)</c:v>
                </c:pt>
              </c:strCache>
            </c:strRef>
          </c:cat>
          <c:val>
            <c:numRef>
              <c:f>Hoja1!$B$2:$B$9</c:f>
              <c:numCache>
                <c:formatCode>#,##0</c:formatCode>
                <c:ptCount val="8"/>
                <c:pt idx="0">
                  <c:v>183.32</c:v>
                </c:pt>
                <c:pt idx="1">
                  <c:v>230</c:v>
                </c:pt>
                <c:pt idx="2">
                  <c:v>253.28</c:v>
                </c:pt>
                <c:pt idx="3">
                  <c:v>117.82</c:v>
                </c:pt>
                <c:pt idx="4">
                  <c:v>173.89</c:v>
                </c:pt>
                <c:pt idx="5">
                  <c:v>119.81</c:v>
                </c:pt>
                <c:pt idx="6">
                  <c:v>220.02</c:v>
                </c:pt>
                <c:pt idx="7">
                  <c:v>298.7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(183,32 – 364,40)</c:v>
                </c:pt>
                <c:pt idx="1">
                  <c:v>Precio objetivo de los analistas (230,00 – 385,00)</c:v>
                </c:pt>
                <c:pt idx="2">
                  <c:v>Comparables: PER NTM (253,28 – 280,43)</c:v>
                </c:pt>
                <c:pt idx="3">
                  <c:v>Transacciones precedentes (EV/ventas) (117,82 – 222,08)</c:v>
                </c:pt>
                <c:pt idx="4">
                  <c:v>DCF (WACC y g ± 0,5) (173,89 – 221,45)</c:v>
                </c:pt>
                <c:pt idx="5">
                  <c:v>Escenarios (bajista – alcista) (119,81 – 242,64)</c:v>
                </c:pt>
                <c:pt idx="6">
                  <c:v>DCF con la prima implícita del mercado (4,2 %)</c:v>
                </c:pt>
                <c:pt idx="7">
                  <c:v>Precio actual (300,20)</c:v>
                </c:pt>
              </c:strCache>
            </c:strRef>
          </c:cat>
          <c:val>
            <c:numRef>
              <c:f>Hoja1!$C$2:$C$9</c:f>
              <c:numCache>
                <c:formatCode>#,##0</c:formatCode>
                <c:ptCount val="8"/>
                <c:pt idx="0">
                  <c:v>181.07999999999998</c:v>
                </c:pt>
                <c:pt idx="1">
                  <c:v>155</c:v>
                </c:pt>
                <c:pt idx="2">
                  <c:v>27.150000000000006</c:v>
                </c:pt>
                <c:pt idx="3">
                  <c:v>104.26000000000002</c:v>
                </c:pt>
                <c:pt idx="4">
                  <c:v>47.56</c:v>
                </c:pt>
                <c:pt idx="5">
                  <c:v>122.82999999999998</c:v>
                </c:pt>
                <c:pt idx="6">
                  <c:v>45.08000000000001</c:v>
                </c:pt>
                <c:pt idx="7">
                  <c:v>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