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Salik Company P.J.S.C.</w:t>
      </w:r>
    </w:p>
    <w:p>
      <w:pPr>
        <w:spacing w:after="60"/>
        <w:rPr>
          <w:color w:val="52514E"/>
          <w:sz w:val="22"/>
          <w:szCs w:val="22"/>
        </w:rPr>
      </w:pPr>
      <w:r>
        <w:rPr>
          <w:color w:val="52514E"/>
          <w:sz w:val="22"/>
          <w:szCs w:val="22"/>
        </w:rPr>
        <w:t xml:space="preserve">SALIK · Dubai Financial Market (DFM) · ISIN AEE01110S227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AED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5,14 AED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5,21 AED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+5,2 % (base +11,6 %)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3,41 AED · mercado 3,85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38.550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20,0x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Salik Company P.J.S.C.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SALIK / AEE01110S227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Dubai Financial Market (DFM)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DFM General Index (DFMGI)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Infraestructura de transporte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Festival Tower, Dubai Festival City, Dubái · 2007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https://www.salik.ae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5,14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 – 6,78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38.550 M AED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44.298 M AED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21,8 M AED/día (3 meses; ≈ 5,9 M USD)</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5,21 AED</w:t>
      </w:r>
      <w:r>
        <w:t xml:space="preserve"> frente a 5,14 · Rentabilidad a 12 meses </w:t>
      </w:r>
      <w:r>
        <w:rPr>
          <w:b/>
          <w:bCs/>
        </w:rPr>
        <w:t xml:space="preserve">+5,2 % (base +11,6 %)</w:t>
      </w:r>
      <w:r>
        <w:t xml:space="preserve"> · Valor intrínseco 3,41 AED · con la prima implícita del mercado: 3,85 (-25,1 %) · Alcista / bajista -25,3 % / -53,1 %</w:t>
      </w:r>
    </w:p>
    <w:p>
      <w:pPr>
        <w:spacing w:after="100"/>
      </w:pPr>
      <w:r>
        <w:rPr>
          <w:b/>
        </w:rPr>
        <w:t xml:space="preserve">La recomendación y por qué.</w:t>
      </w:r>
      <w:r>
        <w:t xml:space="preserve"> Mantener, con convicción media. Con la regla común, la rentabilidad a 12 meses es del +5,2 % ponderada y del +11,6 % en el base (objetivo de 5,21 AED frente a 5,14): ninguna llega al listón (15 % y 12 %) porque el PER ya está en su mediana y el bajista pierde un 22 %. Y el valor intrínseco es de 3,41 AED (-33,7 %): el precio paga una concesión de crecimiento modesto al tipo de un bono. Compraríamos por debajo de 3,41 AED; venderíamos por encima de 6,01 AED. La convicción subiría con puertas nuevas aprobadas o el tráfico por encima de 2025; bajaría con una refinanciación cara o otro conflicto regional.</w:t>
      </w:r>
    </w:p>
    <w:p>
      <w:pPr>
        <w:spacing w:after="100"/>
      </w:pPr>
      <w:r>
        <w:rPr>
          <w:b/>
        </w:rPr>
        <w:t xml:space="preserve">El negocio.</w:t>
      </w:r>
      <w:r>
        <w:t xml:space="preserve"> Salik cobra en exclusiva hasta 2071 el peaje urbano de Dubái: diez puertas sin barreras que cargan cada paso a una cuenta de prepago. Uso de peajes (88 % de los ingresos de 2025), multas (9 %), etiquetas y otros [1]. Paga a la RTA un canon del 22,5 % del uso de peajes; no posee la carretera ni la mantiene [1]. ROIC del 29,6 % frente a un WACC del 9,67 % (20 puntos de diferencia): pasa el listón de calidad. Sostenibilidad del crecimiento: «Sí», porque el base (≈ 4 % anual) no pide capital.</w:t>
      </w:r>
    </w:p>
    <w:p>
      <w:pPr>
        <w:spacing w:after="100"/>
      </w:pPr>
      <w:r>
        <w:rPr>
          <w:b/>
        </w:rPr>
        <w:t xml:space="preserve">Sector y ciclo.</w:t>
      </w:r>
      <w:r>
        <w:t xml:space="preserve"> Dubái crece en población (4,81 M en sep-2026, +5 % en el año) y el tráfico volvió casi a la normalidad en junio tras la guerra con Irán [13, 26]. Pero el salto de 2025 (+35 %) fue de dos decisiones del Gobierno (dos puertas nuevas y la tarifa variable), no de volumen orgánico, que crece al 3 % al año [1, 2]. Repetirlo depende de otra decisión del Consejo Ejecutivo.</w:t>
      </w:r>
    </w:p>
    <w:p>
      <w:pPr>
        <w:spacing w:after="100"/>
      </w:pPr>
      <w:r>
        <w:rPr>
          <w:b/>
        </w:rPr>
        <w:t xml:space="preserve">Finanzas.</w:t>
      </w:r>
      <w:r>
        <w:t xml:space="preserve"> Ingresos de 2.291,9 M en 2024 y 3.096,9 M en 2025 y beneficio de 1.164,5 a 1.553,4 M; en el último año, 2.981,6 M de ingresos y 1.486,5 M de beneficio, a la baja por la guerra [1, 4]. Margen EBITDA del 69 %, capex casi nulo y todo el beneficio en dividendo (rentabilidad del 3,9 %) [1]. Deuda neta de 5.038,6 M (2,45 veces el EBITDA), con el préstamo de 4.000 M a refinanciar antes de jun-2027 [3, 4].</w:t>
      </w:r>
    </w:p>
    <w:p>
      <w:pPr>
        <w:spacing w:after="100"/>
      </w:pPr>
      <w:r>
        <w:rPr>
          <w:b/>
        </w:rPr>
        <w:t xml:space="preserve">Equipo y gobierno.</w:t>
      </w:r>
      <w:r>
        <w:t xml:space="preserve"> El Fondo de Inversión de Dubái tiene el 75,1 % y el presidente es el director general de la RTA, el concedente que fija tarifas, canon y puertas [1]. Gobierno aceptable para una empresa pública, pero el minoritario depende de que al Gobierno le interese el dividendo.</w:t>
      </w:r>
    </w:p>
    <w:p>
      <w:pPr>
        <w:spacing w:after="100"/>
      </w:pPr>
      <w:r>
        <w:rPr>
          <w:b/>
        </w:rPr>
        <w:t xml:space="preserve">Valoración.</w:t>
      </w:r>
      <w:r>
        <w:t xml:space="preserve"> DCF de 3,37 AED; el precio descuenta un crecimiento del 9,6 % anual o una rentabilidad del 7,6 %. Cotiza a 23,0 veces el beneficio de los próximos doce meses frente a una mediana de comparables de ≈ 17. Nuestro BPA de 2028e (0,2388) queda un 6 % bajo el consenso (0,2542) por los intereses; su objetivo medio (6,19 AED) está por encima de todo nuestro rango intrínseco (2,41-3,84 AED) y del de 12 meses (3,82-5,93 AED) [19].</w:t>
      </w:r>
    </w:p>
    <w:p>
      <w:pPr>
        <w:spacing w:after="100"/>
      </w:pPr>
      <w:r>
        <w:rPr>
          <w:b/>
        </w:rPr>
        <w:t xml:space="preserve">Riesgos y catalizadores.</w:t>
      </w:r>
      <w:r>
        <w:t xml:space="preserve"> Dominantes: una sola concesión, un solo Gobierno y un solo emirato (guerra con Irán: viajes −9,5 % en el semestre), la refinanciación de 4.000 M en 2027 y el transporte público (metro en 2029). La IA es de exposición baja: no sustituye el paso por la puerta; los robotaxis pagan peaje, pero a largo plazo pueden reducir coches. Catalizadores: resultados del 3T26 (hacia el 12-nov), la refinanciación y cualquier decreto de puertas nuevas. Regla 13: el precio ha caído por causas conocidas que ya están en el base; no cambia.</w:t>
      </w:r>
    </w:p>
    <w:p>
      <w:pPr>
        <w:spacing w:after="100"/>
      </w:pPr>
      <w:r>
        <w:rPr>
          <w:b/>
        </w:rPr>
        <w:t xml:space="preserve">Qué cambiaría la decisión.</w:t>
      </w:r>
      <w:r>
        <w:t xml:space="preserve"> Por debajo de 3,41 AED pasaría a Comprar; por encima de 6,01 AED, a Vender. Subiríamos el base con puertas nuevas aprobadas o una tarifa variable más amplia; lo bajaríamos con otro conflicto regional o una refinanciación por encima del 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5,21 AED</w:t>
      </w:r>
      <w:r>
        <w:t xml:space="preserve"> (rentabilidad +5,2 % (base +11,6 %)) · Valor intrínseco: 3,41 AED (-33,7 % sobre 5,14) · con la prima implícita del mercado: 3,85 (-25,1 %)</w:t>
      </w:r>
    </w:p>
    <w:p>
      <w:pPr>
        <w:spacing w:after="100"/>
      </w:pPr>
      <w:r>
        <w:t xml:space="preserve">Salik tiene hasta 2071 la exclusiva del peaje urbano de Dubái: un negocio con un margen EBITDA del 69 %, sin capex, que reparte todo lo que gana [1]. Creció un 35 % en 2025 por dos puertas nuevas y la tarifa variable, y en 2026 baja por la guerra con Irán [1, 4].</w:t>
      </w:r>
    </w:p>
    <w:p>
      <w:pPr>
        <w:spacing w:after="100"/>
      </w:pPr>
      <w:r>
        <w:t xml:space="preserve">El precio (5,14 AED, 23,0 veces el beneficio de los próximos doce meses) ya paga la vuelta del tráfico y algo más: el DCF (3,37 AED) y la regla común a 12 meses (+5,2 % ponderada) no dan para comprar. Los riesgos que el precio no recoge son que el crecimiento por encima del tráfico lo decide un solo Gobierno y que la deuda (4.000 M) vence en jun-2027 con los tipos en dólares al 5 %.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AED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 × 0,22 = 3,82 · 23,2x × 0,24 = 5,54 · 23,8x × 0,25 = 5,93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 / 11,6 %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 (nuestro base -10,5 %)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AED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 / -53,1 %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frente a 9,7 %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AED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3,41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3,41 y 6,01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6,01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3,41 AED: pasaría a Comprar.</w:t>
      </w:r>
    </w:p>
    <w:p>
      <w:pPr>
        <w:pStyle w:val="ListParagraph"/>
        <w:numPr>
          <w:ilvl w:val="0"/>
          <w:numId w:val="2"/>
        </w:numPr>
        <w:spacing w:after="60"/>
      </w:pPr>
      <w:r>
        <w:t xml:space="preserve">Precio por encima de 6,01 AED: pasaría a Vender.</w:t>
      </w:r>
    </w:p>
    <w:p>
      <w:pPr>
        <w:pStyle w:val="ListParagraph"/>
        <w:numPr>
          <w:ilvl w:val="0"/>
          <w:numId w:val="2"/>
        </w:numPr>
        <w:spacing w:after="60"/>
      </w:pPr>
      <w:r>
        <w:t xml:space="preserve">Decreto de puertas nuevas o tarifa variable ampliada: subiríamos el base hacia el alcista.</w:t>
      </w:r>
    </w:p>
    <w:p>
      <w:pPr>
        <w:pStyle w:val="ListParagraph"/>
        <w:numPr>
          <w:ilvl w:val="0"/>
          <w:numId w:val="2"/>
        </w:numPr>
        <w:spacing w:after="60"/>
      </w:pPr>
      <w:r>
        <w:t xml:space="preserve">Refinanciación por encima del 6 % o un canon más alto: bajaríamos el beneficio.</w:t>
      </w:r>
    </w:p>
    <w:p>
      <w:pPr>
        <w:pStyle w:val="ListParagraph"/>
        <w:numPr>
          <w:ilvl w:val="0"/>
          <w:numId w:val="2"/>
        </w:numPr>
        <w:spacing w:after="60"/>
      </w:pPr>
      <w:r>
        <w:t xml:space="preserve">Nuevo conflicto regional o tráfico a la baja en el 2S26: bajaríamos el crecimiento de 2027e.</w:t>
      </w:r>
    </w:p>
    <w:p>
      <w:pPr>
        <w:pStyle w:val="Heading2"/>
      </w:pPr>
      <w:r>
        <w:t xml:space="preserve">Dónde discrepamos del mercado</w:t>
      </w:r>
    </w:p>
    <w:p>
      <w:pPr>
        <w:keepNext/>
        <w:spacing w:after="100"/>
      </w:pPr>
      <w:r>
        <w:rPr>
          <w:b/>
          <w:bCs/>
        </w:rPr>
        <w:t xml:space="preserve">Lo que descuenta el precio.</w:t>
      </w:r>
    </w:p>
    <w:p>
      <w:pPr>
        <w:spacing w:after="100"/>
      </w:pPr>
      <w:r>
        <w:t xml:space="preserve">Doce analistas esperan un BPA de 0,2542 AED en 2028e (+8 % anual desde 2026e) y un objetivo medio de 6,19 AED; la mitad dice comprar [19, 20]. El precio descuenta un crecimiento del 9,6 % anual con nuestro WACC.</w:t>
      </w:r>
    </w:p>
    <w:p>
      <w:pPr>
        <w:keepNext/>
        <w:spacing w:after="100"/>
      </w:pPr>
      <w:r>
        <w:rPr>
          <w:b/>
          <w:bCs/>
        </w:rPr>
        <w:t xml:space="preserve">Lo que creemos nosotros.</w:t>
      </w:r>
    </w:p>
    <w:p>
      <w:pPr>
        <w:spacing w:after="100"/>
      </w:pPr>
      <w:r>
        <w:t xml:space="preserve">Rebote del tráfico en 2027 y después un crecimiento del 3-5 % anual sin tarifas ni puertas nuevas, margen estable y un descuento de empresa de un solo país y un solo concedente (WACC del 9,7 %), no el de un bono.</w:t>
      </w:r>
    </w:p>
    <w:p>
      <w:pPr>
        <w:keepNext/>
        <w:spacing w:after="100"/>
      </w:pPr>
      <w:r>
        <w:rPr>
          <w:b/>
          <w:bCs/>
        </w:rPr>
        <w:t xml:space="preserve">Por qué podemos tener razón.</w:t>
      </w:r>
    </w:p>
    <w:p>
      <w:pPr>
        <w:spacing w:after="100"/>
      </w:pPr>
      <w:r>
        <w:t xml:space="preserve">El crecimiento orgánico de los viajes fue del 3,1 % anual en 2014-2024; los saltos vinieron de decisiones del Gobierno, y la única de 2026 fue el IVA, que no da beneficio [2, 11]. La refinanciación de 2027 llega con la perspectiva negativa de Fitch [15].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AED) · precio actual 5,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legal hasta 2071</w:t>
      </w:r>
      <w:r>
        <w:t xml:space="preserve"> del peaje de Dubái, también para las puertas futuras [1].</w:t>
      </w:r>
    </w:p>
    <w:p>
      <w:pPr>
        <w:pStyle w:val="ListParagraph"/>
        <w:numPr>
          <w:ilvl w:val="0"/>
          <w:numId w:val="2"/>
        </w:numPr>
        <w:spacing w:after="60"/>
      </w:pPr>
      <w:r>
        <w:rPr>
          <w:b/>
        </w:rPr>
        <w:t xml:space="preserve">Margen EBITDA del 69 %, ROIC cercano al 30 %</w:t>
      </w:r>
      <w:r>
        <w:t xml:space="preserve"> y capex casi nulo: la carretera es de la RTA [1].</w:t>
      </w:r>
    </w:p>
    <w:p>
      <w:pPr>
        <w:pStyle w:val="ListParagraph"/>
        <w:numPr>
          <w:ilvl w:val="0"/>
          <w:numId w:val="2"/>
        </w:numPr>
        <w:spacing w:after="60"/>
      </w:pPr>
      <w:r>
        <w:rPr>
          <w:b/>
        </w:rPr>
        <w:t xml:space="preserve">Dividendo del 100 % del beneficio</w:t>
      </w:r>
      <w:r>
        <w:t xml:space="preserve"> (≈ 4 % de rentabilidad) [1, 14].</w:t>
      </w:r>
    </w:p>
    <w:p>
      <w:pPr>
        <w:pStyle w:val="ListParagraph"/>
        <w:numPr>
          <w:ilvl w:val="0"/>
          <w:numId w:val="2"/>
        </w:numPr>
        <w:spacing w:after="60"/>
      </w:pPr>
      <w:r>
        <w:rPr>
          <w:b/>
        </w:rPr>
        <w:t xml:space="preserve">Población creciendo un 5 % al año</w:t>
      </w:r>
      <w:r>
        <w:t xml:space="preserve"> y tráfico casi normal desde junio [13, 26].</w:t>
      </w:r>
    </w:p>
    <w:p>
      <w:pPr>
        <w:pStyle w:val="ListParagraph"/>
        <w:numPr>
          <w:ilvl w:val="0"/>
          <w:numId w:val="2"/>
        </w:numPr>
        <w:spacing w:after="60"/>
      </w:pPr>
      <w:r>
        <w:rPr>
          <w:b/>
        </w:rPr>
        <w:t xml:space="preserve">Muy líquida y accesible desde IBKR</w:t>
      </w:r>
      <w:r>
        <w:t xml:space="preserve">: ≈ 21,8 M AED al día en el DFM [18, 24].</w:t>
      </w:r>
    </w:p>
    <w:p>
      <w:pPr>
        <w:pStyle w:val="Heading2"/>
      </w:pPr>
      <w:r>
        <w:t xml:space="preserve">En contra</w:t>
      </w:r>
    </w:p>
    <w:p>
      <w:pPr>
        <w:pStyle w:val="ListParagraph"/>
        <w:numPr>
          <w:ilvl w:val="0"/>
          <w:numId w:val="2"/>
        </w:numPr>
        <w:spacing w:after="60"/>
      </w:pPr>
      <w:r>
        <w:rPr>
          <w:b/>
        </w:rPr>
        <w:t xml:space="preserve">Un solo concedente y un solo Gobierno</w:t>
      </w:r>
      <w:r>
        <w:t xml:space="preserve">: la RTA decide puertas, tarifas y canon, y su director general preside Salik [1].</w:t>
      </w:r>
    </w:p>
    <w:p>
      <w:pPr>
        <w:pStyle w:val="ListParagraph"/>
        <w:numPr>
          <w:ilvl w:val="0"/>
          <w:numId w:val="2"/>
        </w:numPr>
        <w:spacing w:after="60"/>
      </w:pPr>
      <w:r>
        <w:rPr>
          <w:b/>
        </w:rPr>
        <w:t xml:space="preserve">Crecimiento de 2025 no repetible</w:t>
      </w:r>
      <w:r>
        <w:t xml:space="preserve"> sin otra decisión pública; el orgánico es del ≈ 3 % [1, 2].</w:t>
      </w:r>
    </w:p>
    <w:p>
      <w:pPr>
        <w:pStyle w:val="ListParagraph"/>
        <w:numPr>
          <w:ilvl w:val="0"/>
          <w:numId w:val="2"/>
        </w:numPr>
        <w:spacing w:after="60"/>
      </w:pPr>
      <w:r>
        <w:rPr>
          <w:b/>
        </w:rPr>
        <w:t xml:space="preserve">Préstamo de 4.000 M a corto</w:t>
      </w:r>
      <w:r>
        <w:t xml:space="preserve"> (vence jun-2027) con Fitch en perspectiva negativa [3, 15].</w:t>
      </w:r>
    </w:p>
    <w:p>
      <w:pPr>
        <w:pStyle w:val="ListParagraph"/>
        <w:numPr>
          <w:ilvl w:val="0"/>
          <w:numId w:val="2"/>
        </w:numPr>
        <w:spacing w:after="60"/>
      </w:pPr>
      <w:r>
        <w:rPr>
          <w:b/>
        </w:rPr>
        <w:t xml:space="preserve">Riesgo de país</w:t>
      </w:r>
      <w:r>
        <w:t xml:space="preserve">: guerra con Irán en marzo (−21 % en un mes, viajes −9,5 % en el semestre) [4, 18].</w:t>
      </w:r>
    </w:p>
    <w:p>
      <w:pPr>
        <w:pStyle w:val="ListParagraph"/>
        <w:numPr>
          <w:ilvl w:val="0"/>
          <w:numId w:val="2"/>
        </w:numPr>
        <w:spacing w:after="60"/>
      </w:pPr>
      <w:r>
        <w:rPr>
          <w:b/>
        </w:rPr>
        <w:t xml:space="preserve">Precio exigente</w:t>
      </w:r>
      <w:r>
        <w:t xml:space="preserve">: 23,0 veces el beneficio, con el DCF en 3,37 AED [18].</w:t>
      </w:r>
    </w:p>
    <w:p>
      <w:pPr>
        <w:pStyle w:val="Heading2"/>
      </w:pPr>
      <w:r>
        <w:t xml:space="preserve">Qué tiene que pasar para que la tesis funcione</w:t>
      </w:r>
    </w:p>
    <w:p>
      <w:pPr>
        <w:spacing w:after="100"/>
      </w:pPr>
      <w:r>
        <w:t xml:space="preserve">La tesis depende del tráfico y de lo que decida el Gobierno de Dubái. La señal está en tres cifras de cada trimestre: viajes de pago (−17,2 % en el 2T26), peso de la hora punta (6 AED) y margen EBITDA (68,6 % en el 2T26), y en dos noticias: el coste de la refinanciación de los 4.000 M y cualquier decreto de puertas nuevas. Si los viajes vuelven a crecer por encima del 5 % y llegan puertas, el base se queda corto; si siguen cayendo, el bajista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de pago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en el 3T26 o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sin ayuda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fijos y TransCore.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refinanciación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EIBOR + 0,82 % (vence jun-2027)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6 % total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son ≈ 40 M de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Puertas y tarifas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Diez puertas; tarifa variable desde ene-2025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cambios hasta 2028</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alcista.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Población de Dubái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M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Crecimiento &lt;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 orgánico del tráfico.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21,6x / 20,0x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25,9x / 23,0x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El peaje urbano de Dubái nace en julio de 2007 dentro de la Autoridad de Carreteras y Transporte (RTA), con dos puertas en Sheikh Zayed Road y Al Garhoud, para reducir la congestión; se amplía a ocho puertas antes de 2022 [1]. En 2022 el Gobierno lo separa en una sociedad, Salik, y la RTA le concede durante 49 años, desde el 1-jul-2022 hasta 2071, la explotación exclusiva de las puertas actuales y futuras a cambio de 4.000 M al contado (financiados con un préstamo de Emirates NBD) y un canon variable sobre el uso de peajes [1]. En septiembre de 2022 el Fondo de Inversión de Dubái vendió en bolsa el 24,9 % a 2,00 AED y conserva el 75,1 % [1]. En noviembre de 2024 abrió dos puertas nuevas (Business Bay y Al Safa Sur) a cambio de 2.734 M pagaderos en seis años, y el 31-ene-2025 llegó la tarifa variable (6 AED en hora punta, 4 AED fuera de ella, gratis de madrugada) [1, 25]. En 2026 la guerra con Irán (desde el 28-feb) bajó los viajes un 9,5 % en el semestre y la empresa rebajó la guía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RTA pone en marcha el peaje urbano de Dubái con las dos primeras puertas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de 49 años a Salik (hasta 2071) por 4.000 M y salida a bolsa del 24,9 % a 2,00 AED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Canon a la RTA del 25 % al 22,5 % (abril) y dos puertas nuevas, Business Bay y Al Safa Sur (noviembre)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variable desde el 31-ene: 6 AED en punta, 4 AED fuera de punta; ingresos +35,1 %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Guerra con Irán: viajes −9,5 % en el 1S y guía rebajada; IVA del 5 % desde el 1-jun; perspectiva negativa de Fitch [4, 11,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Salik cobra el peaje urbano de Dubái: diez puertas sin barreras en las autopistas del centro (Sheikh Zayed Road, Al Khail, Al Garhoud, Al Maktoum, Al Mamzar, Business Bay, Al Safa) que leen una etiqueta RFID en el parabrisas y la matrícula, y cargan cada paso a una cuenta de prepago, en exclusiva hasta 2071 [1]. Gana dinero de cuatro formas: el uso de peajes (2.736,1 M en 2025, el 88 % de los ingresos), las multas por pasar sin saldo o sin etiqueta (280,6 M, el 9 %), la venta de etiquetas a 100 AED (46,9 M) y otros (33,3 M: margen de la obra de puertas nuevas y cobros de aparcamiento con el monedero de Salik en centros comerciales de Emaar, el aeropuerto y Parkonic) [1]. En 2025 pasaron 852,7 M de viajes, de los que 639,1 M pagaron, a una tarifa media de 4,28 AED [1]. Todo está en el emirato de Dubái; la diversificación fuera del peaje es aún del 1 % [4].</w:t>
      </w:r>
    </w:p>
    <w:p>
      <w:pPr>
        <w:pStyle w:val="Heading2"/>
      </w:pPr>
      <w:r>
        <w:t xml:space="preserve">Cómo gana dinero</w:t>
      </w:r>
    </w:p>
    <w:p>
      <w:pPr>
        <w:spacing w:after="100"/>
      </w:pPr>
      <w:r>
        <w:t xml:space="preserve">El activo es el derecho a cobrar en las carreteras de la RTA, que siguen siendo de la RTA: Salik no construye ni mantiene la vía. El coste principal es el canon a la RTA, del 22,5 % de los ingresos por uso de peajes (25 % antes de abril de 2024), que no se aplica a multas ni etiquetas (615,6 M en 2025) [1]. El resto es casi fijo: el contrato de operación y mantenimiento con TransCore (5-5,5 % de las ventas, renovado por cinco años en sep-2026), la plantilla, comisiones de cobro y la amortización lineal de la concesión hasta 2071 [1, 16]. Por eso el margen EBITDA es del 69 % y cada viaje de más llega casi entero al beneficio, y por eso cuando el tráfico cae (2T26: −17 % de viajes de pago) el margen aguanta pero el beneficio baja con las ventas [4]. El circulante es negativo: los conductores pagan por adelantado (saldo de prepago)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Uso de peajes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Activación de etiquetas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(construcción de puertas, aparcamiento y varios)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AE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Uso de peajes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Activación de etiquetas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(construcción de puertas, aparcamiento y varios)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Unos 2,9 M de cuentas activas (particulares, flotas, taxis y empresas de transporte) y ningún cliente relevante; el riesgo de concentración está al otro lado: la RTA, que concede, decide dónde va una puerta nueva y, junto con el Consejo Ejecutivo de Dubái, aprueba las tarifas [1, 4]. Poder de precios demostrado pero prestado: la tarifa media subió un 7 % en 2025 con la tarifa variable porque la aprobó el Gobierno; la anterior subida había sido en 2014 (no la hubo durante ocho años) [1]. La demanda es poco elástica a corto plazo (no hay ruta alternativa rápida por el centro), pero responde a la actividad: en el 2T26, con la guerra, los viajes de pago cayeron un 17,2 %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totales por las puertas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puertas desde nov-2024; en el 1S26, 383,8 M (−9,5 %) por la guerra con Irán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de pago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318,4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278,5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639,1 M; en el 2T26, −17,2 %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en hora punta a 6 AED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Fuera de punta (4 AED) cayeron más: −18,5 %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 media combinada (AED por viaje de pago)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 tarifa variable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activas registradas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Crecen con la población aunque caigan los viajes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Multas sobre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2T26 subieron al 11,0 % (+14,2 %) [4,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peaje urbano del emirato de Dubái: lo cobra en exclusiva Salik, así que el tamaño del mercado es, por definición, su cifra de ingresos (3.097 M en 2025) [1]. No hay estadística oficial independiente; el informe mide el mercado por viajes, tarifa y población. Lo que mueve el mercado es el número de vehículos y de desplazamientos por el centro de una ciudad que crece (4,81 M de habitantes en sep-2026, +226.885 en lo que va de año), las puertas que el Gobierno decida añadir y la tarifa que apruebe el Consejo Ejecutivo [1,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3.097 M AED en 2025: todo el peaje urbano de Dubái lo cobra Salik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AED (ingresos del peaje urbano de Dubái = ingresos de Salik))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Población y actividad de Dubái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4,81 M de habitantes en sep-2026 (4,58 M a fin de 2025); plan urbano 2040 con 5,8 M; viajes de pago +3,1 % anual en 2014-2024 frente a un PIB real del 2,4 % [1, 2,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Puertas nuevas aprobadas por el Gobierno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puertas en nov-2024 (ingresos +35 % en 2025 con la tarifa variable); exclusividad sobre cualquier puerta futura, con un decreto del Consejo Ejecutivo y un estudio de tráfico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 (variable por hora)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variable desde el 31-ene-2025 (tarifa media 4,00 → 4,28 AED); la concesión compensa la inflación con un canon más bajo si no se suben las tarifas [1,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del Golfo y turismo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Viajes −9,5 % en el 1S26 y −12,6 % en el 2T26 por la guerra con Irán; casi normales en junio [4,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Metro, robotaxis y teletrabajo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Línea azul del metro en sep-2029 (14 estaciones); robotaxis de la RTA con Uber y WeRide y objetivo del 25 % de viajes autónomos en 2030 [27, 28]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Exclusividad legal del peaje de Dubái hasta 2071, también para las puertas futuras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Conductores atomizados que no negocian; pueden cambiar de ruta u horario (la tarifa variable lo busca), no de proveedor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del activo es la RTA: decide puertas, tarifas y canon; TransCore opera el sistema con un contrato renovado por cinco años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Nadie puede cobrar peaje en Dubái sin la concesión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Metro (línea azul en 2029), autobús, teletrabajo y, a largo plazo, robotaxis; hoy la ciudad sigue creciendo en coches [27, 28].</w:t>
            </w:r>
          </w:p>
        </w:tc>
      </w:tr>
    </w:tbl>
    <w:p>
      <w:pPr>
        <w:spacing w:after="160" w:before="0"/>
      </w:pPr>
    </w:p>
    <w:p>
      <w:pPr>
        <w:pStyle w:val="Heading2"/>
      </w:pPr>
      <w:r>
        <w:t xml:space="preserve">Ciclo</w:t>
      </w:r>
    </w:p>
    <w:p>
      <w:pPr>
        <w:spacing w:after="100"/>
      </w:pPr>
      <w:r>
        <w:t xml:space="preserve">Dubái sale de la guerra con Irán de febrero-marzo de 2026 con la población creciendo (+226.885 personas en 2026 hasta septiembre) y el tráfico casi normal en junio [13, 26]. En el 1S26 los viajes cayeron un 9,5 % y los ingresos un 7,5 %; el 3T26 será el primer trimestre completo tras el conflicto [4]. En 2020 los cierres hundieron el tráfico (viajes de 481,2 M en 2021, recuperados a 539,1 M en 2022): un bache del turismo o de la actividad baja los viajes, no las tarifas [9].</w:t>
      </w:r>
    </w:p>
    <w:p>
      <w:pPr>
        <w:pStyle w:val="Heading2"/>
      </w:pPr>
      <w:r>
        <w:t xml:space="preserve">Regulación</w:t>
      </w:r>
    </w:p>
    <w:p>
      <w:pPr>
        <w:spacing w:after="100"/>
      </w:pPr>
      <w:r>
        <w:t xml:space="preserve">El acuerdo de concesión de 2022 da a Salik la exclusividad de las puertas actuales y futuras hasta 2071; las tarifas las revisa el Consejo Ejecutivo de Dubái, y si no se suben con la inflación la concesión lo compensa con un canon más bajo [1]. Las puertas nuevas las construye Salik para la RTA a coste más un 10 % y paga por el derecho a cobrarlas; la RTA puede rescatar la concesión pagando una compensación, y al final los activos vuelven a la RTA sin pago [1]. IVA del 5 % sobre el peaje desde el 1-jun-2026, a cargo del conductor (de 6 a 6,30 AED en punta), sin efecto en el beneficio; la RTA compensó el IVA histórico (489,3 M netados contra saldos) [3, 11]. Impuesto de sociedades del 9 % desde 2024 [1].</w:t>
      </w:r>
    </w:p>
    <w:p>
      <w:pPr>
        <w:pStyle w:val="Heading2"/>
      </w:pPr>
      <w:r>
        <w:t xml:space="preserve">Tendencias y disrupción</w:t>
      </w:r>
    </w:p>
    <w:p>
      <w:pPr>
        <w:spacing w:after="100"/>
      </w:pPr>
      <w:r>
        <w:t xml:space="preserve">Tres tendencias le favorecen: la tarifa variable por hora (que ya aprobó el Gobierno y se puede afinar), la densificación de la ciudad (más población y más empleo en el mismo centro, por donde pasan las puertas) y el monedero de Salik como medio de pago de aparcamientos, combustible y otros servicios de movilidad [1, 4, 26]. Las que le perjudican son la movilidad sin coche propio y el transporte público: la línea azul del metro (2029) y los robotaxis que Dubái quiere para el 25 % de los viajes en 2030. Un robotaxi sigue pagando el peaje, pero menos coches y más viajes compartidos pueden reducir los pasos por persona [27, 28].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Único operador de peajes de Dubái, en exclusiva hasta 2071 para las puertas actuales y las futuras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Parkin (aparcamiento público de Dubái)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Emiratos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PARKIN.AE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Otra concesión de la RTA con el mismo modelo (49 años, canon variable); no compite por el mismo viaje, pero comparte cliente, concedente y riesgo regulatorio.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Transurban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TCL.AX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Autopistas urbanas de peaje en Sídney, Melbourne, Brisbane y Norteamérica; dueña de la infraestructura, con capex y deuda mucho mayores.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Arteria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ALX.AX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Autopistas de peaje en Francia (APRR) y EE. UU.; participadas por puesta en equivalencia, de ahí el margen operativo bajo.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Getlink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GET.PA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del túnel bajo el Canal hasta 2086: monopolio de infraestructura con tarifas libres.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Ferrovial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Autopistas de peaje (407 ETR, Managed Lanes de Texas) con tarifa dinámica, dentro de un grupo de construcción.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M de cuentas activas y el monedero de Salik aceptado en aparcamientos (aeropuerto, Emaar, Parkonic): cuanto más se usa, más socios quieren cobrar con él; todavía es el 1 % de los ingresos [A4].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alternativa: la etiqueta RFID y la cuenta son obligatorias para circular por las diez puertas; el cambio de conducta posible es el de ruta u horario, no el de proveedor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exclusiva de 49 años, hasta 2071, para las puertas actuales y cualquier puerta futura de Dubái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69,2 % en 2025 sin poseer la carretera: la RTA es dueña de los activos y Salik solo opera el cobro [A1,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que solo admite un operador: duplicar puertas no tiene sentido económico ni legal [B2].</w:t>
            </w:r>
          </w:p>
        </w:tc>
      </w:tr>
    </w:tbl>
    <w:p>
      <w:pPr>
        <w:spacing w:after="160" w:before="0"/>
      </w:pPr>
    </w:p>
    <w:p>
      <w:pPr>
        <w:pStyle w:val="Heading2"/>
      </w:pPr>
      <w:r>
        <w:t xml:space="preserve">Amenazas</w:t>
      </w:r>
    </w:p>
    <w:p>
      <w:pPr>
        <w:spacing w:after="100"/>
      </w:pPr>
      <w:r>
        <w:t xml:space="preserve">La amenaza no es un competidor: es el propio concedente. La RTA y el Consejo Ejecutivo deciden si hay puertas nuevas, si se sube la tarifa y cuánto canon se paga; pueden también rescatar la concesión pagando una compensación [1]. Con probabilidad media, la presión por el coste de la vida en Dubái limitará las subidas de tarifa (la anterior fue en 2025, y antes no hubo en ocho años) [1, 25]. A largo plazo, el metro y el transporte compartido restan viajes por habitante, y la exclusividad no protege del cambio de hábitos (teletrabajo) [27, 28]. Parkin, la otra concesión de la RTA, no compite por el mismo viaje, pero comparte cliente, concedente y riesgo político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spacing w:after="100"/>
      </w:pPr>
      <w:r>
        <w:t xml:space="preserve">Crecimiento anual compuesto 2021-2025: ingresos </w:t>
      </w:r>
      <w:r>
        <w:rPr>
          <w:b/>
          <w:bCs/>
        </w:rPr>
        <w:t xml:space="preserve">16,3 %</w:t>
      </w:r>
      <w:r>
        <w:t xml:space="preserve">, EBITDA </w:t>
      </w:r>
      <w:r>
        <w:rPr>
          <w:b/>
          <w:bCs/>
        </w:rPr>
        <w:t xml:space="preserve">11,5 %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AE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1.693 M en 2021 a 3.096,9 M en 2025: +11,8 % en 2022 y +11,4 % en 2023 con la recuperación tras la pandemia, +8,7 % en 2024 y +35,1 % en 2025 [1, 2, 8, 9]. El salto de 2025 tiene dos causas, las dos decididas por el Gobierno: las dos puertas nuevas de nov-2024 (viajes totales +33,6 %) y la tarifa variable desde el 31-ene-2025 (tarifa media de 4,00 a 4,28 AED) [1, 25]. El margen EBITDA subió del 65,9 % en 2023 al 69,2 % en 2025 al bajar el canon del 25 % al 22,5 % (abril de 2024) y repartir costes fijos [1, 2]. En 2026 la guerra con Irán bajó los ingresos del 1S un 7,5 % (2T26: −11,9 %) y el beneficio un 9 %, con el margen EBITDA del 69,1 % [4]. 2021-2022 no son comparables: no había canon, impuesto ni intereses de los 4.000 M [9].</w:t>
      </w:r>
    </w:p>
    <w:p>
      <w:pPr>
        <w:pStyle w:val="Heading2"/>
      </w:pPr>
      <w:r>
        <w:t xml:space="preserve">Ajustes y partidas no recurrentes</w:t>
      </w:r>
    </w:p>
    <w:p>
      <w:pPr>
        <w:spacing w:after="100"/>
      </w:pPr>
      <w:r>
        <w:t xml:space="preserve">El informe usa las cifras publicadas, sin ajustes: no hay no recurrentes relevantes en 2024-2025. El EBITDA de 2023-2025 se calcula desde los componentes de la cuenta por naturaleza (cuadra con el publicado). Los ingresos del 2T26 van sin el IVA del 5 % (desde el 1-jun-2026), que la empresa cobra para el Estado [11]. La compensación de la RTA por el IVA histórico (489,3 M) se netó contra saldos con la RTA y no pasa por la cuenta [3]. El dividendo extraordinario de 2025 (107,8 M, 1,44 fils) no se proyecta [6].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(5-ago) la dirección atribuyó la caída de viajes (−12,6 %; de pago −17,2 %) a «los hechos regionales excepcionales de finales de febrero», enseñó que el tráfico se recuperó poco a poco en abril-mayo y volvió casi a la normalidad en junio, y rebajó la guía de 2026: ingresos de +4-6 % a −3 % a 0 % y margen EBITDA de 68-69 % a 67,5-68,5 % [4, 13, 17]. Dijo que refinanciará el préstamo de 4.000 M (vence en jun-2027) antes de su vencimiento y que mantiene el reparto del 100 % del beneficio [17]. En el 1T26 (11-may) los ingresos cayeron solo un 3 % porque el conflicto empezó al final del trimestre [5]. Fitch confirmó la A con perspectiva negativa (30-jul) por el entorno regional, no por la empresa [15]. El mensaje que se repite: el negocio es resistente y el tráfico vuelve; no se habla de tarifas nuevas ni de puertas nuevas en 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(2022: Arranque de Salik como sociedad el 1-jul-2022: entran la concesión (4.000 M de intangible), el préstamo de 4.000 M, el canon variable del 25 % y los costes propios; 2021 y el primer semestre de 2022 son el negocio dentro de la RTA y no son comparables [1, 9].; 2024: Dos puertas nuevas (Business Bay y Al Safa Sur) desde el 24-nov-2024: 2.734,3 M de derechos de cobro en el intangible y un pasivo con la RTA de 2.378,6 M a valor razonable que se paga en 6 años; entran en balance a final de 2024 y en la cuenta casi solo en 2025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pasó de ≈ 2.980 M en 2023 a ≈ 5.000 M desde 2024 por las puertas nuevas, y es de 2,45 veces el EBITDA de los últimos 12 meses (5.038,6 M en junio de 2026) [4]. El pasivo de las puertas baja 455,7 M al año, pero la empresa reparte todo el beneficio, así que el préstamo de 4.000 M no se amortiza: se refinancia. Con calificaciones A de Fitch (perspectiva negativa) y A3 de Moody’s, un banco del propio Gobierno y 2.000 M de EBITDA, el riesgo es de coste, no de acceso: cada punto de tipo son 40 M de beneficio (≈ 2,7 %) [1, 15]. El patrimonio es pequeño (1.218,7 M a fin de 2025) porque el dividendo iguala al beneficio: de ahí un ROE por encima del 100 %.</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AE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6.855</w:t>
      </w:r>
      <w:r>
        <w:t xml:space="preserve">, conversión </w:t>
      </w:r>
      <w:r>
        <w:rPr>
          <w:b/>
          <w:bCs/>
        </w:rPr>
        <w:t xml:space="preserve">105 %</w:t>
      </w:r>
      <w:r>
        <w:t xml:space="preserve"> del beneficio neto; adquisiciones 4.000, dividendos 4.352, recompras 0.</w:t>
      </w:r>
    </w:p>
    <w:p>
      <w:pPr>
        <w:spacing w:after="100"/>
      </w:pPr>
      <w:r>
        <w:t xml:space="preserve">La conversión de beneficio en caja es alta: flujo operativo de 2.082,5 M en 2025 y capex casi nulo (2,9 M), porque la carretera y el mantenimiento son de la RTA y el sistema lo opera TransCore [1, 16]. El pago inicial de la concesión (4.000 M en 2022) y los derechos de las puertas nuevas (pagados en cuotas de 455,7 M) no van como capex: el DCF reserva capex creciente, hasta igualar la amortización en 2035e, para pagar puertas futuras [1]. El flujo libre de los últimos 12 meses es de ≈ 1.271 M después de las cuotas de las puertas y los intereses; el dividendo (1.390,7 M pagados en 2025 y 1.661 M declarados) lo supera porque se paga el 100 % del beneficio contable y la amortización de la concesión no es caja [1, 4].</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Limited Partnership, Dubai Branch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ingresos en el momento del paso (peajes) o de la infracción (multas), etiquetas repartidas en cinco años, sin capitalización de gastos ni pagos en acciones, y la concesión amortizada en línea recta hasta 2071 [1]. Tres juicios importan: (1) el valor razonable del pasivo de las puertas nuevas (2.378,6 M frente a 2.734,3 M nominales; la diferencia de 355,7 M se llevó al patrimonio como aportación del accionista), (2) el deterioro de las multas por cobrar y (3) los saldos cruzados con la RTA, compensados en 2026 por el IVA histórico (489,3 M) [1, 3]. El Altman Z (4,94), el Piotroski F (8) y el Beneish M (−2,75) no dan señales de alarma. PwC audita desde 2022, sin salvedades; los honorarios son de 950.000 AED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Préstamo de 4.000 M a corto (vence el 30-jun-2027)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coste, no de acceso: calificación A y banco del Gobierno; la empresa dice que lo refinanciará antes [3, 17].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vinculadas con la RTA (canon, puertas, IVA)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Canon de 615,6 M en 2025 y compensación del IVA histórico netada contra saldos: todo lo fija la misma parte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Cifras de 2021-2022 de un negocio dentro de la RTA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canon, impuesto ni deuda: la historia comparable empieza en 2023 [9].</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3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17,7 % · </w:t>
      </w:r>
      <w:r>
        <w:rPr>
          <w:b/>
          <w:bCs/>
        </w:rPr>
        <w:t xml:space="preserve">WACC</w:t>
      </w:r>
      <w:r>
        <w:t xml:space="preserve">: 9,7 %.</w:t>
      </w:r>
    </w:p>
    <w:p>
      <w:pPr>
        <w:spacing w:after="100"/>
      </w:pPr>
      <w:r>
        <w:t xml:space="preserve">Crea mucho valor: ROIC del 29,6 % en 2025 (27,3 % en 2024 y 35,3 % en 2023) frente a un WACC del 9,7 %, sobre un capital invertido de ≈ 6.150 M que es casi todo el precio de la concesión y de las dos puertas nuevas [1]. Lo mueve el margen (NOPAT del 59 % de las ventas), no la rotación (0,4 veces). El ROIC bajó en 2024 al entrar los 2.378,6 M de las puertas nuevas y se recuperó en 2025 con su primer año entero y la tarifa variable: el incremental de 2024-2025 es del ≈ 39 % (465 M más de NOPAT sobre 1.190 M más de capital) [1]. El ROE (≈ 135 %) está inflado porque se reparte todo el beneficio. Parkin, la otra concesión de la RTA, tiene un ROIC del 55,7 % porque pagó menos por la suya [30].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5.748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depósitos de 594,6 M y línea revolvente sin disponer de 50 M a 30-jun-2026; el préstamo de 4.000 M de Emirates NBD vence el 30-jun-2027 y está clasificado a corto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Fitch A (perspectiva negativa desde jul-2026); Moody's A3 estable (dic-2025)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AE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un préstamo murabaha de 4.000 M de Emirates NBD (EIBOR a 3 meses + 0,82 %), sin garantías, con vencimiento único el 30-jun-2027 y clasificado a corto en el balance de junio de 2026 (3.996,8 M): hay que refinanciarlo en los próximos ocho meses [3, 17]. Covenants de deuda neta/EBITDA y cambio de control ligado al Gobierno de Dubái [1]. Pasivo con la RTA por los derechos de las dos puertas nuevas: 1.631,9 M a junio de 2026, que se paga en cuotas de 455,7 M al año hasta 2030 y devenga coste financiero; la empresa lo incluye en su deuda neta (5.038,6 M) y el informe lo trata como deuda [3, 4]. Indemnizaciones por cese de 5,3 M y arrendamientos de 4,5 M [3]. Dividendo a cuenta del 1S26 de 704,0 M (fecha ex 15-oct) pendiente de pago [14].</w:t>
      </w:r>
    </w:p>
    <w:p>
      <w:pPr>
        <w:pStyle w:val="Heading1"/>
      </w:pPr>
      <w:r>
        <w:t xml:space="preserve">12. Asignación de capital</w:t>
      </w:r>
    </w:p>
    <w:p>
      <w:pPr>
        <w:pStyle w:val="Confianza"/>
        <w:spacing w:after="100"/>
      </w:pPr>
      <w:r>
        <w:t xml:space="preserve">Confianza: Media</w:t>
      </w:r>
    </w:p>
    <w:p>
      <w:pPr>
        <w:spacing w:after="100"/>
      </w:pPr>
      <w:r>
        <w:t xml:space="preserve">Dividendo semestral (abril y octubre) del 100 % del beneficio, sujeto a reservas distribuibles; en 2025 pagó 0,2215 AED por acción (1.661 M), con 0,0144 extraordinarios [1, 6]. El dividendo a cuenta del 1S26 es de 9,3872 fils por acción (704,0 M, fecha ex 15-oct-2026) [14]. No hay recompras ni autocartera. Prioridades declaradas: refinanciar los 4.000 M antes de jun-2027, puertas nuevas cuando las apruebe el Gobierno y nuevas líneas con el monedero (aparcamientos, combustible) [4,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AE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de 49 años de los peajes de Dubái (RTA), hasta 2071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murabaha de 4.000 M de Emirates NBD a 5 años (EIBOR + 0,82 %)</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1.390 M en 2023 y 2.144 M en 2025: el pago se recupera en menos de dos años de EBITDA; sin deterioros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Derechos de cobro de dos puertas nuevas (Business Bay y Al Safa Sur)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Aplazado a la RTA en 6 años (valor razonable de 2.378,6 M; 355,7 M de diferencia como aportación al patrimonio)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la tarifa variable, los ingresos por peaje subieron un 37,3 % en 2025; la empresa no publica el ingreso por puerta [1, 6].</w:t>
            </w:r>
          </w:p>
        </w:tc>
      </w:tr>
    </w:tbl>
    <w:p>
      <w:pPr>
        <w:spacing w:after="160" w:before="0"/>
      </w:pPr>
    </w:p>
    <w:p>
      <w:pPr>
        <w:spacing w:after="100"/>
      </w:pPr>
      <w:r>
        <w:t xml:space="preserve">La dirección asigna poco porque hay poco que asignar: la caja vuelve al accionista. Las dos grandes decisiones fueron del Gobierno, no de la empresa: el precio de la concesión (4.000 M en 2022, recuperado con dos años de EBITDA) y el de las puertas nuevas (2.734 M en seis años por dos puertas, ≈ 11 veces su EBITDA estimado), que rinden bien con la tarifa variable [1]. Lo que hay que vigilar es el precio que pague por futuras puertas: lo fija la RTA, que es a la vez el vendedor y quien preside el consejo del comprador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Ibrahim Sultan Al Haddad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Venía de la RTA, donde dirigió proyectos de transporte y el centro de control; llevó a Salik a bolsa en 2022, abrió dos puertas nuevas en 2024 y lanzó la tarifa variable en 2025 (ingresos +35 %). Remuneración de 3,38 M AED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Maged Ibrahim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la RTA y en banca de inversión islámica; estructuró el préstamo murabaha de 4.000 M. Remuneración de 2,35 M AED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Mattar Mohammed Al Tayer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y presidente del consejo ejecutivo de la RTA, el concedente; presidió la creación de Salik, Parkin, Dubai Taxi y Mada. Tiene 1,5 M de acciones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Abdulmuhsen Ibrahim Kalbat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Dubai Taxi; preside la comisión de auditoría. Vendió 100.000 acciones en 2025 y tenía 900.000 a final de año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Viajes de pago +5-6 % y margen EBITDA del 63-64 %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Viajes de pago +11,7 % y margen EBITDA del 65,9 %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+28-29 % con las dos puertas nuevas y la tarifa variable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+35,1 % y margen EBITDA del 69,2 %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Inicial (mar-26): ingresos +4-6 %, margen EBITDA 68-69 %, margen neto 50-51 %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Rebajada en ago-26 a ingresos −3 % a 0 %, margen EBITDA 67,5-68,5 % y margen neto 49,5-50,5 % por la guerra con Irán; 1S26: ingresos −7,5 % [4, 17]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de la RTA con cuatro años como cotizada: cumplió o superó la guía de 2023 y de 2025, y en 2026 la rebajó por una guerra que no podía prever [2, 8, 9, 17]. Estabilidad alta (el mismo consejero delegado y el mismo director financiero desde 2022) y sin plan de sucesión publicado. La credibilidad no depende tanto del equipo como del Gobierno: las dos palancas que movieron el beneficio (puertas y tarifa) las decidió el Consejo Ejecutivo [1].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Mattar Mohammed Al Tayer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Abdulmuhsen Ibrahim Kalbat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Mohammed Abdulla Lengawi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ESG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Faisal Belhoul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Moaza Saeed Al Marri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ESG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Abdulla Al Madani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Sabah Al Shamsi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Dubai Investment Fund (Gobierno de Dubái)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la salida a bolsa de 2022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(DFM)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57.928 accionistas con menos de 50.000 acciones a dic-2025; sin autocartera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6"/>
        <w:gridCol w:w="3381"/>
        <w:gridCol w:w="1521"/>
        <w:gridCol w:w="1690"/>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Abdulmuhsen Ibrahim Kalbat (vicepresidente)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Moaza Saeed Al Marri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ha encontrado el desglose de fijo y variable del consejero delegado ni qué mide su variable; el informe de gobierno da el total de la alta dirección (consejero delegado 3,38 M AED en 2025; director financiero 2,35 M) y 4,95 M de remuneración del consejo [1]. Sin pagos en acciones ni planes a largo plazo, así que el equipo no gana más si sube la acción.</w:t>
      </w:r>
    </w:p>
    <w:p>
      <w:pPr>
        <w:pStyle w:val="Heading2"/>
      </w:pPr>
      <w:r>
        <w:t xml:space="preserve">Operaciones vinculadas, estructura de control y defensas</w:t>
      </w:r>
    </w:p>
    <w:p>
      <w:pPr>
        <w:spacing w:after="100"/>
      </w:pPr>
      <w:r>
        <w:t xml:space="preserve">El Fondo de Inversión de Dubái tiene el 75,1 % y nombra al consejo; el presidente, Mattar Al Tayer, es el director general de la RTA, el concedente que cobra el canon, aprueba las tarifas y decide las puertas, aunque el informe anual lo clasifica como independiente [1]. El Gobierno es a la vez dueño, concedente, regulador de tarifas y banco (Emirates NBD); las operaciones vinculadas son el negocio entero [1]. Una acción, un voto; sin blindajes estatutarios conocidos. Dos consejeros vendieron acciones en 2025 (100.000 y 250.000), cifras pequeñas [1]. A favor del minoritario: el Gobierno cobra el 75 % del dividendo y quiere que el programa de privatizaciones (Salik, Parkin, DEWA, Dubai Taxi) siga atrayendo capital.</w:t>
      </w:r>
    </w:p>
    <w:p>
      <w:pPr>
        <w:pStyle w:val="Heading2"/>
      </w:pPr>
      <w:r>
        <w:t xml:space="preserve">Señales de alerta</w:t>
      </w:r>
    </w:p>
    <w:p>
      <w:pPr>
        <w:pStyle w:val="ListParagraph"/>
        <w:numPr>
          <w:ilvl w:val="0"/>
          <w:numId w:val="2"/>
        </w:numPr>
        <w:spacing w:after="60"/>
      </w:pPr>
      <w:r>
        <w:t xml:space="preserve">El presidente, Mattar Al Tayer, es a la vez director general de la RTA, el concedente que fija el canon, aprueba las tarifas y decide las puertas nuevas; el informe anual lo clasifica como independiente [1].</w:t>
      </w:r>
    </w:p>
    <w:p>
      <w:pPr>
        <w:pStyle w:val="ListParagraph"/>
        <w:numPr>
          <w:ilvl w:val="0"/>
          <w:numId w:val="2"/>
        </w:numPr>
        <w:spacing w:after="60"/>
      </w:pPr>
      <w:r>
        <w:t xml:space="preserve">Operaciones vinculadas recurrentes con la RTA (canon de 615,6 M en 2025, derechos de las puertas nuevas, compensación del IVA histórico de 489,3 M netada en 2026) y con Emirates NBD (prestamista de los 4.000 M) [1, 3].</w:t>
      </w:r>
    </w:p>
    <w:p>
      <w:pPr>
        <w:pStyle w:val="ListParagraph"/>
        <w:numPr>
          <w:ilvl w:val="0"/>
          <w:numId w:val="2"/>
        </w:numPr>
        <w:spacing w:after="60"/>
      </w:pPr>
      <w:r>
        <w:t xml:space="preserve">Fitch pasó la perspectiva de A a negativa en jul-2026 por el entorno regional [15].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revisada el 5-ago-2026: ingresos de −3 % a 0 % (antes +4-6 %), margen EBITDA del 67,5-68,5 % (antes 68-69 %) y margen neto del 49,5-50,5 % (antes 50-51 %); refinanciación del préstamo antes de jun-2027 y dividendo del 100 % del beneficio [1, 17]. La guía no incluye puertas nuevas ni cambios de tarifa.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 – 6,90</w:t>
            </w:r>
          </w:p>
        </w:tc>
      </w:tr>
    </w:tbl>
    <w:p>
      <w:pPr>
        <w:spacing w:after="160" w:before="0"/>
      </w:pPr>
    </w:p>
    <w:p>
      <w:pPr>
        <w:pStyle w:val="Heading2"/>
      </w:pPr>
      <w:r>
        <w:t xml:space="preserve">Revisiones de estimaciones</w:t>
      </w:r>
    </w:p>
    <w:p>
      <w:pPr>
        <w:spacing w:after="100"/>
      </w:pPr>
      <w:r>
        <w:t xml:space="preserve">MarketScreener da 12 analistas, BPA de 0,199 AED en 2026e, 0,2292 en 2027e y 0,2542 en 2028e, y objetivo medio de 6,19 AED; Yahoo, 6 comprar y 6 mantener, con objetivos entre 5,10 y 6,90 AED [19, 20]. Tras la rebaja de la guía de agosto el consenso de 2026 bajó hacia un beneficio de ≈ 1.494 M (−4 %), pero el de 2027-2028 descuenta la vuelta del tráfico; el BPA a 90 días apenas se ha movido [19, 20].</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Salió a 2,00 AED en septiembre de 2022; cerró 2022 en 2,58, 2023 en 3,11, 2024 en 5,40 (+81 % con dividendos, tras las puertas nuevas y el anuncio de la tarifa variable) y 2025 en 6,35 AED [18]. En 2026 marcó máximo en 6,78 AED el 9-feb y cayó hasta 4,96 el 31-mar con la guerra con Irán, cuando el índice de Dubái perdió ≈ 16 % [18, 29]. Rebotó con el 1T26 (+15 % en mayo) y volvió a bajar tras la rebaja de la guía de agosto y el dividendo de octubre: hoy cotiza a 5,14 AED, un 24 % bajo el máximo y un 4 % sobre el mínimo de 52 semanas [18]. Rentabilidad total de un año del −8,1 %, frente al +5,0 % del ETF de Emiratos [18].</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 / -7,7 % / -9,3 % / -11,5 %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 / +3,6 %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6,41 AED (26-feb) a 5,09 AED (31-mar): guerra de EE. UU. e Israel con Irán desde el 28-feb; el índice de Dubái perdió ≈ 16 % en marzo y el DFM cerró dos sesiones [18, 29]. Salik no dio noticia propia; luego atribuyó al conflicto la caída de viajes del 1S26 (−9,5 %)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2026e ya recoge la guía rebajada (−2,5 %), el bajista un tráfico que no vuelve y la prima adicional de 1 punto el riesgo de un solo país</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del mercado y resultados del 1T26 (11-may): ingresos −3 %, mejor de lo temido, con el margen EBITDA del 69,6 % [5,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5,46 AED (4-ago) a 5,14: rebaja de la guía de 2026 (5-ago), perspectiva negativa de Fitch (30-jul) y fecha ex del dividendo a cuenta (15-oct, −2,6 % ese día) [14, 15,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del dividendo a cuenta del 1S26: 9,3872 fils por acción (704,0 M AED, el 100 % del beneficio del semestre), aprobado por el consejo el 6-oct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por cinco años del contrato de operación y mantenimiento con TransCore, con un gasto del 5-5,5 % de los ingresos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Recogido en el margen del 68,0-68,8 %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ingresos −11,9 % (683,1 M), viajes de pago −17,2 %; guía 2026 rebajada a ingresos de −3 % a 0 % y margen EBITDA del 67,5-68,5 %; tráfico casi normal en junio; refinanciación de los 4.000 M antes de jun-2027 [4, 13,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Recogido en el 2026e (−2,5 %)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Fitch confirma la A y pasa la perspectiva de estable a negativa por el entorno regional, no por la empresa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refinanciación de 2027 en el bajista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regulacion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IVA del 5 % sobre el peaje (anunciado el 22-may), a cargo del conductor: 6,30 AED en punta; sin efecto en el beneficio. La RTA compensó el IVA histórico (489,3 M) [3,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ingresos de 728,9 M (−3 %) y margen EBITDA del 69,6 %; el conflicto empezó al final del trimestre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ingresos +35,1 % (3.096,9 M), beneficio de 1.553,4 M y dividendo total de 0,2215 AED con 1,44 fils extraordinarios; guía 2026 inicial de +4-6 % [1,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geopolitica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la guerra de EE. UU. e Israel con Irán: el DFM cierra dos sesiones y su índice pierde ≈ 16 % en marzo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adicional de 1 punto en el WACC y bajista con tráfico que no vuelve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Interactive Brokers abre el DFM y el ADX a sus clientes de todo el mundo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2025-11-13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3T25: ingresos +36,9 % (747,7 M) y nueve meses +38,6 %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El precio lleva un año bajando (−11,5 % de calendario; −8,1 % con dividendos frente al +5,0 % del ETF de Emiratos) y está un 4 % sobre el mínimo de 52 semanas. La caída tiene tres causas conocidas y ninguna escondida: la guerra con Irán de marzo (−21 % en un mes, con todo el mercado de Dubái), la rebaja de la guía de agosto (ingresos de −3 % a 0 % en 2026) con la perspectiva negativa de Fitch, y la fecha ex del dividendo el 15-oct. Las tres están en el caso base (2026e −2,5 %) o en el bajista (refinanciación más cara, tráfico que no vuelve). No hay noticia propia que cambie la tesis. Veredicto: no cambia. Los resultados del 3T26 (hacia el 12-nov, estimado por el calendario de 2025) no retrasan la decisión: con el valor intrínseco muy por debajo del precio, no hay compra que retrasar.</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Cuatro cierres desde la salida a bolsa. Con el precio de cada cierre y el BPA del año siguiente, cotizó a 17,6 veces a fin de 2022, 20,0 a fin de 2023, 26,1 a fin de 2024 y 31,6 a fin de 2025 (sobre nuestro BPA de 2026e); hoy, a 23,3 veces nuestro BPA de 2027e, justo en la mediana (23,1) [1, 18]. La subida de 2024-2025 fue de expectativas (puertas y tarifa) y la de 2026 ha deshecho la mitad. Con el BPA del mismo año, 21,2, 34,8 y 30,7 veces en 2023-2025 (2022 fuera: solo medio año de concesión).</w:t>
      </w:r>
    </w:p>
    <w:p>
      <w:pPr>
        <w:pStyle w:val="Heading1"/>
      </w:pPr>
      <w:r>
        <w:t xml:space="preserve">18. Comparables cotizados</w:t>
      </w:r>
    </w:p>
    <w:p>
      <w:pPr>
        <w:pStyle w:val="Confianza"/>
        <w:spacing w:after="100"/>
      </w:pPr>
      <w:r>
        <w:t xml:space="preserve">Confianza: Media</w:t>
      </w:r>
    </w:p>
    <w:p>
      <w:pPr>
        <w:spacing w:after="100"/>
      </w:pPr>
      <w:r>
        <w:t xml:space="preserve">No hay otro peaje urbano cotizado sin la carretera en el balance. Se usan concesiones de transporte con márgenes altos y tráfico ligado a la población o a la actividad: Parkin (aparcamiento de Dubái, misma RTA), Transurban (autopistas urbanas de peaje en Australia), Vinci, Ferrovial y Eiffage (concesiones de autopistas y aeropuertos), Getlink (túnel del Canal) y Jiangsu y Zhejiang Expressway (autopistas chinas) [20]. Fuera Atlas Arteria (consolida solo una parte de sus autopistas) y Pinfra (datos de Yahoo incompletos). Transurban, con PER inflado por la amortización de concesiones.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Transurban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Getlink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Eiffage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Jiangsu Expressway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Zhejiang Expressway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 / 14,0x / 22,5x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17,1x / 32,6x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 / 5,1x / 9,3x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Salik cotiza a 23,0 veces el beneficio de los próximos 12 meses y 21,6 veces el EBITDA de los últimos 12, en línea con Parkin (22,5 y 21,4 veces) y por encima de la mediana de los comparables (≈ 17 veces el beneficio) [20]. La prima frente a Vinci, Eiffage o las autopistas chinas se explica por un margen EBITDA del 69 % sin capex ni carretera que mantener y el 100 % del beneficio en dividendo; pero no por crecimiento: el consenso espera +8 % en 2027 tras un 2026 a la baja [19]. Los comparables a la mediana dan un valor muy por debajo del precio porque incluyen negocios con más capital y más ciclo.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con el 1S26 publicado y la guía de agosto: −2,5 % (≈ 3.020 M; consenso 2.994 M; guía de −3 % a 0 %) [4, 17, 19]. 2027e rebota un 7 %, porque el 2T26 es una base muy baja (viajes de pago −17 %) y el tráfico volvió casi a la normalidad en junio; después, +5,5 % en 2028e bajando al 3,0 % en 2035e: población (+5 % en 2026), empleo y más vehículos, sin subidas de tarifa ni puertas nuevas en el base [2, 13, 26]. El consenso espera +7,9 % en 2027e y +6,1 % en 2028e [19]. El crecimiento medio de 2027-2035e (4,3 %) está por encima del histórico de viajes (+3,1 % en 2014-2024) por el rebote de 2027e [2].</w:t>
      </w:r>
    </w:p>
    <w:p>
      <w:pPr>
        <w:keepNext/>
        <w:spacing w:after="100"/>
      </w:pPr>
      <w:r>
        <w:rPr>
          <w:b/>
          <w:bCs/>
        </w:rPr>
        <w:t xml:space="preserve">Márgenes.</w:t>
      </w:r>
    </w:p>
    <w:p>
      <w:pPr>
        <w:spacing w:after="100"/>
      </w:pPr>
      <w:r>
        <w:t xml:space="preserve">Margen EBITDA del 68,0 % en 2026e (69,1 % en el 1S26, guía revisada de 67,5-68,5 %) que sube al 68,8 % con el rebote del tráfico, por debajo del 69,2 % de 2025: el contrato renovado de TransCore cuesta un 5-5,5 % de las ventas y el canon (22,5 %) es fijo sobre el uso de peajes [1, 16, 17]. El consenso implica un 70 % en 2027-2028e [19].</w:t>
      </w:r>
    </w:p>
    <w:p>
      <w:pPr>
        <w:keepNext/>
        <w:spacing w:after="100"/>
      </w:pPr>
      <w:r>
        <w:rPr>
          <w:b/>
          <w:bCs/>
        </w:rPr>
        <w:t xml:space="preserve">Inversión y circulante.</w:t>
      </w:r>
    </w:p>
    <w:p>
      <w:pPr>
        <w:spacing w:after="100"/>
      </w:pPr>
      <w:r>
        <w:t xml:space="preserve">Capex del 0,1 % de las ventas en 2026e (2,9 M en 2025), subiendo hasta el 3,5 % en 2035e, cuando iguala la amortización: es una reserva para pagar puertas nuevas a la RTA, que la empresa no capitaliza como capex sino como derechos de cobro (las dos de 2024 costaron 2.734 M) [1]. Sin puertas nuevas, el crecimiento sale solo del tráfico. Circulante del −7 % de las ventas, como en 2025 (prepagos de los conductores) [1]. Amortización de la concesión en línea recta (≈ 145 M al año), que pesa cada vez menos sobre las ventas.</w:t>
      </w:r>
    </w:p>
    <w:p>
      <w:pPr>
        <w:keepNext/>
        <w:spacing w:after="100"/>
      </w:pPr>
      <w:r>
        <w:rPr>
          <w:b/>
          <w:bCs/>
        </w:rPr>
        <w:t xml:space="preserve">Coste del capital.</w:t>
      </w:r>
    </w:p>
    <w:p>
      <w:pPr>
        <w:spacing w:after="100"/>
      </w:pPr>
      <w:r>
        <w:t xml:space="preserve">En dólares (el AED está anclado): Treasury a 10 años 5,15 % (19-oct-2026) más el diferencial soberano de Abu Dabi (Aa2, 0,42 %) = 5,57 % [21, 22]. Beta de 0,70: la mensual de cinco años frente al ETF de Emiratos es 0,57 y la ajustada 0,71 [18]. Prima de mercado del 5,5 % y prima adicional del 1,0 % (0,64 % de riesgo país más 0,36 % por depender de una sola concesión y de un solo Gobierno) [22]. Coste de la deuda del 5,1 % (EIBOR + 0,82 %) y peso del 13 %. Resultado: WACC del 9,67 %.</w:t>
      </w:r>
    </w:p>
    <w:p>
      <w:pPr>
        <w:keepNext/>
        <w:spacing w:after="100"/>
      </w:pPr>
      <w:r>
        <w:rPr>
          <w:b/>
          <w:bCs/>
        </w:rPr>
        <w:t xml:space="preserve">Valor terminal.</w:t>
      </w:r>
    </w:p>
    <w:p>
      <w:pPr>
        <w:spacing w:after="100"/>
      </w:pPr>
      <w:r>
        <w:t xml:space="preserve">Crecimiento a perpetuidad del 2,75 %, por debajo de la tasa libre: la concesión termina en 2071 y los activos vuelven a la RTA sin pago, así que una perpetuidad sobrestima ≈ 5 % el valor terminal y bajar un cuarto de punto lo compensa [1]. El valor terminal pesa un 54 %. Con el múltiplo de salida de 17 veces el EBITDA el valor sería parecido.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AE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AE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3,8 %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(reinvierte el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127,8 % (histórico: 17,7 %)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frente al 3,6 %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 (hoy: 100,0 %)</w:t>
            </w:r>
          </w:p>
        </w:tc>
      </w:tr>
    </w:tbl>
    <w:p>
      <w:pPr>
        <w:spacing w:after="160" w:before="0"/>
      </w:pPr>
    </w:p>
    <w:p>
      <w:pPr>
        <w:spacing w:after="100"/>
      </w:pPr>
      <w:r>
        <w:t xml:space="preserve">La proyección apenas necesita inversión neta de la amortización (reinversión acumulada de -850 M, con un capex bruto medio del 1,8 % de las ventas). En un negocio de activos ligeros, el crecimiento medio del 3,6 % tiene que salir de subir precios y de ganar volumen sin capital nuevo, y la prueba es el poder de precios y la cuota (100,0 % del mercado en 2030e, frente al 100,0 %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viajes −9,5 % en el 1S26 por la guerra con Irán, casi normales desde junio; precio: tarifa media algo mayor por más peso de la punta; otros: multas y etiquetas, que caen menos que los viajes [4,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rebote sobre un 2T26 con −17 % de viajes de pago, más población (+5 % en 2026); precio sin cambios (la tarifa variable ya está en la base) [4, 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 la población y el empleo; sin puertas nuevas ni subidas de tarifa, que quedan para el alcista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algo menor: la línea azul del metro abre en sep-2029 y resta algunos viajes por el centro [27].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3,5 %, cerca del crecimiento de la población (5,8 M de habitantes en 2040) [1].</w:t>
            </w:r>
          </w:p>
        </w:tc>
      </w:tr>
    </w:tbl>
    <w:p>
      <w:pPr>
        <w:spacing w:after="160" w:before="0"/>
      </w:pPr>
    </w:p>
    <w:p>
      <w:pPr>
        <w:spacing w:after="100"/>
      </w:pPr>
      <w:r>
        <w:t xml:space="preserve">Sí. El crecimiento proyectado (3,7 % anual en 2026-2035e; 4,3 % en 2027-2035e, con el rebote de 2027e) está por debajo del de 2021-2025 (16 % anual, con dos puertas nuevas y una tarifa nueva) y apenas necesita capital: la carretera es de la RTA, el capex es casi nulo y la reserva para puertas futuras sube hasta el 3,5 % de las ventas [1]. Como el motor no puede probar la cuota (mercado exclusivo, sin estadística), la prueba es de precio y volumen: no suponemos subidas de tarifa ni puertas nuevas, y el volumen sale de una población que crece un 5 % al año y de la vuelta del tráfico tras la guerra, ya visible en junio [13, 26]. El ROIC del 29,6 % lo financia con holgura. El riesgo no es de calidad sino de dependencia: las palancas de crecimiento por encima del tráfico las decide el Gobierno.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97,6 % (base: 68,8 %)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(WACC: 9,7 %)</w:t>
            </w:r>
          </w:p>
        </w:tc>
      </w:tr>
    </w:tbl>
    <w:p>
      <w:pPr>
        <w:spacing w:after="160" w:before="0"/>
      </w:pPr>
    </w:p>
    <w:p>
      <w:pPr>
        <w:spacing w:after="100"/>
      </w:pPr>
      <w:r>
        <w:t xml:space="preserve">El DCF da 3,37 AED por acción, un 34,4 % menos que el precio, con un WACC del 9,67 % y un crecimiento terminal del 2,75 %; el valor terminal pesa el 54 %. El DCF inverso dice que el precio de 5,14 AED descuenta un crecimiento del 9,6 % anual en 2027e-2035e (nuestro base: 4,3 %), o una rentabilidad del 7,6 % al año; con nuestro crecimiento haría falta un margen EBITDA del 97,6 % (el base es del 68,8 %), que no es posible con un canon del 22,5 %. Es decir, el mercado valora Salik como un bono de concesión con un WACC del 7-8 %, o espera que el Gobierno siga dando puertas y tarifas nuevas como en 2024-2025. Con la prima implícita del mercado (4,2 %) el DCF sube a 3,89 AED, todavía un 25,1 % por debajo. La diferencia está en el descuento: con tipos en dólares del 5,15 % y un solo país, un WACC del 7,5 % sería el de una deuda con calificación A, no el de una acción.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tensión con Irán vuelve o se alarga, el turismo y la actividad no se recuperan del todo, el metro (2029), el teletrabajo y los robotaxis restan viajes por habitante y el Gobierno no aprueba puertas ni tarifas nuevas; la refinanciación de 2027 sale más cara. Crecimiento 2,5 puntos menor y margen 2 puntos menor, con la prima de riesgo medio punto más alta.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tráfico vuelve a lo normal en 2027 (+7 %) y después crece con la población; sin puertas nuevas ni subidas de tarifa, canon al 22,5 % y margen EBITDA del 68,8 %. Ingresos +5,5 % en 2028e bajando al 3 % en 2035e.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tráfico vuelve antes, el Consejo Ejecutivo aprueba más puertas o afina la tarifa variable (más horas punta) y crece el monedero de Salik como medio de pago: +1,5 puntos de crecimiento y +0,5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AED) · precio actual 5,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3,25 AED (-36,8 %).</w:t>
      </w:r>
    </w:p>
    <w:p>
      <w:pPr>
        <w:spacing w:after="100"/>
      </w:pPr>
      <w:r>
        <w:t xml:space="preserve">Con probabilidades 25/50/25, el valor ponderado de los escenarios es de 3,25 AED (-36,8 %). El bajista (2,41 AED, -53,1 %) recoge un tráfico que no vuelve y una refinanciación más cara; el alcista (3,84 AED, -25,3 %), puertas o tarifas nuevas. Ni siquiera el alcista llega al precio: lo que separa el valor del precio es el descuento, no los escenarios de negocio.</w:t>
      </w:r>
    </w:p>
    <w:p>
      <w:pPr>
        <w:pStyle w:val="Heading1"/>
      </w:pPr>
      <w:r>
        <w:t xml:space="preserve">22. Suma de partes</w:t>
      </w:r>
    </w:p>
    <w:p>
      <w:pPr>
        <w:pStyle w:val="Confianza"/>
        <w:spacing w:after="100"/>
      </w:pPr>
      <w:r>
        <w:t xml:space="preserve">Confianza: Alta</w:t>
      </w:r>
    </w:p>
    <w:p>
      <w:pPr>
        <w:spacing w:after="100"/>
      </w:pPr>
      <w:r>
        <w:t xml:space="preserve">No aplica: todas las líneas (peajes, multas, etiquetas, otros) comparten la concesión, el sistema y la plantilla, y la empresa no publica resultados por línea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AED) · precio actual 5,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3,41 AED (-33,7 % sobre 5,14).</w:t>
      </w:r>
    </w:p>
    <w:p>
      <w:pPr>
        <w:spacing w:after="100"/>
      </w:pPr>
      <w:r>
        <w:t xml:space="preserve">Pesos: DCF 60 %, escenarios 25 % y comparables 15 %; transacciones sin peso (no hay ventas de concesiones de peaje urbano comparables). Los comparables (Parkin, Transurban, Vinci, Ferrovial, Getlink, Eiffage, Jiangsu y Zhejiang Expressway; mediana de PER de ≈ 17 veces) son concesiones de transporte, casi todas con la infraestructura en el balance y más capex; Salik cotiza a 23,0 veces el beneficio de los próximos doce meses, en línea con Parkin (22,5) [20, 30]. El puente parte del balance de junio de 2026: préstamo de 3.996,8 M y derechos de las puertas nuevas con la RTA (1.631,9 M, que devengan coste y la empresa incluye en su deuda neta) como deuda, arrendamientos (4,5 M), indemnizaciones por cese (5,3 M) y el dividendo a cuenta ya descontado del precio (704,0 M) frente a 594,6 M de caja y depósitos [3, 14].</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(23.3x) a mitad de camino hacia abajo, hacia la mediana de 5 años (23.1x)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r>
    </w:tbl>
    <w:p>
      <w:pPr>
        <w:spacing w:after="160" w:before="0"/>
      </w:pPr>
    </w:p>
    <w:p>
      <w:pPr>
        <w:spacing w:after="100"/>
      </w:pPr>
      <w:r>
        <w:rPr>
          <w:b/>
          <w:bCs/>
        </w:rPr>
        <w:t xml:space="preserve">Objetivo a 12 meses (ponderado):</w:t>
      </w:r>
      <w:r>
        <w:t xml:space="preserve"> 5,21 AED · rentabilidad +5,2 % (base +11,6 %) · señal Mantener.</w:t>
      </w:r>
    </w:p>
    <w:p>
      <w:pPr>
        <w:spacing w:after="100"/>
      </w:pPr>
      <w:r>
        <w:t xml:space="preserve">Para comparar, con la regla v2 (historia al cierre, mismo precio): 21,2x / 23,3x / 28,9x, 15,3 %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(0,2007) coincide con el consenso (0,199); el de 2027e (0,2205) queda un 4 % por debajo (0,2292) y el de 2028e (0,2388), un 6 % por debajo (0,2542) [19]. La diferencia está en las ventas: el consenso espera 3.229 M en 2027e y 3.426 M en 2028e (+8 % y +6 %), casi lo mismo que nosotros (3.231 y 3.409 M), pero un margen neto del 53-55 % frente a nuestro 51-53 %: suponemos que la refinanciación de los 4.000 M (vence en jun-2027) sale al ≈ 5 % y que el pasivo de las puertas nuevas sigue costando intereses, y no descontamos ninguna subida de tarifa. El objetivo medio (6,19 AED) equivale a 27 veces el BPA de 2027e del consenso.</w:t>
      </w:r>
    </w:p>
    <w:p>
      <w:pPr>
        <w:keepNext/>
        <w:spacing w:after="100"/>
      </w:pPr>
      <w:r>
        <w:rPr>
          <w:b/>
          <w:bCs/>
        </w:rPr>
        <w:t xml:space="preserve">Del valor intrínseco al objetivo a 12 meses.</w:t>
      </w:r>
    </w:p>
    <w:p>
      <w:pPr>
        <w:spacing w:after="100"/>
      </w:pPr>
      <w:r>
        <w:t xml:space="preserve">El objetivo a 12 meses (ponderado 5,21 AED, +5,2 % con el dividendo; base 5,54 AED, +11,6 %) sale de aplicar al BPA de 2028e (0,2388 AED en el base) un PER de 23,2 veces, casi el actual (23,3 veces nuestro BPA de 2027e) porque la mediana adelantada de los cuatro cierres desde la salida a bolsa (23,1 veces) está en el mismo sitio. El bajista (3,82 AED, -21,8 %) aplica el mínimo de la historia (17,6 veces, el de 2022) a un BPA con 2,5 puntos menos de crecimiento y 2 de margen; el alcista (5,93 AED), 23,8 veces con el tráfico de vuelta antes y alguna puerta o tarifa nueva. La regla v2 (PER al cierre) daría +15,3 % ponderada y +12,0 % en el base; decide la v3 (cuatro años de historia). Ni el base (+11,6 %) llega al 12 % ni la ponderada al 15 %, y el valor intrínseco (3,41 AED) queda muy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12-nov-2026 (estimado)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entero tras la guerra: viajes de pago, peso de la punta y margen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del préstamo de 4.000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financiero de los próximos años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dividendo final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recuperación del tráfico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Decreto de puertas nuevas o cambio de tarifa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alcista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Línea azul del metro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viajes por el centro en algunas rutas [27]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la RTA y del Gobierno de Dubái: puertas nuevas, tarifas y canon se deciden fuera de la empresa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de 49 años con exclusividad de las puertas futuras, compensación por inflación vía canon y un accionista (Fondo de Inversión de Dubái) que cobra el 75 % del dividendo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Canon más alto o puertas nuevas a un precio que no rinda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del Golfo (Irán) y de un solo emirato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en precio, −5 % en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en AED anclado al dólar; el tráfico volvió casi a la normalidad en tres meses; prima adicional de 1 punto en el WACC [13,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conflicto; en marzo de 2026 la acción cayó un 21 % y el índice un 16 % [18, 29]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Refinanciación del préstamo de 4.000 M (vence el 30-jun-2027)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punto de tipo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A, banco del Gobierno y 2.000 M de EBITDA (2,45 veces de deuda neta) [4,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por encima del 6 % o plazo corto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crecimiento de 2025 no se repite: fue de puertas nuevas y tarifa variable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Población +5 % al año; el base ya crece solo el 4 % de media [2, 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Viajes por habitante a la baja dos años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Metro, teletrabajo y transporte compartido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línea azul (2029) va por zonas que hoy no tienen puerta; la ciudad sigue creciendo en coches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Viajes de pago estancados con la población creciendo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de acciones del Fondo de Inversión de Dubái (75,1 %)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Precio −5-10 %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flotante y peso en índices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Colocación acelerada anunciada</w:t>
            </w:r>
          </w:p>
        </w:tc>
      </w:tr>
    </w:tbl>
    <w:p>
      <w:pPr>
        <w:spacing w:after="160" w:before="0"/>
      </w:pPr>
    </w:p>
    <w:p>
      <w:pPr>
        <w:pStyle w:val="Heading2"/>
      </w:pPr>
      <w:r>
        <w:t xml:space="preserve">Pre-mortem</w:t>
      </w:r>
    </w:p>
    <w:p>
      <w:pPr>
        <w:spacing w:after="100"/>
      </w:pPr>
      <w:r>
        <w:t xml:space="preserve">Octubre de 2027: la acción ha perdido un 25 %. No hubo ningún escándalo: tras otro episodio de tensión con Irán en 2027, el turismo y la actividad no volvieron a 2025, y los viajes de pago se quedaron un 5 % por debajo. El Consejo Ejecutivo, ante el coste de la vida, no aprobó puertas ni tarifas nuevas. Salik refinanció los 4.000 M al 6 %, con la perspectiva negativa de Fitch convertida en rebaja a A−, y el beneficio no creció. El mercado dejó de pagar 23 veces por una concesión que crece como una utility y la llevó a 18, la de sus comparables. La señal que se ignoró: la guía rebajada de agosto de 2026 y el préstamo clasificado a corto.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0 a −3 %</w:t>
      </w:r>
    </w:p>
    <w:p>
      <w:pPr>
        <w:spacing w:after="100"/>
      </w:pPr>
      <w:r>
        <w:t xml:space="preserve">La IA no sustituye el negocio: cada paso de un vehículo por una puerta paga, lo conduzca una persona o un algoritmo, y la concesión es exclusiva. En el lado de costes ayuda poco porque el sistema ya es automático (RFID y lectura de matrículas, operado por TransCore). El riesgo indirecto es de largo plazo: los robotaxis que Dubái quiere para el 25 % de los viajes en 2030 pueden reducir el número de coches privados y los pasos por persona (más ocupación por vehículo), aunque también pueden aumentar los kilómetros recorridos en vacío [28]. El teletrabajo con herramientas de IA reduce los viajes en hora punta, los de 6 AED. Neto, exposición baja y ligeramente negativa a partir de 2030; el bajista la recoge con menos crecimiento.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social y de gobierno. Social: el peaje y las multas son un asunto político en una ciudad con el coste de la vida al alza; la tarifa variable de 2025 se presentó como medida contra la congestión [25]. Gobierno: el Estado a ambos lados de casi todas las operaciones, con el director general de la RTA presidiendo el consejo [1]. Ambiental: el peaje reduce el tráfico en hora punta; el coche eléctrico no cambia el negocio (paga igual).</w:t>
      </w:r>
    </w:p>
    <w:p>
      <w:pPr>
        <w:pStyle w:val="Heading2"/>
      </w:pPr>
      <w:r>
        <w:t xml:space="preserve">Controversias</w:t>
      </w:r>
    </w:p>
    <w:p>
      <w:pPr>
        <w:spacing w:after="100"/>
      </w:pPr>
      <w:r>
        <w:t xml:space="preserve">Sin sanciones, litigios ni incidentes de datos publicados en los últimos tres años. Quejas recurrentes en prensa por multas y tarifas (tarifa variable de 2025, IVA del 5 % desde junio de 2026) [11, 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Refinanciación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banco, plazo y coste se refinanciarán los 4.000 M que vencen en jun-2027, y habrá bonos?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tipo son ≈ 40 M de beneficio.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Puertas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estudios de tráfico en marcha con la RTA para puertas nuevas y cómo se fijaría su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separa el base del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caída de viajes del 2T26 fue de la guerra y cuánto de cambios de hábito por la tarifa variable?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Saber si el volumen vuelve solo.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funciona la compensación por inflación vía canon si no se suben las tarifas?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los próximos 45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gestionan los conflictos de interés cuando el presidente de Salik dirige la RTA, que fija el canon y vende las puertas?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las puertas futuras.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Diversificación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dejan los pagos de aparcamiento y combustible con el monedero de Salik?</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fuera del peaje.</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3 explicados. Fuentes: 30 (13 primarias); citas distintas en el texto: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0,0 %: explica la causa (créditos fiscales, regularizaciones, mezcla de países) y no lo proyectes en el DCF. Explicación: Cero: Emiratos no tenía impuesto federal de sociedades hasta los ejercicios que empiezan el 1-jun-2023 o después; para Salik (ejercicio natural) el primero es 2024 [1, 2]. No se proyecta: el DCF usa el 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explica la causa (créditos fiscales, regularizaciones, mezcla de países) y no lo proyectes en el DCF. Explicación: Es el tipo legal: impuesto federal de sociedades de Emiratos del 9 % sobre el beneficio que pasa de 375.000 AED (115,1 M sobre 1.279,7 M), sin diferidos ni filiales fuera [2]. El DCF usa el 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9,0 %: explica la causa (créditos fiscales, regularizaciones, mezcla de países) y no lo proyectes en el DCF. Explicación: Tipo legal del 9 % (153,6 M sobre 1.707,0 M) [1]. El riesgo de un impuesto mínimo del 15 % (Pilar 2) no aplica hoy a un grupo de ≈ 3.000 M de ventas sin filiales fuera.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100,0 % en 2030e frente al 100,0 %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-7,0 % frente a -7,2 % real: genera una variación de circulante de 11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1T25 y del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1S26 (solo 2026 frente a 2025); 2) comunicado del 3T25 (solo el acumulado de 9 meses, +38,6 %); 3) los intermedios del 1T25 y del 2T25 no están descargados y el crecimiento por trimestre de 2024 no se publica en lo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completa de 2021 y 2022 y BPA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de salida a bolsa (ipo.salik.ae) no accesible desde el contenedor; 2) comunicado de 2022 (solo ingresos por línea, EBITDA y beneficio); 3) Yahoo da amortización e intereses de 2022, no de 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(amortización de 2021 = EBITDA − beneficio)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independiente del tamaño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RTA y Dubai Data and Statistics (no publican ingresos de peaje aparte de Salik); 2) informes de mercado de peajes del Golfo (de pago); 3) el mercado coincide por definición con los ingresos de Salik, auditados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las cuentas y se explica en la definición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la junta sobre la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2025 (solo los acuerdos aprobados); 2) avisos de la junta de abr-2026 en el DFM (la API solo da los 10 últimos avisos); 3) prensa de la junta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fijo y variable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2025 (solo el total de sueldos, pluses y bonus: 3,38 M); 2) nota 23 de vinculadas (solo el total del personal clave: 11,0 M); 3) no hay informe de remuneraciones aparte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Concesiones de peaje urbano vendidas en 5-7 años con múltiplo publicado: no hay ninguna de cobro sin activo; 2) compras de autopistas (Transurban-WestConnex, Abertis, 407 ETR) se pagan por la infraestructura con capex y plazo distintos; 3) el pago de Salik por las puertas nuevas (2.734 M) no tiene EBITDA publicado por puerta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DFM no publica posiciones cortas por valor; 2) el préstamo de valores en el DFM es marginal; 3) Yahoo no da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no lo da; 2) Stock Analysis (no consultado por presupuesto); 3) calcularlo exige el capital invertido de cada uno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los próximos resultados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Avisos del DFM (la convocatoria del consejo del 3T aún no está publicada); 2) Yahoo (sin fecha); 3) calendario de 2025 (13-nov-2025)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espera en la segunda semana de noviembre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foros y comentarios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y Stocktwits (403 desde el contenedor; Stocktwits no cubre el DFM); 2) foros árabes del DFM (Mubasher, Argaam: sin hilos legibles sin cuenta); 3) noticias.mjs con 12 meses de Google Noticias: solo prensa, sin debate de inversores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calificación de MSCI ESG y de Sustainalytics para Salik: sin resultado público; 2) informe de sostenibilidad de 2025 (indicadores propios, sin calificación externa); 3) nota de inclusión en el índice MSCI UAE de may-2025 (es un índice, no una calificación ESG)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 (peso en la síntesis)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Concesiones de peaje urbano vendidas en el Golfo: no hay ninguna; 2) ventas de autopistas de peaje (Transurban, Abertis, Brisa): otro modelo, con la carretera en el balance y capex, y sin múltiplo comparable publicado de los últimos años; 3) el pago de 4.000 M de 2022 a la RTA no es una compraventa a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peso cero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financial statements for the year ended 31 December 2025 (PwC, opinión favorable): cuenta, balance y flujos 2025 y 2024; ingresos por línea (nota 6), concesión y canon variable del 22,5 % (15-16), vinculadas y derechos de las dos puertas nuevas (23), préstamo de Emirates NBD (24), impuesto del 9 % (28), dividendos (31), deuda neta (35) y hechos posteriores (36); revisión del director financiero y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Salik Company P.J.S.C.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https://ar2025.salik.ae/download/full-reports/ar_en_annual-report_pages_salik_2025.pdf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 financial statements for the year ended 31 December 2024 (PwC): cuenta, balance y flujos 2024 y 2023; ingresos por línea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Salik Company P.J.S.C.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https://ar2024.salik.ae/download/full-reports/ar_en_annual-report_pages_salik_2024.pdf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interim financial statements for the three-month and six-month periods ended 30 June 2026 (revisión limitada de PwC, 5-ago-2026): balance a 30-jun-2026, cuenta del 2T y del 1S, flujos, vinculadas (nota 21), préstamo clasificado a corto (nota 22), IVA y compensación de la RTA (nota 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https://feeds.dfm.ae/documents/2026/Aug/5/db18d242-8fc8-41b2-8f6c-f67d8d9fc41f/EN%20Salik%20Q2%202026%20Signed.Pdf.pdf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 H1 2026 (comunicado al DFM: viajes, ingresos por línea, EBITDA, deuda neta de 5.038,6 M, flujo de caja libre, nuevos negocios)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https://feeds.dfm.ae/documents/2026/Aug/5/9069488c-a65b-4802-aaca-09c4748d7296/Salik%20Q2%202026%20Press%20Release%20EN.Pdf.pdf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Achieves Stable Results Supported by High Resilience: AED 728.9 million revenue in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Government of Dubai Media Office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https://mediaoffice.ae/en/news/2026/may/11-05/salik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Reports FY 2025 Revenue of AED 3.10 Billion, Up 35.1% YoY (4T25: ingresos, EBITDA y beneficio; dividendo de 890,3 M con 107,8 M extraordinarios)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Government of Dubai Media Office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https://mediaoffice.ae/en/news/2026/march/04-03/salik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Reports AED 2.28 billion Revenue in 9M 2025, Up 38.6% YoY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Government of Dubai Media Office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https://mediaoffice.ae/en/news/2025/november/13-11/salik-reports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Reports Record Full-Year Revenues of AED 2.1bn (resultados de 2023 con 2022 comparativo: ingresos por línea, EBITDA, viajes,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https://feeds.dfm.ae/documents/2024/Mar/04/24999f25-75b6-4a4c-8da2-1aca78f6ec41/Salik_Q4_23_Earnings-Release.pdf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Company PJSC Achieves H2 2022 Net Profit of AED 529 million (resultados de 2022 con 2021 «carve-out» comparativo: ingresos por línea, EBITDA, beneficio, viajes,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https://feeds.dfm.ae/documents/2023/Mar/06/9786c8b0-6d57-4557-8caf-e97460943dd0/SALIK_PR_E_ANN_07_3_2022.pdf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series anuales (fundamentals-timeseries) de SALIK.AE: amortizaciones y gastos por intereses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https://finance.yahoo.com/quote/SALIK.AE/financials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announces 5% VAT from June 1 on toll tariff, tag activation fees (tarifa de 6 a 6,30 AED en punta; sin efecto en el beneficio)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Khaleej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https://www.khaleejtimes.com/uae/transport/salik-announces-5-vat-from-june-1-on-toll-tariff-tag-activation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ingresos y margen operativo de los últimos 12 meses de Parkin, Transurban, Atlas Arteria, Getlink y Ferrovial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https://finance.yahoo.com/quote/TCL.AX/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Dubai traffic nears normal in June, with recovery gaining pace in Q2: Salik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Gulf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https://gulfnews.com/business/markets/dubai-traffic-nears-normal-in-june-with-recovery-gaining-pace-in-q2-salik-ceo-1.500631531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Outcome: Salik Company (PJSC) – Board of Directors Meeting (6-oct-2026): dividendo a cuenta de 9,3872 fils (704,0 M), fecha ex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https://feeds.dfm.ae/documents/2026/Oct/6/c9b066be-9cce-41c6-89c1-194595d8b24e/BOD%20SALIK%20%205%20For%202026%20Outcome.Pdf.pdf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Disclosure: Fitch affirms Salik at ‘A’, Outlook revised to Negative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https://feeds.dfm.ae/documents/2026/Jul/30/13437693-efdb-471c-848d-62e0f435b8d0/Salik%20General%20Disclosure%20%20%20%20Fitch%20Credit%20Rating.Pd.pdf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Material Disclosure: renovación por 5 años del contrato de operación y mantenimiento con TransCore (gasto del 5-5,5 % de los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https://feeds.dfm.ae/documents/2026/Sep/6/6259165e-c048-466e-a84e-bb540c47be22/Salik%20Material%20Disclosure%20Form%20%20%20%20Transcore%20Contra.pdf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Company (SALIK) Q2 2026 earnings summary (guía 2026 revisada: ingresos −3 % a 0 %, margen EBITDA 67,5-68,5 %, margen neto 49,5-50,5 %; refinanciación antes de jun-2027)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https://quartr.com/events/salik-company-p-j-s-c-salik-q2-2026_F3Tq5kcV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(SALIK.AE, ETF iShares MSCI UAE y ETF de infraestructuras globales IGF), con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https://finance.yahoo.com/quote/SALIK.AE/history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Salik Company: estimaciones anuales 2026-2028 (ventas, EBITDA, EBIT, beneficio, BPA, dividendo, deuda neta), 12 analistas, consenso «Outperform», objetivo medio 6,191 AED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https://in.marketscreener.com/quote/stock/SALIK-COMPANY-144378258/finances/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SALIK.AE (12 analistas: 6 comprar y 6 mantener; objetivo 5,10-6,90; BPA 2026e 0,199 y 2027e 0,230) y comparables (Parkin, Transurban, Atlas Arteria, Vinci, Ferrovial, Getlink, Eiffage, Pinfra, Jiangsu y Zhejiang Expressway), tipos de cambio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https://finance.yahoo.com/quote/SALIK.AE/analysis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 5,15 %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(Abu Dabi, Aa2: diferencial soberano 0,42 %, prima de país 0,64 %)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Brokers Expands Market Access with United Arab Emirates Equities (DFM y ADX para clientes de todo el mundo, en AED)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Brokers (vía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https://www.interactivebrokers.com/en/general/about/mediaRelations/12-9-25.php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Dubai’s new Salik road toll peak charges come into effect (tarifa variable desde el 31-ene-2025: 6 AED en punta, 4 AED fuera de punta, gratis de 1:00 a 6:00)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https://www.thenationalnews.com/news/uae/2025/01/30/new-salik-charges-dubai-toll-gates/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Dubai population rises by 226,885 since start of 2026 (4.807.185 residentes según Dubai Data and Statistics Establishment)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Gulf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https://gulfnews.com/uae/dubai-population-rises-by-226885-since-start-of-2026-1.500692623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Dubai Metro Blue Line to start operations on September 9, 2029 (30 km, 14 estaciones, 20.500 M AED)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Gulf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https://gulfnews.com/uae/transport/dubai-metro-blue-line-to-start-operations-on-september-9-2029-1.1734589976570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Dubai rolls out autonomous Uber rides as Robotaxi pilot goes live (RTA, WeRide y Uber; objetivo del 25 % de viajes autónomos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Gulf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https://gulfnews.com/uae/transport/dubai-rolls-out-autonomous-uber-rides-as-robotaxi-pilot-goes-live-1.500376834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Iran war wipes $120bn off Dubai, Abu Dhabi stock markets (el índice de Dubái pierde ≈ 16 % desde el 28-feb-2026)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https://www.aljazeera.com/economy/2026/3/31/iran-war-wipes-120bn-off-dubai-abu-dhabi-stock-markets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Parkin Company (corte 20-oct-2026): la otra concesión de la RTA, con el mismo concedente, el mismo accionista y el mismo modelo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82,8 %</w:t>
      </w:r>
      <w:r>
        <w:t xml:space="preserve"> · Secciones con menos del 60 % de campos cubiertos: </w:t>
      </w:r>
      <w:r>
        <w:rPr>
          <w:b/>
          <w:bCs/>
        </w:rPr>
        <w:t xml:space="preserve">transacciones, sentimiento</w:t>
      </w:r>
      <w:r>
        <w:t xml:space="preserve"> · Generado el 21 oct 2026.</w:t>
      </w:r>
    </w:p>
    <w:p>
      <w:pPr>
        <w:pStyle w:val="Nota"/>
        <w:spacing w:after="100"/>
      </w:pPr>
      <w:r>
        <w:t xml:space="preserve">Cotiza solo en el Dubai Financial Market (SALIK), en AED (anclado al dólar a 3,6725), de lunes a viernes de 10:00 a 15:00 de Dubái (6:00-11:00 UTC). Desde diciembre de 2025 los clientes de Interactive Brokers pueden operar en el DFM pidiendo el permiso de esa bolsa [24]. Liquidez: ≈ 21,8 M AED (≈ 5,9 M USD) al día en tres meses, de sobra para una posición de 1.000-7.000 EUR; capitalización de ≈ 38.550 M AED (≈ 10.500 M USD) con un 24,9 % de flotante [1, 18]. Cuentas: Emiratos no tiene XBRL en la herramienta del repo; las cifras salen de las cuentas auditadas por PwC de 2025 y 2024 (con sus comparativos), del intermedio revisado del 1S26 (escaneado, leído como imagen) y de los comunicados de resultados bajados del DFM [1, 2, 3, 4, 5, 6, 7, 8, 9]. </w:t>
      </w:r>
      <w:r>
        <w:rPr>
          <w:b/>
        </w:rPr>
        <w:t xml:space="preserve">Historial corto</w:t>
      </w:r>
      <w:r>
        <w:t xml:space="preserve">: Salik opera la concesión desde el 1-jul-2022 y cotiza desde el 29-sep-2022; 2021 y el primer semestre de 2022 son cifras «carve-out» del peaje dentro de la RTA (sin canon, sin deuda ni impuesto), y de 2021 solo hay ingresos por línea, EBITDA y beneficio, con la amortización estimada [9, 10]. El impuesto de sociedades del 9 % se aplica desde 2024. El 2T26 lleva el IVA del 5 % fuera de los ingresos desde el 1-jun-2026 [11]. Índice: el DFM General Index no tiene serie en Yahoo; rentabilidades y beta contra el ETF iShares MSCI UAE (UAE) y sector contra el ETF de infraestructuras globales (IGF) [18]. </w:t>
      </w:r>
      <w:r>
        <w:rPr>
          <w:b/>
        </w:rPr>
        <w:t xml:space="preserve">Precio</w:t>
      </w:r>
      <w:r>
        <w:t xml:space="preserve">: cierre del miércoles 21-oct-2026, 5,14 AED (última operación a las 10:59:55 UTC; el DFM cierra a las 11:00 UTC y el dato se tomó a las 11:16 UTC), ya sin el dividendo a cuenta del 1S26 (fecha ex el 15-oct; 9,3872 fils por acción que se pagan después del corte y que el puente resta de la caja) [14, 18]. Sin foros con debate legible: la sección de sentimiento no se imprime.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Salik Company P.J.S.C. (SALIK)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(AED) · precio actual 5,14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(4,96 – 6,78)</c:v>
                </c:pt>
                <c:pt idx="1">
                  <c:v>Precio objetivo de los analistas (5,10 – 6,90)</c:v>
                </c:pt>
                <c:pt idx="2">
                  <c:v>Comparables: PER NTM (2,22 – 7,28)</c:v>
                </c:pt>
                <c:pt idx="3">
                  <c:v>DCF (WACC y g ± 0,5) (2,96 – 3,91)</c:v>
                </c:pt>
                <c:pt idx="4">
                  <c:v>Escenarios (bajista – alcista) (2,41 – 3,84)</c:v>
                </c:pt>
                <c:pt idx="5">
                  <c:v>DCF con la prima implícita del mercado (4,2 %)</c:v>
                </c:pt>
                <c:pt idx="6">
                  <c:v>Precio actual (5,14)</c:v>
                </c:pt>
              </c:strCache>
            </c:strRef>
          </c:cat>
          <c:val>
            <c:numRef>
              <c:f>Hoja1!$B$2:$B$8</c:f>
              <c:numCache>
                <c:formatCode>#,##0.00</c:formatCode>
                <c:ptCount val="7"/>
                <c:pt idx="0">
                  <c:v>4.96</c:v>
                </c:pt>
                <c:pt idx="1">
                  <c:v>5.1</c:v>
                </c:pt>
                <c:pt idx="2">
                  <c:v>2.22</c:v>
                </c:pt>
                <c:pt idx="3">
                  <c:v>2.96</c:v>
                </c:pt>
                <c:pt idx="4">
                  <c:v>2.41</c:v>
                </c:pt>
                <c:pt idx="5">
                  <c:v>3.55</c:v>
                </c:pt>
                <c:pt idx="6">
                  <c:v>5.11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(4,96 – 6,78)</c:v>
                </c:pt>
                <c:pt idx="1">
                  <c:v>Precio objetivo de los analistas (5,10 – 6,90)</c:v>
                </c:pt>
                <c:pt idx="2">
                  <c:v>Comparables: PER NTM (2,22 – 7,28)</c:v>
                </c:pt>
                <c:pt idx="3">
                  <c:v>DCF (WACC y g ± 0,5) (2,96 – 3,91)</c:v>
                </c:pt>
                <c:pt idx="4">
                  <c:v>Escenarios (bajista – alcista) (2,41 – 3,84)</c:v>
                </c:pt>
                <c:pt idx="5">
                  <c:v>DCF con la prima implícita del mercado (4,2 %)</c:v>
                </c:pt>
                <c:pt idx="6">
                  <c:v>Precio actual (5,14)</c:v>
                </c:pt>
              </c:strCache>
            </c:strRef>
          </c:cat>
          <c:val>
            <c:numRef>
              <c:f>Hoja1!$C$2:$C$8</c:f>
              <c:numCache>
                <c:formatCode>#,##0.00</c:formatCode>
                <c:ptCount val="7"/>
                <c:pt idx="0">
                  <c:v>1.8200000000000003</c:v>
                </c:pt>
                <c:pt idx="1">
                  <c:v>1.8000000000000007</c:v>
                </c:pt>
                <c:pt idx="2">
                  <c:v>5.0600000000000005</c:v>
                </c:pt>
                <c:pt idx="3">
                  <c:v>0.9500000000000002</c:v>
                </c:pt>
                <c:pt idx="4">
                  <c:v>1.4299999999999997</c:v>
                </c:pt>
                <c:pt idx="5">
                  <c:v>0.75</c:v>
                </c:pt>
                <c:pt idx="6">
                  <c:v>0.05999999999999961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(AED, millones)</a:t>
            </a:r>
          </a:p>
        </c:rich>
      </c:tx>
      <c:overlay val="0"/>
    </c:title>
    <c:autoTitleDeleted val="0"/>
    <c:plotArea>
      <c:layout/>
      <c:barChart>
        <c:barDir val="col"/>
        <c:grouping val="stacked"/>
        <c:varyColors val="0"/>
        <c:ser>
          <c:idx val="0"/>
          <c:order val="0"/>
          <c:tx>
            <c:strRef>
              <c:f>Hoja1!$B$1</c:f>
              <c:strCache>
                <c:ptCount val="1"/>
                <c:pt idx="0">
                  <c:v>Uso de peajes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1467</c:v>
                </c:pt>
                <c:pt idx="1">
                  <c:v>1652</c:v>
                </c:pt>
                <c:pt idx="2">
                  <c:v>1845.5</c:v>
                </c:pt>
                <c:pt idx="3">
                  <c:v>1992.5</c:v>
                </c:pt>
                <c:pt idx="4">
                  <c:v>2736.1</c:v>
                </c:pt>
              </c:numCache>
            </c:numRef>
          </c:val>
        </c:ser>
        <c:ser>
          <c:idx val="1"/>
          <c:order val="1"/>
          <c:tx>
            <c:strRef>
              <c:f>Hoja1!$C$1</c:f>
              <c:strCache>
                <c:ptCount val="1"/>
                <c:pt idx="0">
                  <c:v>Multas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184</c:v>
                </c:pt>
                <c:pt idx="1">
                  <c:v>202</c:v>
                </c:pt>
                <c:pt idx="2">
                  <c:v>216.8</c:v>
                </c:pt>
                <c:pt idx="3">
                  <c:v>236.9</c:v>
                </c:pt>
                <c:pt idx="4">
                  <c:v>280.6</c:v>
                </c:pt>
              </c:numCache>
            </c:numRef>
          </c:val>
        </c:ser>
        <c:ser>
          <c:idx val="2"/>
          <c:order val="2"/>
          <c:tx>
            <c:strRef>
              <c:f>Hoja1!$D$1</c:f>
              <c:strCache>
                <c:ptCount val="1"/>
                <c:pt idx="0">
                  <c:v>Activación de etiquetas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36</c:v>
                </c:pt>
                <c:pt idx="1">
                  <c:v>32</c:v>
                </c:pt>
                <c:pt idx="2">
                  <c:v>38.2</c:v>
                </c:pt>
                <c:pt idx="3">
                  <c:v>40.9</c:v>
                </c:pt>
                <c:pt idx="4">
                  <c:v>46.9</c:v>
                </c:pt>
              </c:numCache>
            </c:numRef>
          </c:val>
        </c:ser>
        <c:ser>
          <c:idx val="3"/>
          <c:order val="3"/>
          <c:tx>
            <c:strRef>
              <c:f>Hoja1!$E$1</c:f>
              <c:strCache>
                <c:ptCount val="1"/>
                <c:pt idx="0">
                  <c:v>Otros (construcción de puertas, aparcamiento y varios)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6</c:v>
                </c:pt>
                <c:pt idx="1">
                  <c:v>6.3</c:v>
                </c:pt>
                <c:pt idx="2">
                  <c:v>8.1</c:v>
                </c:pt>
                <c:pt idx="3">
                  <c:v>21.7</c:v>
                </c:pt>
                <c:pt idx="4">
                  <c:v>33.3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Uso de peajes</c:v>
                </c:pt>
                <c:pt idx="1">
                  <c:v>Multas</c:v>
                </c:pt>
                <c:pt idx="2">
                  <c:v>Activación de etiquetas</c:v>
                </c:pt>
                <c:pt idx="3">
                  <c:v>Otros (construcción de puertas, aparcamiento y varios)</c:v>
                </c:pt>
              </c:strCache>
            </c:strRef>
          </c:cat>
          <c:val>
            <c:numRef>
              <c:f>Hoja1!$B$2:$B$5</c:f>
              <c:numCache>
                <c:formatCode>General</c:formatCode>
                <c:ptCount val="4"/>
                <c:pt idx="0">
                  <c:v>88.3</c:v>
                </c:pt>
                <c:pt idx="1">
                  <c:v>9.1</c:v>
                </c:pt>
                <c:pt idx="2">
                  <c:v>1.5</c:v>
                </c:pt>
                <c:pt idx="3">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Emirato de Dubái</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AED (ingresos del peaje urbano de Dubái = ingresos de Salik))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2021</c:v>
                </c:pt>
                <c:pt idx="1">
                  <c:v>2022</c:v>
                </c:pt>
                <c:pt idx="2">
                  <c:v>2023</c:v>
                </c:pt>
                <c:pt idx="3">
                  <c:v>2024</c:v>
                </c:pt>
                <c:pt idx="4">
                  <c:v>2025</c:v>
                </c:pt>
                <c:pt idx="5">
                  <c:v>2026e</c:v>
                </c:pt>
                <c:pt idx="6">
                  <c:v>2027e</c:v>
                </c:pt>
              </c:strCache>
            </c:strRef>
          </c:cat>
          <c:val>
            <c:numRef>
              <c:f>Hoja1!$B$2:$B$8</c:f>
              <c:numCache>
                <c:formatCode>#,##0</c:formatCode>
                <c:ptCount val="7"/>
                <c:pt idx="0">
                  <c:v>1693</c:v>
                </c:pt>
                <c:pt idx="1">
                  <c:v>1892</c:v>
                </c:pt>
                <c:pt idx="2">
                  <c:v>2109</c:v>
                </c:pt>
                <c:pt idx="3">
                  <c:v>2292</c:v>
                </c:pt>
                <c:pt idx="4">
                  <c:v>3097</c:v>
                </c:pt>
                <c:pt idx="5">
                  <c:v>3020</c:v>
                </c:pt>
                <c:pt idx="6">
                  <c:v>3231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2</c:v>
                </c:pt>
                <c:pt idx="2">
                  <c:v>4</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Salik</c:v>
                </c:pt>
                <c:pt idx="1">
                  <c:v>Parkin (aparcamiento público de Dubái)</c:v>
                </c:pt>
                <c:pt idx="2">
                  <c:v>Transurban</c:v>
                </c:pt>
                <c:pt idx="3">
                  <c:v>Atlas Arteria</c:v>
                </c:pt>
                <c:pt idx="4">
                  <c:v>Getlink</c:v>
                </c:pt>
                <c:pt idx="5">
                  <c:v>Ferrovial</c:v>
                </c:pt>
              </c:strCache>
            </c:strRef>
          </c:cat>
          <c:val>
            <c:numRef>
              <c:f>Hoja1!$B$2:$B$7</c:f>
              <c:numCache>
                <c:formatCode>0.0"%"</c:formatCode>
                <c:ptCount val="6"/>
                <c:pt idx="0">
                  <c:v>64.6</c:v>
                </c:pt>
                <c:pt idx="1">
                  <c:v>53.8</c:v>
                </c:pt>
                <c:pt idx="2">
                  <c:v>24.3</c:v>
                </c:pt>
                <c:pt idx="3">
                  <c:v>-24.4</c:v>
                </c:pt>
                <c:pt idx="4">
                  <c:v>35.8</c:v>
                </c:pt>
                <c:pt idx="5">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5</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(AED,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1693</c:v>
                </c:pt>
                <c:pt idx="1">
                  <c:v>1892.3</c:v>
                </c:pt>
                <c:pt idx="2">
                  <c:v>2108.6</c:v>
                </c:pt>
                <c:pt idx="3">
                  <c:v>2291.9</c:v>
                </c:pt>
                <c:pt idx="4">
                  <c:v>3096.9</c:v>
                </c:pt>
                <c:pt idx="5">
                  <c:v>3019</c:v>
                </c:pt>
                <c:pt idx="6">
                  <c:v>3231</c:v>
                </c:pt>
                <c:pt idx="7">
                  <c:v>3409</c:v>
                </c:pt>
                <c:pt idx="8">
                  <c:v>3579</c:v>
                </c:pt>
                <c:pt idx="9">
                  <c:v>3740</c:v>
                </c:pt>
                <c:pt idx="10">
                  <c:v>3890</c:v>
                </c:pt>
                <c:pt idx="11">
                  <c:v>4026</c:v>
                </c:pt>
                <c:pt idx="12">
                  <c:v>4167</c:v>
                </c:pt>
                <c:pt idx="13">
                  <c:v>4292</c:v>
                </c:pt>
                <c:pt idx="14">
                  <c:v>4420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1387</c:v>
                </c:pt>
                <c:pt idx="1">
                  <c:v>1440</c:v>
                </c:pt>
                <c:pt idx="2">
                  <c:v>1390.1</c:v>
                </c:pt>
                <c:pt idx="3">
                  <c:v>1579.1</c:v>
                </c:pt>
                <c:pt idx="4">
                  <c:v>2143.9</c:v>
                </c:pt>
                <c:pt idx="5">
                  <c:v>2053</c:v>
                </c:pt>
                <c:pt idx="6">
                  <c:v>2213</c:v>
                </c:pt>
                <c:pt idx="7">
                  <c:v>2345</c:v>
                </c:pt>
                <c:pt idx="8">
                  <c:v>2462</c:v>
                </c:pt>
                <c:pt idx="9">
                  <c:v>2573</c:v>
                </c:pt>
                <c:pt idx="10">
                  <c:v>2676</c:v>
                </c:pt>
                <c:pt idx="11">
                  <c:v>2770</c:v>
                </c:pt>
                <c:pt idx="12">
                  <c:v>2867</c:v>
                </c:pt>
                <c:pt idx="13">
                  <c:v>2953</c:v>
                </c:pt>
                <c:pt idx="14">
                  <c:v>3041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98.7</c:v>
                </c:pt>
                <c:pt idx="3">
                  <c:v>98.5</c:v>
                </c:pt>
                <c:pt idx="4">
                  <c:v>98.8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81.9</c:v>
                </c:pt>
                <c:pt idx="1">
                  <c:v>76.1</c:v>
                </c:pt>
                <c:pt idx="2">
                  <c:v>65.9</c:v>
                </c:pt>
                <c:pt idx="3">
                  <c:v>68.9</c:v>
                </c:pt>
                <c:pt idx="4">
                  <c:v>69.2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81.6</c:v>
                </c:pt>
                <c:pt idx="1">
                  <c:v>73.8</c:v>
                </c:pt>
                <c:pt idx="2">
                  <c:v>62</c:v>
                </c:pt>
                <c:pt idx="3">
                  <c:v>64.9</c:v>
                </c:pt>
                <c:pt idx="4">
                  <c:v>64.6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81.6</c:v>
                </c:pt>
                <c:pt idx="1">
                  <c:v>70.1</c:v>
                </c:pt>
                <c:pt idx="2">
                  <c:v>52.1</c:v>
                </c:pt>
                <c:pt idx="3">
                  <c:v>50.8</c:v>
                </c:pt>
                <c:pt idx="4">
                  <c:v>50.2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7.3</c:v>
                </c:pt>
                <c:pt idx="1">
                  <c:v>15.6</c:v>
                </c:pt>
                <c:pt idx="4">
                  <c:v>36.9</c:v>
                </c:pt>
                <c:pt idx="5">
                  <c:v>26.3</c:v>
                </c:pt>
                <c:pt idx="6">
                  <c:v>-3</c:v>
                </c:pt>
                <c:pt idx="7">
                  <c:v>-11.9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59</c:v>
                </c:pt>
                <c:pt idx="1">
                  <c:v>54</c:v>
                </c:pt>
                <c:pt idx="2">
                  <c:v>70</c:v>
                </c:pt>
                <c:pt idx="3">
                  <c:v>50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10</c:v>
                </c:pt>
                <c:pt idx="1">
                  <c:v>3</c:v>
                </c:pt>
                <c:pt idx="2">
                  <c:v>9</c:v>
                </c:pt>
                <c:pt idx="3">
                  <c:v>12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140</c:v>
                </c:pt>
                <c:pt idx="1">
                  <c:v>106</c:v>
                </c:pt>
                <c:pt idx="2">
                  <c:v>120</c:v>
                </c:pt>
                <c:pt idx="3">
                  <c:v>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(AED,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1233</c:v>
                </c:pt>
                <c:pt idx="1">
                  <c:v>1439.3999999999999</c:v>
                </c:pt>
                <c:pt idx="2">
                  <c:v>1213.4</c:v>
                </c:pt>
                <c:pt idx="3">
                  <c:v>1201.3999999999999</c:v>
                </c:pt>
                <c:pt idx="4">
                  <c:v>1767.2999999999997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1381</c:v>
                </c:pt>
                <c:pt idx="1">
                  <c:v>1325.7</c:v>
                </c:pt>
                <c:pt idx="2">
                  <c:v>1098</c:v>
                </c:pt>
                <c:pt idx="3">
                  <c:v>1164.5</c:v>
                </c:pt>
                <c:pt idx="4">
                  <c:v>1553.4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37.1</c:v>
                </c:pt>
                <c:pt idx="2">
                  <c:v>35.3</c:v>
                </c:pt>
                <c:pt idx="3">
                  <c:v>27.3</c:v>
                </c:pt>
                <c:pt idx="4">
                  <c:v>29.6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9.7</c:v>
                </c:pt>
                <c:pt idx="1">
                  <c:v>9.7</c:v>
                </c:pt>
                <c:pt idx="2">
                  <c:v>9.7</c:v>
                </c:pt>
                <c:pt idx="3">
                  <c:v>9.7</c:v>
                </c:pt>
                <c:pt idx="4">
                  <c:v>9.7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1">
                  <c:v>219.5</c:v>
                </c:pt>
                <c:pt idx="2">
                  <c:v>173.4</c:v>
                </c:pt>
                <c:pt idx="3">
                  <c:v>133</c:v>
                </c:pt>
                <c:pt idx="4">
                  <c:v>134.7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2022</c:v>
                </c:pt>
                <c:pt idx="1">
                  <c:v>2023</c:v>
                </c:pt>
                <c:pt idx="2">
                  <c:v>2024</c:v>
                </c:pt>
                <c:pt idx="3">
                  <c:v>2025</c:v>
                </c:pt>
              </c:strCache>
            </c:strRef>
          </c:cat>
          <c:val>
            <c:numRef>
              <c:f>Hoja1!$B$2:$B$5</c:f>
              <c:numCache>
                <c:formatCode>0.0"x"</c:formatCode>
                <c:ptCount val="4"/>
                <c:pt idx="0">
                  <c:v>2.2</c:v>
                </c:pt>
                <c:pt idx="1">
                  <c:v>2.14</c:v>
                </c:pt>
                <c:pt idx="2">
                  <c:v>3.29</c:v>
                </c:pt>
                <c:pt idx="3">
                  <c:v>2.24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(AED,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227.9</c:v>
                </c:pt>
                <c:pt idx="1">
                  <c:v>4455.7</c:v>
                </c:pt>
                <c:pt idx="2">
                  <c:v>455.7</c:v>
                </c:pt>
                <c:pt idx="3">
                  <c:v>455.7</c:v>
                </c:pt>
                <c:pt idx="4">
                  <c:v>227.9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(AED,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4000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1">
                  <c:v>826.7</c:v>
                </c:pt>
                <c:pt idx="2">
                  <c:v>1039.3</c:v>
                </c:pt>
                <c:pt idx="3">
                  <c:v>1094.8</c:v>
                </c:pt>
                <c:pt idx="4">
                  <c:v>1390.7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Otro externo</c:v>
                </c:pt>
                <c:pt idx="1">
                  <c:v>Independiente</c:v>
                </c:pt>
              </c:strCache>
            </c:strRef>
          </c:cat>
          <c:val>
            <c:numRef>
              <c:f>Hoja1!$B$2:$B$3</c:f>
              <c:numCache>
                <c:formatCode>0</c:formatCode>
                <c:ptCount val="2"/>
                <c:pt idx="0">
                  <c:v>1</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Dubai Investment Fund (Gobierno de Dubái)</c:v>
                </c:pt>
                <c:pt idx="1">
                  <c:v>Capital flotante (DFM)</c:v>
                </c:pt>
              </c:strCache>
            </c:strRef>
          </c:cat>
          <c:val>
            <c:numRef>
              <c:f>Hoja1!$B$2:$B$3</c:f>
              <c:numCache>
                <c:formatCode>0.0"%"</c:formatCode>
                <c:ptCount val="2"/>
                <c:pt idx="0">
                  <c:v>75.1</c:v>
                </c:pt>
                <c:pt idx="1">
                  <c:v>24.9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26</c:v>
                </c:pt>
                <c:pt idx="1">
                  <c:v>81</c:v>
                </c:pt>
                <c:pt idx="2">
                  <c:v>21.4</c:v>
                </c:pt>
              </c:numCache>
            </c:numRef>
          </c:val>
        </c:ser>
        <c:ser>
          <c:idx val="1"/>
          <c:order val="1"/>
          <c:tx>
            <c:strRef>
              <c:f>Hoja1!$C$1</c:f>
              <c:strCache>
                <c:ptCount val="1"/>
                <c:pt idx="0">
                  <c:v>Índice</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2.9</c:v>
                </c:pt>
                <c:pt idx="1">
                  <c:v>15.3</c:v>
                </c:pt>
                <c:pt idx="2">
                  <c:v>21.3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0.0"x"</c:formatCode>
                <c:ptCount val="4"/>
                <c:pt idx="0">
                  <c:v>15.6</c:v>
                </c:pt>
                <c:pt idx="1">
                  <c:v>18.9</c:v>
                </c:pt>
                <c:pt idx="2">
                  <c:v>28.9</c:v>
                </c:pt>
                <c:pt idx="3">
                  <c:v>24.5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0.0"x"</c:formatCode>
                <c:ptCount val="4"/>
                <c:pt idx="0">
                  <c:v>24.5</c:v>
                </c:pt>
                <c:pt idx="1">
                  <c:v>24.5</c:v>
                </c:pt>
                <c:pt idx="2">
                  <c:v>24.5</c:v>
                </c:pt>
                <c:pt idx="3">
                  <c:v>24.5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Salik</c:v>
                </c:pt>
                <c:pt idx="1">
                  <c:v>Parkin</c:v>
                </c:pt>
                <c:pt idx="2">
                  <c:v>Transurban</c:v>
                </c:pt>
                <c:pt idx="3">
                  <c:v>Vinci</c:v>
                </c:pt>
                <c:pt idx="4">
                  <c:v>Ferrovial</c:v>
                </c:pt>
                <c:pt idx="5">
                  <c:v>Getlink</c:v>
                </c:pt>
                <c:pt idx="6">
                  <c:v>Eiffage</c:v>
                </c:pt>
                <c:pt idx="7">
                  <c:v>Jiangsu Expressway</c:v>
                </c:pt>
                <c:pt idx="8">
                  <c:v>Zhejiang Expressway</c:v>
                </c:pt>
              </c:strCache>
            </c:strRef>
          </c:cat>
          <c:val>
            <c:numRef>
              <c:f>Hoja1!$B$2:$B$10</c:f>
              <c:numCache>
                <c:formatCode>0.0"x"</c:formatCode>
                <c:ptCount val="9"/>
                <c:pt idx="0">
                  <c:v>20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(AED,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1867</c:v>
                </c:pt>
                <c:pt idx="1">
                  <c:v>2035</c:v>
                </c:pt>
                <c:pt idx="2">
                  <c:v>2143</c:v>
                </c:pt>
                <c:pt idx="3">
                  <c:v>2230</c:v>
                </c:pt>
                <c:pt idx="4">
                  <c:v>2310</c:v>
                </c:pt>
                <c:pt idx="5">
                  <c:v>2381</c:v>
                </c:pt>
                <c:pt idx="6">
                  <c:v>2443</c:v>
                </c:pt>
                <c:pt idx="7">
                  <c:v>2507</c:v>
                </c:pt>
                <c:pt idx="8">
                  <c:v>2568</c:v>
                </c:pt>
                <c:pt idx="9">
                  <c:v>2636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(AED,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14258</c:v>
                </c:pt>
                <c:pt idx="1">
                  <c:v>16755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(AED) · precio actual 5,14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2.41</c:v>
                </c:pt>
                <c:pt idx="1">
                  <c:v>3.37</c:v>
                </c:pt>
                <c:pt idx="2">
                  <c:v>3.84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(AED) · precio actual 5,14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(4,96 – 6,78)</c:v>
                </c:pt>
                <c:pt idx="1">
                  <c:v>Precio objetivo de los analistas (5,10 – 6,90)</c:v>
                </c:pt>
                <c:pt idx="2">
                  <c:v>Comparables: PER NTM (2,22 – 7,28)</c:v>
                </c:pt>
                <c:pt idx="3">
                  <c:v>DCF (WACC y g ± 0,5) (2,96 – 3,91)</c:v>
                </c:pt>
                <c:pt idx="4">
                  <c:v>Escenarios (bajista – alcista) (2,41 – 3,84)</c:v>
                </c:pt>
                <c:pt idx="5">
                  <c:v>DCF con la prima implícita del mercado (4,2 %)</c:v>
                </c:pt>
                <c:pt idx="6">
                  <c:v>Precio actual (5,14)</c:v>
                </c:pt>
              </c:strCache>
            </c:strRef>
          </c:cat>
          <c:val>
            <c:numRef>
              <c:f>Hoja1!$B$2:$B$8</c:f>
              <c:numCache>
                <c:formatCode>#,##0.00</c:formatCode>
                <c:ptCount val="7"/>
                <c:pt idx="0">
                  <c:v>4.96</c:v>
                </c:pt>
                <c:pt idx="1">
                  <c:v>5.1</c:v>
                </c:pt>
                <c:pt idx="2">
                  <c:v>2.22</c:v>
                </c:pt>
                <c:pt idx="3">
                  <c:v>2.96</c:v>
                </c:pt>
                <c:pt idx="4">
                  <c:v>2.41</c:v>
                </c:pt>
                <c:pt idx="5">
                  <c:v>3.55</c:v>
                </c:pt>
                <c:pt idx="6">
                  <c:v>5.11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(4,96 – 6,78)</c:v>
                </c:pt>
                <c:pt idx="1">
                  <c:v>Precio objetivo de los analistas (5,10 – 6,90)</c:v>
                </c:pt>
                <c:pt idx="2">
                  <c:v>Comparables: PER NTM (2,22 – 7,28)</c:v>
                </c:pt>
                <c:pt idx="3">
                  <c:v>DCF (WACC y g ± 0,5) (2,96 – 3,91)</c:v>
                </c:pt>
                <c:pt idx="4">
                  <c:v>Escenarios (bajista – alcista) (2,41 – 3,84)</c:v>
                </c:pt>
                <c:pt idx="5">
                  <c:v>DCF con la prima implícita del mercado (4,2 %)</c:v>
                </c:pt>
                <c:pt idx="6">
                  <c:v>Precio actual (5,14)</c:v>
                </c:pt>
              </c:strCache>
            </c:strRef>
          </c:cat>
          <c:val>
            <c:numRef>
              <c:f>Hoja1!$C$2:$C$8</c:f>
              <c:numCache>
                <c:formatCode>#,##0.00</c:formatCode>
                <c:ptCount val="7"/>
                <c:pt idx="0">
                  <c:v>1.8200000000000003</c:v>
                </c:pt>
                <c:pt idx="1">
                  <c:v>1.8000000000000007</c:v>
                </c:pt>
                <c:pt idx="2">
                  <c:v>5.0600000000000005</c:v>
                </c:pt>
                <c:pt idx="3">
                  <c:v>0.9500000000000002</c:v>
                </c:pt>
                <c:pt idx="4">
                  <c:v>1.4299999999999997</c:v>
                </c:pt>
                <c:pt idx="5">
                  <c:v>0.75</c:v>
                </c:pt>
                <c:pt idx="6">
                  <c:v>0.05999999999999961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