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RELX PLC</w:t>
      </w:r>
    </w:p>
    <w:p>
      <w:pPr>
        <w:spacing w:after="60"/>
        <w:rPr>
          <w:color w:val="52514E"/>
          <w:sz w:val="22"/>
          <w:szCs w:val="22"/>
        </w:rPr>
      </w:pPr>
      <w:r>
        <w:rPr>
          <w:color w:val="52514E"/>
          <w:sz w:val="22"/>
          <w:szCs w:val="22"/>
        </w:rPr>
        <w:t xml:space="preserve">REL · London Stock Exchange (también ADR en NYSE: RELX y línea en Euronext Ámsterdam) · ISIN GB00B2B0DG97 · Industrials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27,01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29,30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+11,1 % (base +11,6 %)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25,58 GBP · mercado 29,72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44.715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RELX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REL / GB00B2B0DG97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(también ADR en NYSE: RELX y línea en Euronext Ámsterdam)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Industrials / Professional Services (Research &amp; Consulting / información profesional)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Londres · 1993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https://www.relx.com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27,01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19,91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1.655,5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44.715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53.908 M GBP</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29,30 GBP</w:t>
      </w:r>
      <w:r>
        <w:t xml:space="preserve"> frente a 27,01 · Rentabilidad a 12 meses </w:t>
      </w:r>
      <w:r>
        <w:rPr>
          <w:b/>
          <w:bCs/>
        </w:rPr>
        <w:t xml:space="preserve">+11,1 % (base +11,6 %)</w:t>
      </w:r>
      <w:r>
        <w:t xml:space="preserve"> · Valor intrínseco 25,58 GBP · con la prima implícita del mercado: 29,72 (+10,0 %) · Alcista / bajista +13,9 % / -44,4 %</w:t>
      </w:r>
    </w:p>
    <w:p>
      <w:pPr>
        <w:spacing w:after="100"/>
      </w:pPr>
      <w:r>
        <w:rPr>
          <w:b/>
        </w:rPr>
        <w:t xml:space="preserve">La recomendación y por qué.</w:t>
      </w:r>
      <w:r>
        <w:t xml:space="preserve"> Mantener, con convicción baja. Con nuestro BPA de 2028e (1,683 GBP) y el PER de la regla común (17,5 veces, el actual), el objetivo ponderado a 12 meses es 29,30 GBP frente a 27,01 GBP: +11,1 % con el dividendo, y +11,6 % en el caso base. No llega a los umbrales de compra (15 % y 12 %) y el valor intrínseco, 25,58 GBP, queda un 5,3 % por debajo del precio. El objetivo medio de los analistas (34,07 GBP [24]) está dentro de nuestro rango (21,38-40,79) pero muy por encima del base: supone que el mercado vuelve a pagar 22-27 veces. La convicción es baja porque las dos reglas del valor intrínseco discrepan (con nuestro WACC sale Vender; con la prima del mercado, Mantener) y porque las cifras salen de extractos de búsqueda, no de los documentos completos. Subiría si el gilt bajara del 4,5 % o si el precio cayera por debajo de 25,58 GBP sin cambio en las cifras.</w:t>
      </w:r>
    </w:p>
    <w:p>
      <w:pPr>
        <w:spacing w:after="100"/>
      </w:pPr>
      <w:r>
        <w:rPr>
          <w:b/>
        </w:rPr>
        <w:t xml:space="preserve">El negocio.</w:t>
      </w:r>
      <w:r>
        <w:t xml:space="preserve"> RELX vende datos y analítica por suscripción a aseguradoras, juristas y científicos, con un margen operativo ajustado del 34,8 % y un ROIC ajustado del 15,4 % en 2025 [1, 9], unos 6,6 puntos por encima de nuestro WACC del 8,8 %. Crece un 7 % subyacente desde 2021 sin apenas capital y el beneficio crece 2 puntos más que los ingresos. Sostenibilidad: </w:t>
      </w:r>
      <w:r>
        <w:rPr>
          <w:b/>
        </w:rPr>
        <w:t xml:space="preserve">sí</w:t>
      </w:r>
      <w:r>
        <w:t xml:space="preserve">; el caso base (6,5 % bajando al 3,5 %) queda por debajo de lo logrado y se apoya en el poder de precios, no en inversión.</w:t>
      </w:r>
    </w:p>
    <w:p>
      <w:pPr>
        <w:spacing w:after="100"/>
      </w:pPr>
      <w:r>
        <w:rPr>
          <w:b/>
        </w:rPr>
        <w:t xml:space="preserve">Sector y ciclo.</w:t>
      </w:r>
      <w:r>
        <w:t xml:space="preserve"> El riesgo no es cíclico sino tecnológico: la IA generativa generalista puede desplazar el valor de la base de datos a la interfaz. Las cifras aún no lo muestran: Legal acelera al 10 % y STM al 6 % en el primer semestre de 2026 [12], y Outsell constata lo mismo en Thomson Reuters y Wolters Kluwer [19].</w:t>
      </w:r>
    </w:p>
    <w:p>
      <w:pPr>
        <w:spacing w:after="100"/>
      </w:pPr>
      <w:r>
        <w:rPr>
          <w:b/>
        </w:rPr>
        <w:t xml:space="preserve">Finanzas.</w:t>
      </w:r>
      <w:r>
        <w:t xml:space="preserve"> Ventas de 9.590 M GBP en 2025 y BPA ajustado de 128,5 peniques (+10 % a tipo constante) [1]; 68,6 peniques en el primer semestre de 2026 (+11 %) [2]. Caja libre antes de dividendos de 2.313 M [8]. La deuda neta subió a 8.733 M (2,3 veces el EBITDA) para pagar una recompra de 2.250 M [2]. El dólar débil resta unos 3-4 puntos al crecimiento publicado.</w:t>
      </w:r>
    </w:p>
    <w:p>
      <w:pPr>
        <w:spacing w:after="100"/>
      </w:pPr>
      <w:r>
        <w:rPr>
          <w:b/>
        </w:rPr>
        <w:t xml:space="preserve">Equipo y gobierno.</w:t>
      </w:r>
      <w:r>
        <w:t xml:space="preserve"> Equipo estable (Engstrom desde 2009, Luff desde 2014), guía cualitativa cumplida cada año y votos amplios en la junta (95,3 % al informe de remuneraciones) [21]. Suma; el riesgo es la sucesión.</w:t>
      </w:r>
    </w:p>
    <w:p>
      <w:pPr>
        <w:spacing w:after="100"/>
      </w:pPr>
      <w:r>
        <w:rPr>
          <w:b/>
        </w:rPr>
        <w:t xml:space="preserve">Valoración.</w:t>
      </w:r>
      <w:r>
        <w:t xml:space="preserve"> El DCF da 25,28 GBP (−6,4 %); el precio descuenta un crecimiento del 6,5 % en 2027-2032e frente a nuestro 5,4 %, casi el histórico: el mercado no descuenta el hundimiento que sugiere la caída de la acción. Con la prima implícita del mercado el valor sube a 29,72 GBP (+10 %): la diferencia es de tasa (gilt al 5,15 %), no de cifras. A 17,8 veces el beneficio de los próximos 12 meses, RELX cotiza por debajo de la mediana de sus pares (19,6) y de Thomson Reuters (23,3) [20], y en el mínimo de su historia reciente (22-30 veces en 2021-2025).</w:t>
      </w:r>
    </w:p>
    <w:p>
      <w:pPr>
        <w:spacing w:after="100"/>
      </w:pPr>
      <w:r>
        <w:rPr>
          <w:b/>
        </w:rPr>
        <w:t xml:space="preserve">Riesgos y catalizadores.</w:t>
      </w:r>
      <w:r>
        <w:t xml:space="preserve"> El primero es la sustitución de Lexis por asistentes de IA (bajista −44 % sobre el valor intrínseco y −18 % a 12 meses); el segundo, otra compresión del múltiplo aunque las cifras aguanten. Catalizadores: actualización de los nueve meses a finales de octubre, resultados de 2026 y nueva recompra en febrero de 2027. Los foros han pasado de la capitulación de febrero a un tono dividido; no señalan riesgos nuevos.</w:t>
      </w:r>
    </w:p>
    <w:p>
      <w:pPr>
        <w:spacing w:after="100"/>
      </w:pPr>
      <w:r>
        <w:rPr>
          <w:b/>
        </w:rPr>
        <w:t xml:space="preserve">Qué cambiaría la decisión.</w:t>
      </w:r>
      <w:r>
        <w:t xml:space="preserve"> Compraríamos por debajo de 25,58 GBP; venderíamos por encima de 33,33 GBP. Pasaríamos a Vender si el crecimiento subyacente de Legal baja del 6 % en un semestre, y a Comprar si el gilt baja del 4,5 % con el crecimiento intacto.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29,30 GBP</w:t>
      </w:r>
      <w:r>
        <w:t xml:space="preserve"> (rentabilidad +11,1 % (base +11,6 %)) · Valor intrínseco: 25,58 GBP (-5,3 % sobre 27,01) · con la prima implícita del mercado: 29,72 (+10,0 %)</w:t>
      </w:r>
    </w:p>
    <w:p>
      <w:pPr>
        <w:spacing w:after="100"/>
      </w:pPr>
      <w:r>
        <w:t xml:space="preserve">RELX es el mayor proveedor mundial de información científica y uno de los dos grandes de la investigación jurídica, además de líder en analítica de riesgo para seguros en EE. UU. Crece un 7 % subyacente desde 2021, con un margen operativo ajustado del 34,8 % y una conversión de caja del 99 % [1], y devuelve casi toda la caja: 1.181 M de dividendos y 1.500 M de recompras en 2025 [8].</w:t>
      </w:r>
    </w:p>
    <w:p>
      <w:pPr>
        <w:spacing w:after="100"/>
      </w:pPr>
      <w:r>
        <w:t xml:space="preserve">El precio, 27,01 GBP, es un 35 % inferior a los casi 4.200 peniques de la primavera de 2025 [17]. Aun así, el DCF inverso dice que descuenta un crecimiento del 6,5 % hasta 2032 con nuestro WACC del 8,8 %: el mercado ha bajado el múltiplo, de 27-30 a 17,5 veces el beneficio de 2027e, pero no descuenta un hundimiento de las cifras.</w:t>
      </w:r>
    </w:p>
    <w:p>
      <w:pPr>
        <w:spacing w:after="100"/>
      </w:pPr>
      <w:r>
        <w:t xml:space="preserve">Para invertir hay que creer dos cosas: que la IA es un producto que RELX vende y no un sustituto que la desplaza, como sugieren Legal (+10 %) y STM (+6 %) en el primer semestre de 2026 [12], y que la tasa libre británica no seguirá subiendo. Con lo que se ve hoy, la acción está razonablemente valorada: barata frente a su historia y a sus pares, cara frente a nuestro DCF.</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 × 1,44 = 21,38 · 17,5x × 1,68 = 29,45 · 22,8x × 1,79 = 40,79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 / 11,6 %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34,07 (nuestro base -13,6 %)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25,58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 / -44,4 %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8,8 %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25,58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25,58 y 33,33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33,33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25,58 GBP con la guía intacta, pasaríamos a Comprar.</w:t>
      </w:r>
    </w:p>
    <w:p>
      <w:pPr>
        <w:pStyle w:val="ListParagraph"/>
        <w:numPr>
          <w:ilvl w:val="0"/>
          <w:numId w:val="2"/>
        </w:numPr>
        <w:spacing w:after="60"/>
      </w:pPr>
      <w:r>
        <w:t xml:space="preserve">Si el crecimiento subyacente de Legal baja del 6 % en un semestre, pasaríamos a Vender.</w:t>
      </w:r>
    </w:p>
    <w:p>
      <w:pPr>
        <w:pStyle w:val="ListParagraph"/>
        <w:numPr>
          <w:ilvl w:val="0"/>
          <w:numId w:val="2"/>
        </w:numPr>
        <w:spacing w:after="60"/>
      </w:pPr>
      <w:r>
        <w:t xml:space="preserve">Si el gilt a 10 años baja del 4,5 %, el valor intrínseco superaría el precio y revisaríamos a Comprar.</w:t>
      </w:r>
    </w:p>
    <w:p>
      <w:pPr>
        <w:pStyle w:val="ListParagraph"/>
        <w:numPr>
          <w:ilvl w:val="0"/>
          <w:numId w:val="2"/>
        </w:numPr>
        <w:spacing w:after="60"/>
      </w:pPr>
      <w:r>
        <w:t xml:space="preserve">Si la deuda neta pasa de 2,5 veces el EBITDA sin recorte de la recompra, 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generalista erosionará el foso de LexisNexis y Elsevier y que el PER de 27-30 veces de 2021-2025 no volverá: paga 17,5 veces el beneficio de 2027e. A la vez, con el WACC del 8,8 %, el precio sigue descontando un crecimiento del 6,5 % hasta 2032, casi el histórico.</w:t>
      </w:r>
    </w:p>
    <w:p>
      <w:pPr>
        <w:keepNext/>
        <w:spacing w:after="100"/>
      </w:pPr>
      <w:r>
        <w:rPr>
          <w:b/>
          <w:bCs/>
        </w:rPr>
        <w:t xml:space="preserve">Lo que creemos nosotros.</w:t>
      </w:r>
    </w:p>
    <w:p>
      <w:pPr>
        <w:spacing w:after="100"/>
      </w:pPr>
      <w:r>
        <w:t xml:space="preserve">Coincidimos con el mercado más de lo que parece: nuestro base crece algo menos (5,4 % de media en 2027-2032e) y el valor intrínseco queda un 5 % por debajo del precio. Donde discrepamos de los analistas (objetivo medio de 34,07 GBP) es en el múltiplo: no suponemos que vuelva.</w:t>
      </w:r>
    </w:p>
    <w:p>
      <w:pPr>
        <w:keepNext/>
        <w:spacing w:after="100"/>
      </w:pPr>
      <w:r>
        <w:rPr>
          <w:b/>
          <w:bCs/>
        </w:rPr>
        <w:t xml:space="preserve">Por qué podemos tener razón.</w:t>
      </w:r>
    </w:p>
    <w:p>
      <w:pPr>
        <w:spacing w:after="100"/>
      </w:pPr>
      <w:r>
        <w:t xml:space="preserve">Las cifras del semestre muestran que la IA se cobra, pero el efecto de los asistentes generalistas se verá en las renovaciones de 2027-2028, que nadie ha publicado. Sin esa prueba, no pagamos por la vuelta del múltiplo.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27,0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subyacente estable</w:t>
      </w:r>
      <w:r>
        <w:t xml:space="preserve">: 7 % en 2021, 2024, 2025 y el 1S26 [1, 2].</w:t>
      </w:r>
    </w:p>
    <w:p>
      <w:pPr>
        <w:pStyle w:val="ListParagraph"/>
        <w:numPr>
          <w:ilvl w:val="0"/>
          <w:numId w:val="2"/>
        </w:numPr>
        <w:spacing w:after="60"/>
      </w:pPr>
      <w:r>
        <w:rPr>
          <w:b/>
        </w:rPr>
        <w:t xml:space="preserve">Apalancamiento operativo</w:t>
      </w:r>
      <w:r>
        <w:t xml:space="preserve">: margen operativo ajustado de 31,4 % (2022) a 34,8 % (2025) [1, 4].</w:t>
      </w:r>
    </w:p>
    <w:p>
      <w:pPr>
        <w:pStyle w:val="ListParagraph"/>
        <w:numPr>
          <w:ilvl w:val="0"/>
          <w:numId w:val="2"/>
        </w:numPr>
        <w:spacing w:after="60"/>
      </w:pPr>
      <w:r>
        <w:rPr>
          <w:b/>
        </w:rPr>
        <w:t xml:space="preserve">Caja</w:t>
      </w:r>
      <w:r>
        <w:t xml:space="preserve">: conversión del 99 % y caja libre de 2.313 M en 2025 [1, 8].</w:t>
      </w:r>
    </w:p>
    <w:p>
      <w:pPr>
        <w:pStyle w:val="ListParagraph"/>
        <w:numPr>
          <w:ilvl w:val="0"/>
          <w:numId w:val="2"/>
        </w:numPr>
        <w:spacing w:after="60"/>
      </w:pPr>
      <w:r>
        <w:rPr>
          <w:b/>
        </w:rPr>
        <w:t xml:space="preserve">Recompra barata</w:t>
      </w:r>
      <w:r>
        <w:t xml:space="preserve">: 2.250 M en 2026 a 25-27 GBP, frente a 35-40 GBP en 2024-2025 [2, 30].</w:t>
      </w:r>
    </w:p>
    <w:p>
      <w:pPr>
        <w:pStyle w:val="ListParagraph"/>
        <w:numPr>
          <w:ilvl w:val="0"/>
          <w:numId w:val="2"/>
        </w:numPr>
        <w:spacing w:after="60"/>
      </w:pPr>
      <w:r>
        <w:rPr>
          <w:b/>
        </w:rPr>
        <w:t xml:space="preserve">Múltiplo en mínimos</w:t>
      </w:r>
      <w:r>
        <w:t xml:space="preserve">: 17,8 veces los próximos 12 meses frente a 22-30 veces en 2021-2025.</w:t>
      </w:r>
    </w:p>
    <w:p>
      <w:pPr>
        <w:pStyle w:val="Heading2"/>
      </w:pPr>
      <w:r>
        <w:t xml:space="preserve">En contra</w:t>
      </w:r>
    </w:p>
    <w:p>
      <w:pPr>
        <w:pStyle w:val="ListParagraph"/>
        <w:numPr>
          <w:ilvl w:val="0"/>
          <w:numId w:val="2"/>
        </w:numPr>
        <w:spacing w:after="60"/>
      </w:pPr>
      <w:r>
        <w:rPr>
          <w:b/>
        </w:rPr>
        <w:t xml:space="preserve">Riesgo de sustitución por la IA</w:t>
      </w:r>
      <w:r>
        <w:t xml:space="preserve">: un anuncio de Anthropic restó un 12 % en un día [28].</w:t>
      </w:r>
    </w:p>
    <w:p>
      <w:pPr>
        <w:pStyle w:val="ListParagraph"/>
        <w:numPr>
          <w:ilvl w:val="0"/>
          <w:numId w:val="2"/>
        </w:numPr>
        <w:spacing w:after="60"/>
      </w:pPr>
      <w:r>
        <w:rPr>
          <w:b/>
        </w:rPr>
        <w:t xml:space="preserve">Valor intrínseco por debajo del precio</w:t>
      </w:r>
      <w:r>
        <w:t xml:space="preserve">: 25,58 GBP, −5,3 %.</w:t>
      </w:r>
    </w:p>
    <w:p>
      <w:pPr>
        <w:pStyle w:val="ListParagraph"/>
        <w:numPr>
          <w:ilvl w:val="0"/>
          <w:numId w:val="2"/>
        </w:numPr>
        <w:spacing w:after="60"/>
      </w:pPr>
      <w:r>
        <w:rPr>
          <w:b/>
        </w:rPr>
        <w:t xml:space="preserve">Deuda al alza</w:t>
      </w:r>
      <w:r>
        <w:t xml:space="preserve">: 2,3 veces el EBITDA en junio de 2026 [2].</w:t>
      </w:r>
    </w:p>
    <w:p>
      <w:pPr>
        <w:pStyle w:val="ListParagraph"/>
        <w:numPr>
          <w:ilvl w:val="0"/>
          <w:numId w:val="2"/>
        </w:numPr>
        <w:spacing w:after="60"/>
      </w:pPr>
      <w:r>
        <w:rPr>
          <w:b/>
        </w:rPr>
        <w:t xml:space="preserve">Divisa</w:t>
      </w:r>
      <w:r>
        <w:t xml:space="preserve">: el crecimiento publicado del 1S26 fue del 2,7 % frente al 7 % subyacente [2].</w:t>
      </w:r>
    </w:p>
    <w:p>
      <w:pPr>
        <w:pStyle w:val="ListParagraph"/>
        <w:numPr>
          <w:ilvl w:val="0"/>
          <w:numId w:val="2"/>
        </w:numPr>
        <w:spacing w:after="60"/>
      </w:pPr>
      <w:r>
        <w:rPr>
          <w:b/>
        </w:rPr>
        <w:t xml:space="preserve">Asimetría del valor intrínseco</w:t>
      </w:r>
      <w:r>
        <w:t xml:space="preserve">: bajista −44,4 % frente a alcista +13,9 %.</w:t>
      </w:r>
    </w:p>
    <w:p>
      <w:pPr>
        <w:pStyle w:val="Heading2"/>
      </w:pPr>
      <w:r>
        <w:t xml:space="preserve">Qué tiene que pasar para que la tesis funcione</w:t>
      </w:r>
    </w:p>
    <w:p>
      <w:pPr>
        <w:spacing w:after="100"/>
      </w:pPr>
      <w:r>
        <w:t xml:space="preserve">La tesis depende de que Legal y STM sigan acelerando con productos de IA cobrados más caros. La señal de que no se cumple sería un crecimiento subyacente de Legal por debajo del 6 % o un cambio de discurso de la dirección hacia «inversión para defender la base».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de Legal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lugar donde se vería la sustitución por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de STM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Acceso abierto y modelos que resumen la ciencia.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Baja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IA exige gasto defensivo, el margen deja de subir.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se financia en parte con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Gilt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5,15 %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4,5 % (al alza del valor)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valoración depende de la tasa libre.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 17,8x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RELX nace en 1993 de la fusión de Reed International (editorial británica) y Elsevier (editorial científica neerlandesa), como Reed Elsevier, con dos sociedades cotizadas. En los años 2000 y 2010 vendió las revistas comerciales y la mayoría de la edición en papel, y compró LexisNexis (1994) y ChoicePoint (2008), base del negocio de riesgo. En 2015 adoptó el nombre RELX y en 2018 simplificó la estructura en una sola sociedad británica. Erik Engstrom dirige el grupo desde 2009 y ha llevado la mezcla hacia analítica y herramientas de decisión: la impresión es hoy una parte pequeña de los ingresos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Reed International y Elsevier (Reed Elsevier)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LexisNexis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ChoicePoint, base de Risk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Erik Engstrom, consejero delegado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grupo pasa a llamarse RELX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sola sociedad matriz británica, RELX PLC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impresión se separa de STM en la información; pico de cotización cerca de 4.200 peniques en primavera [1,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la acción por el miedo a la IA generativa; recompra récord de 2.250 M [13, 18].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RELX vende información y herramientas de análisis a profesionales en cuatro divisiones [1, 13]. </w:t>
      </w:r>
      <w:r>
        <w:rPr>
          <w:b/>
        </w:rPr>
        <w:t xml:space="preserve">Risk</w:t>
      </w:r>
      <w:r>
        <w:t xml:space="preserve"> (LexisNexis Risk Solutions) da a aseguradoras, bancos y administraciones datos y modelos para fijar primas, prevenir el fraude y verificar identidades. </w:t>
      </w:r>
      <w:r>
        <w:rPr>
          <w:b/>
        </w:rPr>
        <w:t xml:space="preserve">STM</w:t>
      </w:r>
      <w:r>
        <w:t xml:space="preserve"> (Elsevier) publica revistas científicas (ScienceDirect, The Lancet) y vende bases de datos y herramientas clínicas y de investigación (Scopus, ClinicalKey). </w:t>
      </w:r>
      <w:r>
        <w:rPr>
          <w:b/>
        </w:rPr>
        <w:t xml:space="preserve">Legal</w:t>
      </w:r>
      <w:r>
        <w:t xml:space="preserve"> (LexisNexis Legal &amp; Professional) vende investigación jurídica, noticias y herramientas a despachos y empresas, hoy con Lexis+ AI y el asistente Protégé. </w:t>
      </w:r>
      <w:r>
        <w:rPr>
          <w:b/>
        </w:rPr>
        <w:t xml:space="preserve">Exhibitions</w:t>
      </w:r>
      <w:r>
        <w:t xml:space="preserve"> (RX) organiza ferias profesionales. Los clientes son corporaciones, administraciones, universidades y despachos de más de 180 países; Norteamérica pesa más de la mitad de los ingresos.</w:t>
      </w:r>
    </w:p>
    <w:p>
      <w:pPr>
        <w:pStyle w:val="Heading2"/>
      </w:pPr>
      <w:r>
        <w:t xml:space="preserve">Cómo gana dinero</w:t>
      </w:r>
    </w:p>
    <w:p>
      <w:pPr>
        <w:spacing w:after="100"/>
      </w:pPr>
      <w:r>
        <w:t xml:space="preserve">La mayor parte de los ingresos de Risk, STM y Legal son suscripciones o transacciones recurrentes: el cliente paga por el acceso a bases de datos que la empresa ha construido durante décadas y que alimenta cada día. El coste de servir a un cliente más es casi nulo, por eso el beneficio crece unos 2 puntos más que los ingresos cada año: margen operativo ajustado del 34,8 % en 2025 frente al 33,9 % de 2024 [1]. El poder de precios se ve en el crecimiento subyacente del 7 % con poca inversión neta. Exhibitions es cíclico y sigue el calendario de ferias. La caja llega antes que el ingreso (suscripciones cobradas por adelantado) y la conversión de caja ronda el 100 % [1, 13].</w:t>
      </w:r>
    </w:p>
    <w:p>
      <w:pPr>
        <w:pStyle w:val="Heading2"/>
      </w:pPr>
      <w:r>
        <w:t xml:space="preserve">Clientes, recurrencia y poder de precios</w:t>
      </w:r>
    </w:p>
    <w:p>
      <w:pPr>
        <w:spacing w:after="100"/>
      </w:pPr>
      <w:r>
        <w:t xml:space="preserve">No hay concentración relevante: miles de instituciones y empresas, ninguna con peso material. Los contratos de suscripción suelen ser plurianuales en STM (acuerdos con universidades y consorcios) y anuales en Legal y Risk, con tasas de renovación altas que la empresa no publica en cifra. El poder de precios se demuestra con los hechos: crecimiento subyacente del 7-8 % en Risk y del 9-10 % en Legal con precios al alza en los productos con IA [12, 13]. Los consorcios universitarios negocian duro en Elsevier (acceso abierto) y es el punto donde el poder de precios es menor.</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de ingresos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mantenido pese al miedo a la IA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del beneficio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crece por encima de los ingresos: apalancamiento operativo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Risk: crecimiento subyacente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ajustado +10 % en ambos periodos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STM: crecimiento subyacente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hacia analítica y herramientas; beneficio +8 %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Legal: crecimiento subyacente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Lexis+ AI y Protégé; beneficio +13 % en el 1S26 [12,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Exhibitions: crecimiento subyacente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+2 % por calendario de ferias [12,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ajustado 3.342 M sobre 9.590 M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 ajustada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ajustada / beneficio operativo ajustado [1,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Información profesional y analítica de decisión: bases de datos propietarias, contenidos y software de flujo de trabajo vendidos por suscripción a aseguradoras, bancos, despachos, científicos y médicos. Lo dominan RELX, Thomson Reuters, Wolters Kluwer, LSEG, Verisk y Experian. No se ha podido leer un estudio de tamaño de mercado con perímetro comparable en este entorno; se usan los crecimientos de las propias empresas como indicador [12,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y analítica en decisiones de riesgo (seguros, fraude, identidad)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Risk crece un 8 % subyacente en 2025 y en el 1S26 [12,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como producto (Lexis+ AI, Protégé, ScienceDirect AI)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acelera al 10 % en el 1S26 [12]; a la vez, los modelos generalistas amenazan a los contenidos menos propietarios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de investigación y acceso abierto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STM crece un 5-6 %, la división más lenta [12,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económico (ferias)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Exhibitions: beneficio +2 % en el 1S26 por calendario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competidores por nicho (Lexis frente a Westlaw; Elsevier frente a Springer Nature y Wiley); márgenes del 30-50 % en todo el grupo de pares [19,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Consorcios universitarios y grandes despachos negocian; los demás clientes son muy fragmentados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son propios o los aportan autores y fuentes públicas sin poder de negociación.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bases de datos tardan décadas en construirse, pero la IA generativa baja la barrera en la capa de interfaz y en contenidos públicos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asistentes de IA generalistas (OpenAI, Anthropic) son el sustituto que el mercado teme; su efecto en las cifras aún no se ve [12, 18].</w:t>
            </w:r>
          </w:p>
        </w:tc>
      </w:tr>
    </w:tbl>
    <w:p>
      <w:pPr>
        <w:spacing w:after="160" w:before="0"/>
      </w:pPr>
    </w:p>
    <w:p>
      <w:pPr>
        <w:pStyle w:val="Heading2"/>
      </w:pPr>
      <w:r>
        <w:t xml:space="preserve">Ciclo</w:t>
      </w:r>
    </w:p>
    <w:p>
      <w:pPr>
        <w:spacing w:after="100"/>
      </w:pPr>
      <w:r>
        <w:t xml:space="preserve">El negocio de suscripción apenas tiene ciclo: en 2020 los ingresos de RELX bajaron a 7.110 M sobre todo por la cancelación de ferias, mientras Risk, STM y Legal siguieron creciendo [5]. En 2022 subió con la reapertura. Hoy el crecimiento subyacente del 7 % es estable desde 2021 [1, 13]; el riesgo no es cíclico sino tecnológico.</w:t>
      </w:r>
    </w:p>
    <w:p>
      <w:pPr>
        <w:pStyle w:val="Heading2"/>
      </w:pPr>
      <w:r>
        <w:t xml:space="preserve">Regulación</w:t>
      </w:r>
    </w:p>
    <w:p>
      <w:pPr>
        <w:spacing w:after="100"/>
      </w:pPr>
      <w:r>
        <w:t xml:space="preserve">Protección de datos (GDPR en Europa, leyes estatales y FCRA en EE. UU.) limita el uso de datos personales en Risk; las normas de acceso abierto de las agencias públicas de investigación (EE. UU., UE) presionan el modelo de suscripción de Elsevier [18]. La regulación de la IA (Ley de IA de la UE) afecta a las herramientas jurídicas y clínicas. No se han identificado cambios con fecha en los próximos 12 meses que muevan las cifras.</w:t>
      </w:r>
    </w:p>
    <w:p>
      <w:pPr>
        <w:pStyle w:val="Heading2"/>
      </w:pPr>
      <w:r>
        <w:t xml:space="preserve">Tendencias y disrupción</w:t>
      </w:r>
    </w:p>
    <w:p>
      <w:pPr>
        <w:spacing w:after="100"/>
      </w:pPr>
      <w:r>
        <w:t xml:space="preserve">La IA generativa es a la vez la amenaza y el motor actual: RELX y sus pares la venden integrada en sus productos con precios más altos, y Outsell constata que RELX, Thomson Reuters y Wolters Kluwer crecieron más rápido en el 1S26 que un año antes pese a la caída de sus acciones [19]. El riesgo es que los modelos generalistas lleguen a contenidos de calidad suficiente por acuerdos de licencia o fuentes públicas.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edición científica (Elsevier), uno de los dos grandes en investigación jurídica (LexisNexis, frente a Westlaw de Thomson Reuters) y líder en analítica de riesgo para seguros en EE. UU.; primer organizador de ferias del mundo junto a Informa.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Westlaw y CoCounsel frente a Lexis+ AI en Legal; margen EBITDA del 39 %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Wolters Kluwer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WKL.AS</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y Health (UpToDate) frente a Legal y STM de RELX; margen EBITDA del 33 %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VRSK</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seguros frente a Risk; margen EBITDA del 56 %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EXPN.L</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Identidad y fraude frente a Risk; margen EBITDA del 36 %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Springer Nature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editor científico, más expuesto al acceso abierto.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INF.L</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Ferias profesionales frente a RX.</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clientes aportan más datos de transacciones en Risk (fraude, identidad), que mejoran los modelos; en STM, los autores publican donde están los lectores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Lexis y las bases de Elsevier están dentro del flujo de trabajo de despachos e investigadores; crecimiento subyacente estable del 7 % desde 2021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Contenidos y datos propietarios acumulados durante décadas (The Lancet, Cell, LexisNexis); margen operativo ajustado del 34,8 %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tecnología y datos: el beneficio crece 2 puntos más que los ingresos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con dos o tres proveedores (investigación jurídica, seguros de autos en EE. UU.), donde un tercero no recupera la inversión.</w:t>
            </w:r>
          </w:p>
        </w:tc>
      </w:tr>
    </w:tbl>
    <w:p>
      <w:pPr>
        <w:spacing w:after="160" w:before="0"/>
      </w:pPr>
    </w:p>
    <w:p>
      <w:pPr>
        <w:pStyle w:val="Heading2"/>
      </w:pPr>
      <w:r>
        <w:t xml:space="preserve">Amenazas</w:t>
      </w:r>
    </w:p>
    <w:p>
      <w:pPr>
        <w:spacing w:after="100"/>
      </w:pPr>
      <w:r>
        <w:t xml:space="preserve">La amenaza es la IA generativa generalista: si los modelos de OpenAI o Anthropic llegan, por licencias o por contenido público, a una calidad suficiente para el trabajo jurídico o la consulta científica, el valor se desplaza de la base de datos a la interfaz [18]. Probabilidad media a largo plazo y baja a 12 meses: Legal acelera al 10 % y la empresa cobra más por sus productos con IA [12]. En STM, el acceso abierto erosiona lentamente las suscripciones (probabilidad alta, efecto pequeño cada año).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7,3 %</w:t>
      </w:r>
      <w:r>
        <w:t xml:space="preserve">, EBITDA </w:t>
      </w:r>
      <w:r>
        <w:rPr>
          <w:b/>
          <w:bCs/>
        </w:rPr>
        <w:t xml:space="preserve">n.d.</w:t>
      </w:r>
      <w:r>
        <w:t xml:space="preserve">, BPA </w:t>
      </w:r>
      <w:r>
        <w:rPr>
          <w:b/>
          <w:bCs/>
        </w:rPr>
        <w:t xml:space="preserve">10,2 %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Los ingresos pasaron de 7.244 M GBP en 2021 a 9.590 M en 2025 [1, 5]; el crecimiento subyacente (sin divisa ni perímetro) ha sido del 7 % en 2021, 2024 y 2025 [1, 5] y el salto de 2022 (+18 % publicado) recoge sobre todo la vuelta de las ferias tras la pandemia y la libra débil [3]. El beneficio operativo ajustado subió de 2.683 M en 2022 a 3.342 M en 2025 y su margen de 31,4 % a 34,8 % [1, 4]: el beneficio crece unos 2 puntos más que los ingresos cada año porque el coste de los datos ya construidos apenas sube con el volumen. El beneficio operativo publicado (3.027 M en 2025) es menor que el ajustado por la amortización de intangibles comprados (248 M) y costes de adquisición [1]. En el primer semestre de 2026 los ingresos publicados subieron solo un 2,7 % (4.871 M frente a 4.741 M) porque el dólar débil resta unos 4 puntos al crecimiento subyacente del 7 % [2].</w:t>
      </w:r>
    </w:p>
    <w:p>
      <w:pPr>
        <w:pStyle w:val="Heading2"/>
      </w:pPr>
      <w:r>
        <w:t xml:space="preserve">Ajustes y partidas no recurrentes</w:t>
      </w:r>
    </w:p>
    <w:p>
      <w:pPr>
        <w:spacing w:after="100"/>
      </w:pPr>
      <w:r>
        <w:t xml:space="preserve">RELX publica cifras ajustadas que excluyen la amortización de intangibles comprados (248 M en 2025, 258 M en 2024, 280 M en 2023, 296 M en 2022), los costes de adquisición y ciertos efectos fiscales [1, 4]. El BPA ajustado fue 128,5 peniques en 2025 frente a 112,6 publicado; 120,1 frente a 103,6 en 2024; 114,0 frente a 94,1 en 2023; 102,2 frente a 85,2 en 2022; 87,6 frente a 76,3 en 2021 y 80,1 frente a 63,5 en 2020 [1, 3, 4, 5]. La cuenta del informe usa las cifras publicadas; el EBITDA es el beneficio operativo publicado más toda la amortización (la de activos propios, que la empresa da como EBITDA menos beneficio operativo ajustado, y la de intangibles comprados) [1, 4, 9]. El EBITDA ajustado de la empresa fue 3.846 M en 2025 (3.724 M en 2024) [1]: la diferencia con el del informe (3.779 M) son los costes de adquisición, que se repiten cada año y no se tratan como no recurrentes. El LTM a junio de 2026 es estimación propia: 2025 más la diferencia entre semestres del beneficio operativo ajustado (+75 M)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los resultados del primer semestre de 2026 (23 de julio) la dirección mantuvo el mensaje de siempre: otro año de fuerte crecimiento subyacente de ingresos y beneficio operativo ajustado, con el beneficio por encima de los ingresos, y fuerte crecimiento del BPA ajustado a tipo de cambio constante [2]. El beneficio operativo ajustado (1.727 M) superó el consenso de Bloomberg de 1.720 M y los ingresos (4.871 M) quedaron algo por debajo de los 4.910 M esperados [15]. El cambio de tono frente a febrero es que Legal y STM aceleran (10 % y 6 %) y la dirección lo atribuye a productos con IA generativa (Lexis+ AI, Protégé, ScienceDirect AI) que se venden con precio superior [12, 16]. Las preguntas de los analistas se centraron en si los modelos generalistas de IA pueden sustituir a Lexis y Elsevier; la dirección respondió con datos de uso y de renovación, sin dar cifras de ingresos atribuibles a la IA [16]. Los BPA de los semestres son ajustados; el 2S25 es la diferencia entre el año y el 1S25 [1,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La deuda neta (con arrendamientos) se ha movido entre 6.000 y 7.200 M GBP de 2021 a 2025 [1, 4, 5] y subió a 8.733 M en junio de 2026, 2,3 veces el EBITDA, porque la recompra de 2026 (2.250 M, 1.750 M ya hechos en el primer semestre) va por delante de la caja del año [2]. La empresa se mueve deliberadamente en 2-2,5 veces: devuelve a los accionistas casi toda la caja libre tras dividendos y compras pequeñas. El patrimonio contable es pequeño (unos 3.400 M en 2023 [11]) por décadas de recompras, así que el ROE no sirve para comparar; el ROIC ajustado de la empresa sí (15,4 % en 2025 [9]). Las columnas de caja y deuda bruta van a cero y a deuda neta porque solo se ha podido leer la deuda neta publicada.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2024-2025: FCF </w:t>
      </w:r>
      <w:r>
        <w:rPr>
          <w:b/>
          <w:bCs/>
        </w:rPr>
        <w:t xml:space="preserve">4.336</w:t>
      </w:r>
      <w:r>
        <w:t xml:space="preserve">, conversión </w:t>
      </w:r>
      <w:r>
        <w:rPr>
          <w:b/>
          <w:bCs/>
        </w:rPr>
        <w:t xml:space="preserve">108 %</w:t>
      </w:r>
      <w:r>
        <w:t xml:space="preserve"> del beneficio neto; adquisiciones 270, dividendos 1.181, recompras 1.500.</w:t>
      </w:r>
    </w:p>
    <w:p>
      <w:pPr>
        <w:spacing w:after="100"/>
      </w:pPr>
      <w:r>
        <w:t xml:space="preserve">El flujo operativo de la tabla es la caja generada por las operaciones (3.735 M en 2025; 3.521 M en 2024) menos impuestos pagados (638 M; 662 M) e intereses pagados (261 M; 251 M) [8]. La caja libre antes de dividendos de la empresa fue 2.313 M en 2025 y 2.126 M en 2024 [8]; la conversión de caja ajustada, 99 % y 97 % [1]. El capex (525 M en 2025, 5,5 % de las ventas) es sobre todo desarrollo de producto y plataformas capitalizado; además hay 102 M de costes de prepublicación que van al circulante [8]. La empresa no separa mantenimiento y crecimiento; como estimación propia, casi todo el capex es de reposición de plataformas, porque el capex y la amortización de activos propios (504 M) son parecidos. En 2025 la caja libre pagó dividendos (1.181 M), compras (270 M) y parte de la recompra (1.500 M), y el resto se financió con deuda [1, 8]. Solo se han podido cuadrar dos ejercicios de flujos.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conocidas)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Las cuentas de RELX son sencillas: ingresos por suscripción y transacción reconocidos a lo largo del contrato, poco circulante y ninguna participada relevante. La diferencia entre beneficio ajustado y publicado es estable (16-20 peniques por acción) y se explica casi entera por la amortización de intangibles comprados, que baja cada año [1, 3, 4]. La conversión de caja del 97-100 % [1, 2] confirma que el beneficio ajustado es caja. Capitaliza desarrollo de producto (capex del 5,5 % de las ventas) y costes de prepublicación [8]: es la partida que más juicio contable lleva, pero el capex y la amortización de activos propios van parejos. Los indicadores del motor (Altman, Piotroski, Beneish) quedan sin calcular o incompletos porque no se ha podido leer el balance detallado en este entorno; no se interpretan.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Ninguna relevante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Revisados: diferencia ajustado-publicado, conversión de caja y capex capitalizado frente a amortización [1, 8]. Sin balance detallado no se han revisado clientes ni ingresos diferidos.</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84,5 % · </w:t>
      </w:r>
      <w:r>
        <w:rPr>
          <w:b/>
          <w:bCs/>
        </w:rPr>
        <w:t xml:space="preserve">WACC</w:t>
      </w:r>
      <w:r>
        <w:t xml:space="preserve">: 8,8 %.</w:t>
      </w:r>
    </w:p>
    <w:p>
      <w:pPr>
        <w:spacing w:after="100"/>
      </w:pPr>
      <w:r>
        <w:t xml:space="preserve">RELX crea valor con holgura: su ROIC ajustado, con todo el fondo de comercio de las compras, fue 15,4 % en 2025 y 14,8 % en 2024 [9], frente a un WACC del 8,8 %, unos 6,6 puntos por encima. Los ROIC del motor (25-33 %) salen altos porque el capital invertido solo recoge la deuda neta (sin patrimonio en la mayoría de años) y no se usan. El ROIC sube porque el beneficio operativo ajustado crece un 9 % al año con un capex estable del 5,5 % de las ventas y compras pequeñas [1, 8]: el crecimiento casi no consume capital. El margen es lo que lo mueve, no la rotación. Frente a los pares, el ROIC de RELX está por encima de Thomson Reuters (12 %) y de LSEG (6,5 %), y por debajo de Verisk (32 %) y Wolters Kluwer (25 %), que tienen menos fondo de comercio [20].</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9.193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neta de 8.733 M GBP a 30-jun-26 (7.443 M un año antes), 2,3 veces el EBITDA [2]. Desglose de caja y líneas no accesible en este entorno.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La deuda neta de la empresa incluye los arrendamientos [5]. El balance de RELX tiene circulante negativo: cobra por adelantado las suscripciones (ingresos diferidos), lo que financia parte del negocio; no se ha podido leer el importe de la nota. Pensiones: sin cifra accesible del déficit o superávit; en el puente se dejan a cero y se registra como hueco.</w:t>
      </w:r>
    </w:p>
    <w:p>
      <w:pPr>
        <w:pStyle w:val="Heading1"/>
      </w:pPr>
      <w:r>
        <w:t xml:space="preserve">12. Asignación de capital</w:t>
      </w:r>
    </w:p>
    <w:p>
      <w:pPr>
        <w:pStyle w:val="Confianza"/>
        <w:spacing w:after="100"/>
      </w:pPr>
      <w:r>
        <w:t xml:space="preserve">Confianza: Media</w:t>
      </w:r>
    </w:p>
    <w:p>
      <w:pPr>
        <w:spacing w:after="100"/>
      </w:pPr>
      <w:r>
        <w:t xml:space="preserve">Dividendo progresivo, ligado al crecimiento del BPA ajustado: 67,5 peniques por 2025 (+7 %) y 20,9 peniques a cuenta de 2026 (+7 %) [1, 2]. Recompra anual: 1.500 M GBP en 2025 y 2.250 M anunciados para 2026, de los que 1.750 M estaban hechos a 30 de junio [1, 2]. Compras pequeñas de datos y herramientas: cinco en 2025 por 270 M [1]. La empresa mantiene la deuda neta en torno a 2-2,5 veces el EBITDA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compras pequeñas (datos y analítica)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deterioros conocidos; entran en el crecimiento publicado, no en el subyacente [1].</w:t>
            </w:r>
          </w:p>
        </w:tc>
      </w:tr>
    </w:tbl>
    <w:p>
      <w:pPr>
        <w:spacing w:after="160" w:before="0"/>
      </w:pPr>
    </w:p>
    <w:p>
      <w:pPr>
        <w:spacing w:after="100"/>
      </w:pPr>
      <w:r>
        <w:t xml:space="preserve">RELX es un caso de libro de devolución de caja: con un ROIC ajustado del 15,4 % (14,8 % en 2024) [9] y una conversión de caja cercana al 100 % [1], destina cada año unos 1.200 M a dividendos y 1.000-2.250 M a recompras, y solo unos cientos de millones a compras. El número de acciones diluidas ha bajado de unos 1.928 M en 2021 a 1.834 M en 2025 (estimación propia: beneficio neto entre BPA publicado) [1, 5] y las acciones en circulación eran 1.655 M en octubre de 2026 (aviso de recompra del 12-oct). La recompra de 2026, hecha a 2.500-3.200 peniques, compra más acciones por libra que la de 2024-2025, cuando la acción cotizaba a 3.500-4.000 peniques. La parte criticable: la deuda neta sube a 2,3 veces el EBITDA para mantener la recompra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Erik Engstrom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2009, antes al frente de Elsevier. Ha llevado el grupo de la edición a la analítica: el crecimiento subyacente pasó a un 7 % estable y el margen operativo ajustado al 34,8 % en 2025 [1]. Reelegido con el 99,28 % de los votos en 2026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Nick Luff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2014. Responsable de la política de devolver la caja con recompras y de mantener la deuda en 2-2,5 veces el EBITDA [1, 2]. Reelegido con el 98,97 % en 2026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Paul Walker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 reelegido con el 94,87 %, el apoyo más bajo de la cúpula en la junta de 2026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crecimiento subyacente de ingresos y de beneficio operativo ajustado; fuerte crecimiento del BPA ajustado a tipo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+7 %, beneficio +9 %, BPA ajustado +10 % a tipo constante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Misma fórmula cualitativa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subyacentes +7 %; BPA ajustado 120,1 peniques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Misma fórmula cualitativa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ajustado subyacente +13 %; BPA ajustado +11 % a tipo constante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Misma fórmula cualitativa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+10 % a tipo constante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(1S)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Misma fórmula; beneficio por encima de ingresos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+7 %, beneficio +9 %, BPA ajustado +11 % a tipo constante en el semestre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muy estable: el consejero delegado lleva 17 años y el director financiero 12. La guía es cualitativa y la cumple todos los años, así que su valor informativo es limitado, pero no hay sorpresas negativas desde 2020 [1, 2, 3, 4]. El riesgo es la sucesión de Engstrom, que no se ha anunciado; un cambio de consejero delegado en plena discusión sobre la IA añadiría incertidumbre. No se han podido leer las participaciones de los directivos en este entorno.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7"/>
        <w:gridCol w:w="1900"/>
        <w:gridCol w:w="1493"/>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Walker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Erik Engstrom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Nick Luff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conocidas)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 abril de 2026 aprobó el informe de remuneraciones con el 95,30 % (4,70 % en contra) y la política con el 93,50 % (6,50 % en contra) [21]; en 2025 el informe tuvo el 95,68 % [22]. Son apoyos amplios para un FTSE 100. No se han podido leer las cifras de remuneración ni las métricas del plan a largo plazo en este entorno; según la práctica del grupo, el plan a largo plazo combina crecimiento del BPA ajustado, ROIC y rentabilidad total para el accionista (por confirmar en el informe anual).</w:t>
      </w:r>
    </w:p>
    <w:p>
      <w:pPr>
        <w:pStyle w:val="Heading2"/>
      </w:pPr>
      <w:r>
        <w:t xml:space="preserve">Operaciones vinculadas, estructura de control y defensas</w:t>
      </w:r>
    </w:p>
    <w:p>
      <w:pPr>
        <w:spacing w:after="100"/>
      </w:pPr>
      <w:r>
        <w:t xml:space="preserve">Sin accionista de control: capital disperso entre inversores institucionales. Una sola clase de acciones, una acción un voto, sin blindajes estatutarios. Presidente y consejero delegado separados. Cotiza en Londres, Ámsterdam y Nueva York (ADR) [1]. No se han encontrado operaciones vinculadas relevantes.</w:t>
      </w:r>
    </w:p>
    <w:p>
      <w:pPr>
        <w:pStyle w:val="Heading2"/>
      </w:pPr>
      <w:r>
        <w:t xml:space="preserve">Señales de alerta</w:t>
      </w:r>
    </w:p>
    <w:p>
      <w:pPr>
        <w:pStyle w:val="ListParagraph"/>
        <w:numPr>
          <w:ilvl w:val="0"/>
          <w:numId w:val="2"/>
        </w:numPr>
        <w:spacing w:after="60"/>
      </w:pPr>
      <w:r>
        <w:t xml:space="preserve">Ninguna relevante detectada en las votaciones de la junta y en los comunicados revisados; no se ha podido revisar el registro de operaciones de directivos en este entorno.</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La guía de 2026, reafirmada el 23 de julio con los resultados del primer semestre, es «otro año de fuerte crecimiento subyacente de ingresos y de beneficio operativo ajustado, y fuerte crecimiento del BPA ajustado a tipo de cambio constante» [2]; la dirección añadió que el beneficio crecerá por encima de los ingresos [15]. Es la misma fórmula cualitativa que usa desde hace años: no da cifras. Lo logrado sirve de referencia: crecimiento subyacente de ingresos del 7 % y de beneficio del 9 % en 2025 y en el 1S26, y BPA ajustado +10-11 % a tipo constante [1, 2]. No hay plan a medio plazo con objetivos numéricos.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StockAlarm, media de analistas (cifras en GBP aunque la página las rotula en USD)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StockAlarm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StockAlarm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1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21,00 – 50,70</w:t>
            </w:r>
          </w:p>
        </w:tc>
      </w:tr>
    </w:tbl>
    <w:p>
      <w:pPr>
        <w:spacing w:after="160" w:before="0"/>
      </w:pPr>
    </w:p>
    <w:p>
      <w:pPr>
        <w:pStyle w:val="Heading2"/>
      </w:pPr>
      <w:r>
        <w:t xml:space="preserve">Revisiones de estimaciones</w:t>
      </w:r>
    </w:p>
    <w:p>
      <w:pPr>
        <w:spacing w:after="100"/>
      </w:pPr>
      <w:r>
        <w:t xml:space="preserve">Solo una fuente gratuita da estimaciones a tres años [23], y la rotula en dólares aunque las cifras cuadran con libras (ventas de unos 10.000 M y BPA de 1,40 frente a 1,285 de 2025): se usa con confianza baja. El precio objetivo y las recomendaciones salen de Investing (16 analistas, 14 comprar, objetivo medio 3.407 peniques, rango 2.100-5.070) [24]. Simply Wall St recoge un recorte del valor razonable medio de los analistas de 35,83 a 33,91 GBP por tasas de descuento algo mayores, con las estimaciones de beneficio al alza [25]. Morningstar mantiene un valor razonable de 4.200 peniques [26]. Tendencia de 3 meses: objetivos ligeramente a la baja, beneficios estables o al alza.</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3" name="Gráfico 13"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60" w:before="0"/>
      </w:pPr>
    </w:p>
    <w:p>
      <w:pPr>
        <w:spacing w:after="100"/>
      </w:pPr>
      <w:r>
        <w:t xml:space="preserve">La acción llegó a casi 4.200 peniques en la primavera de 2025 y cayó un 43 % hasta menos de 2.400 en febrero de 2026 [17], con un mínimo del año de 1.991 peniques [27]; un día cayó un 12 % cuando Anthropic lanzó una herramienta agéntica para departamentos jurídicos [28]. Los resultados no lo justificaban: el crecimiento subyacente se mantuvo en el 7 % [1, 2]. Tras los resultados del primer semestre rebotó [29] y la recompra se ha pagado a entre 2.542 y 2.701 peniques en la semana del 5 al 9 de octubre [30]. Las rentabilidades anuales son estimación propia con los cierres de diciembre del ADR convertidos a libras. No hay índice ni beta: no se han podido leer históricos diarios en este entorno.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t xml:space="preserve">Los cierres de cada año son estimación propia: cierre de diciembre del ADR (una acción ordinaria por ADR) [31, 32] dividido por el cambio libra-dólar de fin de año (2024 y 2025 cuadran con los 3.628 peniques de cierre de 2024 y con la caída del 29 % en el año hasta 2.145 peniques en febrero de 2026 [33]). Sobre el BPA ajustado, el PER de cierre fue 22,5 veces en 2020, 27,5 en 2021, 22,4 en 2022, 27,3 en 2023, 30,2 en 2024 y 23,4 en 2025; hoy es unas 20 veces el BPA ajustado de los últimos 12 meses (133,6 peniques). La compresión de 30 a 20 veces no viene de las cifras, que crecen al 10 %, sino de la prima de riesgo que el mercado pone a la IA.</w:t>
      </w:r>
    </w:p>
    <w:p>
      <w:pPr>
        <w:pStyle w:val="Heading1"/>
      </w:pPr>
      <w:r>
        <w:t xml:space="preserve">18. Comparables cotizados</w:t>
      </w:r>
    </w:p>
    <w:p>
      <w:pPr>
        <w:pStyle w:val="Confianza"/>
        <w:spacing w:after="100"/>
      </w:pPr>
      <w:r>
        <w:t xml:space="preserve">Confianza: Media</w:t>
      </w:r>
    </w:p>
    <w:p>
      <w:pPr>
        <w:spacing w:after="100"/>
      </w:pPr>
      <w:r>
        <w:t xml:space="preserve">Información profesional y datos por suscripción con márgenes altos e ingresos recurrentes. Wolters Kluwer es el comparable directo (Legal y Health frente a LexisNexis y Elsevier); Thomson Reuters, LSEG, Verisk y Experian venden datos y analítica a profesionales y aseguradoras, como Risk. Intuit, Veeva y Gartner encajan peor (pymes, ciencias de la vida, investigación con ventas a la baja) y se mantienen como referencia. Cifras del informe de Wolters Kluwer del 8-oct-2026 (múltiplos sin cambio; capitalizaciones pasadas de EUR a GBP a 0,857, estimación con los cruces del 2-sep) [20,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Wolters Kluwer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LSEG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Gartner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11,3x / 15,1x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 / 19,6x / 23,6x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 / 4,8x / 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6" name="Gráfico 16"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Con un PER de 17,8 veces los próximos 12 meses, RELX cotiza por debajo de la mediana del grupo (19,6 veces) y muy por debajo de Thomson Reuters (23,3), LSEG (24,5) y Verisk (21,8), con un crecimiento parecido (6-8 %) y el mismo modelo de suscripción [20]. Solo Wolters Kluwer (12,9), Gartner (13,1) e Intuit (14,6) están más baratas, y las dos primeras han sufrido lo mismo con la IA. En EV/EBITDA de los últimos 12 meses (14,0 veces) está en la parte alta por su deuda de 2,3 veces el EBITDA. El descuento frente a Thomson Reuters, su rival directo en Legal, no lo explican ni el crecimiento ni el ROIC: es la prima de riesgo de la IA en Elsevier y LexisNexis. El múltiplo de referencia es el PER de los próximos 12 meses del núcleo de información profesional.</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información y analítica de alto margen con tipos cero. Múltiplos del informe de Wolters Kluwer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comerciales con crecimiento orgánico del 3 %, comprados por capital privado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Excluida: múltiplos sobre ventas previstas y crecimiento del 15 %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Anaplan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Excluida: software con pérdidas y crecimiento del 32 %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Brightflag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gasto jurídico con IA; sin múltiplos publicados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Registered Agent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múltiplos publicados [20].</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Solo dos operaciones del sector tienen múltiplo publicado y utilizable: IHS Markit a 24 veces el EBITDA en 2020, con tipos cero, y Dun &amp; Bradstreet a 8,3 veces en 2025, un negocio de datos que crece al 3 % [20]. RELX, con unos 53.000 M GBP de valor empresa, no es un objetivo realista: no tiene accionista de control y su tamaño deja fuera a casi cualquier comprador. Las transacciones no se usan en la síntesis de valor.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crecimiento subyacente ha sido del 7 % en 2021, 2024, 2025 y el 1S26 [1, 2, 5]. Para 2026e se fija un 4,0 % publicado (7 % subyacente menos unos 3 puntos de divisa por el dólar débil, como en el 1S26 [2]; consenso: ventas de 10.010 M, +4,4 % [23]). Desde 2027e se proyecta un 6,5 %, medio punto por debajo del subyacente histórico, que baja hasta el 3,5 % en 2032e para recoger el riesgo de la IA a largo plazo. No se proyectan compras (270 M en 2025 [1]), que han añadido crecimiento publicado cada año.</w:t>
      </w:r>
    </w:p>
    <w:p>
      <w:pPr>
        <w:keepNext/>
        <w:spacing w:after="100"/>
      </w:pPr>
      <w:r>
        <w:rPr>
          <w:b/>
          <w:bCs/>
        </w:rPr>
        <w:t xml:space="preserve">Márgenes.</w:t>
      </w:r>
    </w:p>
    <w:p>
      <w:pPr>
        <w:spacing w:after="100"/>
      </w:pPr>
      <w:r>
        <w:t xml:space="preserve">El margen EBITDA publicado fue del 39,4 % en 2025 (EBITDA ajustado de la empresa: 40,1 %) [1]. El margen operativo ajustado sube unos 90 puntos básicos al año desde 2022 (31,4 % a 34,8 %) [1, 4] porque el beneficio crece 2 puntos más que los ingresos. Se proyecta una subida de 0,5 puntos al año hasta el 41,5 % en 2030e, la mitad del ritmo histórico, y luego estable.</w:t>
      </w:r>
    </w:p>
    <w:p>
      <w:pPr>
        <w:keepNext/>
        <w:spacing w:after="100"/>
      </w:pPr>
      <w:r>
        <w:rPr>
          <w:b/>
          <w:bCs/>
        </w:rPr>
        <w:t xml:space="preserve">Inversión y circulante.</w:t>
      </w:r>
    </w:p>
    <w:p>
      <w:pPr>
        <w:spacing w:after="100"/>
      </w:pPr>
      <w:r>
        <w:t xml:space="preserve">El capex fue del 5,5 % de las ventas en 2025 (525 M) y el principal de arrendamientos 38 M [8]; se proyecta un 5,9 % hasta 2030e y algo menos al final, siempre por encima de la amortización de activos propios (5,3 %). El circulante se deja en cero: RELX cobra por adelantado, pero no se ha podido leer el saldo del balance y se prefiere no contar una entrada de caja que no está comprobada.</w:t>
      </w:r>
    </w:p>
    <w:p>
      <w:pPr>
        <w:keepNext/>
        <w:spacing w:after="100"/>
      </w:pPr>
      <w:r>
        <w:rPr>
          <w:b/>
          <w:bCs/>
        </w:rPr>
        <w:t xml:space="preserve">Coste del capital.</w:t>
      </w:r>
    </w:p>
    <w:p>
      <w:pPr>
        <w:spacing w:after="100"/>
      </w:pPr>
      <w:r>
        <w:t xml:space="preserve">Tasa libre: gilt británico a 10 años, 5,15 % (curva del Banco de Inglaterra del 19-ago-26 [39]; llegó al 5,29 % el 2-sep [34]). Beta de 0,85 (estimación propia: negocio defensivo, pero con la volatilidad de 2026 por la IA; no se ha podido calcular con históricos). Prima de mercado del 5,5 %. Coste de la deuda antes de impuestos del 4,5 % (intereses de 286 M sobre una deuda neta media de unos 6.900 M en 2025 [1]). Peso de la deuda del 16 % (8.733 M frente a 44.715 M de capitalización). WACC del 8,8 %. La tasa libre británica, alta por la situación fiscal, pesa mucho: dos tercios de los flujos son en dólares.</w:t>
      </w:r>
    </w:p>
    <w:p>
      <w:pPr>
        <w:keepNext/>
        <w:spacing w:after="100"/>
      </w:pPr>
      <w:r>
        <w:rPr>
          <w:b/>
          <w:bCs/>
        </w:rPr>
        <w:t xml:space="preserve">Valor terminal.</w:t>
      </w:r>
    </w:p>
    <w:p>
      <w:pPr>
        <w:spacing w:after="100"/>
      </w:pPr>
      <w:r>
        <w:t xml:space="preserve">Gordon con un 2,5 % de crecimiento, entre la inflación esperada en libras (en torno al 2,5-3 %) y la tasa libre menos medio punto. El valor terminal pesa el 70 %. Un múltiplo de salida de 14 veces el EBITDA (cercano al EV/EBITDA actual) se da como contraste.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 M (2 % del NOPAT)</w:t>
            </w:r>
          </w:p>
        </w:tc>
      </w:tr>
    </w:tbl>
    <w:p>
      <w:pPr>
        <w:spacing w:after="160" w:before="0"/>
      </w:pPr>
    </w:p>
    <w:p>
      <w:pPr>
        <w:spacing w:after="100"/>
      </w:pPr>
      <w:r>
        <w:t xml:space="preserve">La proyección apenas necesita inversión neta de la amortización (reinversión acumulada de 444 M, el 2 % del NOPAT, con un capex bruto medio del 5,8 % de las ventas). En un negocio de activos ligeros, el crecimiento medio del 5,2 %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Subyacente del 7 % (precio unos 3,5 puntos, volumen 3,5) y unos −3 puntos de divisa por el dólar débil, como en el 1S26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en línea con la historia de Legal y Risk; volumen por analítica y productos con IA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sin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algo menor por madurez de Legal y STM.</w:t>
            </w:r>
          </w:p>
        </w:tc>
      </w:tr>
    </w:tbl>
    <w:p>
      <w:pPr>
        <w:spacing w:after="160" w:before="0"/>
      </w:pPr>
    </w:p>
    <w:p>
      <w:pPr>
        <w:spacing w:after="100"/>
      </w:pPr>
      <w:r>
        <w:t xml:space="preserve">Sí. RELX apenas necesita capital para crecer: la reinversión neta de la proyección es el 2 % del NOPAT y el motor no puede aplicar la prueba de crecimiento financiable. La prueba es el poder de precios: el crecimiento subyacente ha sido del 7 % en 2021 y de 2024 al 1S26 con un capex estable del 5,5 % de las ventas [1, 2, 5], y Legal y STM aceleran en 2026 con productos con IA que se cobran más caros [12]. El caso base (6,5 % en 2027-2028e bajando al 3,5 %) queda por debajo de lo logrado y sin compras. La cuota no se puede medir (sin tamaño de mercado comparable), por eso no se fija un mercado final.</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 (base: 5,4 %)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43,5 % (base: 41,5 %)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8,8 %)</w:t>
            </w:r>
          </w:p>
        </w:tc>
      </w:tr>
    </w:tbl>
    <w:p>
      <w:pPr>
        <w:spacing w:after="160" w:before="0"/>
      </w:pPr>
    </w:p>
    <w:p>
      <w:pPr>
        <w:spacing w:after="100"/>
      </w:pPr>
      <w:r>
        <w:t xml:space="preserve">El DCF da 25,28 GBP por acción, un 6,4 % por debajo del precio de 27,01, con un valor terminal que pesa el 70 %. El DCF inverso dice que, con nuestro WACC del 8,8 %, el precio descuenta un crecimiento del 6,5 % anual en 2027-2032e frente al 5,4 % de nuestro base, o un margen EBITDA del 43,5 % frente a nuestro 41,5 %; la rentabilidad implícita en el precio es del 8,5 %, algo menos que el WACC. Es decir: el mercado no descuenta el hundimiento por la IA que sugiere la caída de la acción, sino que RELX siga creciendo casi como hasta ahora (7 % subyacente). Es exigente frente a nuestro base, que ya resta medio punto al histórico y baja al 3,5 % en 2032e, pero conservador frente a la historia de 2021-2026. Con la prima implícita del mercado (4,2 %), el DCF sube a 30,63 GBP: la conclusión depende de la tasa libre británica del 5,15 %, alta para un negocio que cobra dos tercios en dólares.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generalista empieza a sustituir a Lexis en despachos medianos y las universidades negocian a la baja con Elsevier: el crecimiento cae 3 puntos (al 3-3,5 %) y el margen se queda 3 puntos por debajo por el gasto en IA, como le pasó a Gartner, cuyas ventas caen en 2026 [20].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RELX mantiene un crecimiento subyacente del 6,5-7 % hasta 2029 y el margen sube medio punto al año; la IA se vende como mejora del producto.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propia acelera Legal y STM como en el 1S26 (10 % y 6 % [12]) y el grupo crece un 8 %, con un margen 1 punto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GBP) · precio actual 27,0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23,30 GBP (-13,7 %).</w:t>
      </w:r>
    </w:p>
    <w:p>
      <w:pPr>
        <w:spacing w:after="100"/>
      </w:pPr>
      <w:r>
        <w:t xml:space="preserve">La asimetría del valor intrínseco es desfavorable: el alcista gana un 13,9 % (30,76 GBP) y el bajista pierde un 44,4 % (15,01 GBP), una relación de 0,31 veces. El bajista pesa un 30 % porque la sustitución por la IA es el riesgo que el mercado discute y porque ya le ha pasado a un par (Gartner). El valor ponderado es 25,58 GBP, un 5,3 % por debajo del precio. Con la regla a 12 meses, la asimetría es mejor (2,45 veces) porque el múltiplo de partida ya es bajo: 17,5 veces frente a 22-30 veces de 2021-2025.</w:t>
      </w:r>
    </w:p>
    <w:p>
      <w:pPr>
        <w:pStyle w:val="Heading1"/>
      </w:pPr>
      <w:r>
        <w:t xml:space="preserve">22. Suma de partes</w:t>
      </w:r>
    </w:p>
    <w:p>
      <w:pPr>
        <w:pStyle w:val="Confianza"/>
        <w:spacing w:after="100"/>
      </w:pPr>
      <w:r>
        <w:t xml:space="preserve">Confianza: Media</w:t>
      </w:r>
    </w:p>
    <w:p>
      <w:pPr>
        <w:spacing w:after="100"/>
      </w:pPr>
      <w:r>
        <w:t xml:space="preserve">No se aplica: no se han podido leer los ingresos ni el beneficio de cada división, y las cuatro comparten modelo de suscripción salvo Exhibitions (menos de una sexta parte de los ingresos).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GBP) · precio actual 27,0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25,58 GBP (-5,3 % sobre 27,01).</w:t>
      </w:r>
    </w:p>
    <w:p>
      <w:pPr>
        <w:spacing w:after="100"/>
      </w:pPr>
      <w:r>
        <w:t xml:space="preserve">El DCF pesa el 50 % porque RELX es un negocio estable y previsible, con caja casi igual al beneficio; los escenarios el 30 % para recoger el riesgo de la IA, y los comparables el 20 %, porque todo el grupo de información profesional está afectado por la misma prima de riesgo y su PER medio da un valor de 29,75 GBP, muy por encima del DCF. Las transacciones no pesan: solo dos tienen múltiplo y RELX no es un objetivo realista. La dispersión entre métodos es grande (15-36 GBP) y se explica por la tasa de descuento: con la prima implícita del mercado el valor objetivo sería 29,72 GBP (+10 %). El valor objetivo ponderado es 25,58 GBP.</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+53,6 %</w:t>
            </w:r>
          </w:p>
        </w:tc>
      </w:tr>
    </w:tbl>
    <w:p>
      <w:pPr>
        <w:spacing w:after="160" w:before="0"/>
      </w:pPr>
    </w:p>
    <w:p>
      <w:pPr>
        <w:spacing w:after="100"/>
      </w:pPr>
      <w:r>
        <w:rPr>
          <w:b/>
          <w:bCs/>
        </w:rPr>
        <w:t xml:space="preserve">Objetivo a 12 meses (ponderado):</w:t>
      </w:r>
      <w:r>
        <w:t xml:space="preserve"> 29,30 GBP · rentabilidad +11,1 % (base +11,6 %) · señal Mantener.</w:t>
      </w:r>
    </w:p>
    <w:p>
      <w:pPr>
        <w:keepNext/>
        <w:spacing w:after="100"/>
      </w:pPr>
      <w:r>
        <w:rPr>
          <w:b/>
          <w:bCs/>
        </w:rPr>
        <w:t xml:space="preserve">Frente al consenso (solo contraste).</w:t>
      </w:r>
    </w:p>
    <w:p>
      <w:pPr>
        <w:spacing w:after="100"/>
      </w:pPr>
      <w:r>
        <w:t xml:space="preserve">Nuestro BPA de 2028e (1,683) queda un 2,7 % por debajo del consenso (1,73 [23]): proyectamos ventas parecidas y no contamos recompras no anunciadas, que el consenso sí suele incluir. La diferencia grande está en el precio: nuestro base de 2028e queda unos 4,6 GBP por debajo del objetivo medio de 34,07 [24] porque la regla común usa el PER actual (17,5 veces), mientras que los analistas suponen una vuelta parcial al PER de 22-27 veces de 2021-2025. No acercamos la cifra: esa vuelta es la apuesta, no el punto de partida.</w:t>
      </w:r>
    </w:p>
    <w:p>
      <w:pPr>
        <w:keepNext/>
        <w:spacing w:after="100"/>
      </w:pPr>
      <w:r>
        <w:rPr>
          <w:b/>
          <w:bCs/>
        </w:rPr>
        <w:t xml:space="preserve">Del valor intrínseco al objetivo a 12 meses.</w:t>
      </w:r>
    </w:p>
    <w:p>
      <w:pPr>
        <w:spacing w:after="100"/>
      </w:pPr>
      <w:r>
        <w:t xml:space="preserve">El objetivo ponderado a 12 meses (29,30 GBP, +11,1 % con el dividendo) queda un 15 % por encima del valor intrínseco (25,58 GBP): el PER de 17,5 veces aplicado al BPA de 2028e da más que nuestro DCF, que usa un WACC del 8,8 % con el gilt al 5,15 %. Para cerrar la distancia hacia arriba haría falta que bajara la tasa libre británica o que el mercado volviera a pagar 22 veces; hacia abajo, que el crecimiento de Legal y STM se frenara. La señal es Mantener: la ponderada no llega al 15 % ni el base al 12 %.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octubre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negocio de los nueve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del crecimiento subyacente del 7 % y de la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nueva recompra anual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1.500-2.250 M y guía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Lanzamientos de IA de OpenAI, Anthropic o Thomson Reuters para juristas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anuncio ha llegado a restar un 12 % en un día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primer semestre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si Legal mantiene el 10 % y STM el 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Votación de la remuneración; posible señal de sucesión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LexisNexis Legal por asistentes de IA generalistas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−40 % (escenario bajista: −44 % sobre el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propietario, integración en el flujo de trabajo y venta de la IA propia con precio superior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subyacente de Legal por debajo del 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 Elsevier por acceso abierto y por modelos que resumen la ciencia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STM ya crece un 6 % con analítica y herramientas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STM por debajo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adicional del múltiplo aunque las cifras aguanten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(PER de 15 veces en vez de 17,5)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del 4-5 % del capital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por debajo de 16 veces sin cambio en las cifras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datos personales en Risk (EE. UU. y 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 fraude, identidad y seguros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Leyes estatales que limiten los datos de seguros de autos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dos tercios de los ingresos en USD frente a una cotización en GBP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5 % de caída del dólar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también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publicado muy por debajo del subyacente (1S26: 2,7 % frente a 7 %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de 2,3 veces el EBITDA para mantener la recompra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de 2.300 M al año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2,5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consejero delegado tras 17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de dirección estable por división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salida sin sucesor interno</w:t>
            </w:r>
          </w:p>
        </w:tc>
      </w:tr>
    </w:tbl>
    <w:p>
      <w:pPr>
        <w:spacing w:after="160" w:before="0"/>
      </w:pPr>
    </w:p>
    <w:p>
      <w:pPr>
        <w:pStyle w:val="Heading2"/>
      </w:pPr>
      <w:r>
        <w:t xml:space="preserve">Pre-mortem</w:t>
      </w:r>
    </w:p>
    <w:p>
      <w:pPr>
        <w:spacing w:after="100"/>
      </w:pPr>
      <w:r>
        <w:t xml:space="preserve">Es octubre de 2029 y la acción vale 16 GBP. Lo que pasó: en 2027 un asistente jurídico de un gran laboratorio de IA, con licencias de jurisprudencia de editoriales públicas y de un rival, se hizo estándar en los despachos medianos. LexisNexis no perdió clientes grandes, pero las renovaciones se negociaron a la baja y Legal bajó del 10 % al 3 %. Al mismo tiempo, las universidades usaron los modelos para negociar con Elsevier y STM se quedó en el 2-3 %. El crecimiento del grupo bajó al 4 % y el margen dejó de subir porque la empresa tuvo que gastar más en IA. El mercado, que ya pagaba solo 17 veces, bajó a 13 veces un beneficio que crecía al 4 %. La recompra, financiada con deuda, amplificó la pérdida. La señal temprana habría sido el crecimiento subyacente de Legal en los semestres de 2027 y el discurso de la dirección cambiando de «precio superior por la IA» a «inversión para defender la base».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Para RELX los asuntos materiales son la privacidad y el uso ético de datos personales en Risk (la base del negocio y de su riesgo regulatorio), la integridad científica en Elsevier (retractaciones, revistas de pago por publicación) y el acceso a la información (precios de las revistas a universidades). Las emisiones son bajas: es un negocio de oficinas y centros de datos. No se han podido leer las calificaciones de MSCI o Sustainalytics en este entorno.</w:t>
      </w:r>
    </w:p>
    <w:p>
      <w:pPr>
        <w:pStyle w:val="Heading2"/>
      </w:pPr>
      <w:r>
        <w:t xml:space="preserve">Controversias</w:t>
      </w:r>
    </w:p>
    <w:p>
      <w:pPr>
        <w:spacing w:after="100"/>
      </w:pPr>
      <w:r>
        <w:t xml:space="preserve">No se han encontrado sanciones relevantes en los últimos tres años en las búsquedas hechas; la controversia recurrente es la de los precios de las suscripciones científicas con consorcios universitarios.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en Legal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del 10 % de Legal procede de precio por los productos con IA y qué parte de clientes nuevos?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es solo precio sobre una base estancada, la aceleración es temporal.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tasa de renovación de Lexis+ AI y de las bases de Elsevier en 2025-2026 frente a 2023?</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indicador adelantado de sustitución que la empresa no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a modelos de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RELX su contenido a laboratorios de IA y con qué cláusulas de exclusividad?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ser ingreso nuevo o la semilla del sustituto.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y 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qué nivel de deuda neta sobre EBITDA mantendrá la recompra si la acción sigue barata?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2,3 veces, la recompra de 2027 depende de esta decisión.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plan de sucesión de Erik Engstrom y un candidato interno?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cambio en plena discusión sobre la IA añadiría prima de riesgo.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cobertura hay del dólar y qué efecto prevé la empresa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1S26 creció un 2,7 % publicado frente a un 7 % subyacente.</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(columna Stockwatch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del 43 % desde casi 4.200 peniques, el columnista llama exagerada la amenaza de la IA pero solo recomienda «mantener»: cree justificada la bajada del PER y de la rentabilidad por dividendo [17].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Twelfth Magpie (antes Motley Fool UK)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caer un 38 % en 12 meses, el autor cree que el mercado lee mal el efecto de la IA sobre un negocio de datos propios; en febrero ya veía buena relación riesgo-rentabilidad [35,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Extracting Alpha (Substack)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que RELX está mal clasificada como editorial; advierte que la caída puede seguir aunque las cifras aguanten y que el acceso abierto pesa en Elsevier [18].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que algunos analistas ven ambiciosa la expectativa de aceleración por la IA y bajan su valor razonable por tasas de descuento más altas [25].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Medium (inversor particular)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Argumenta que LexisNexis sube precios en los paquetes con IA; opinión sin apenas fuentes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Weiss Ratings y prensa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 el rebote del 5 % tras el semestre como reacción tardía a unos resultados fuertes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sustituye a LexisNexis y Elsevier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no lo muestran todavía: Legal acelera del 9 % al 10 % y STM del 5 % al 6 % en el 1S26 (sección de resultados recientes). Es un riesgo a varios años, no a 12 meses.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caída ha ido demasiado lejos (PER de 20 frente a 27-30)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múltiplo: el PER ajustado de cierre fue de 22-30 veces en 2021-2025 (sección de múltiplos); hoy ronda 20 veces con un BPA que crece un 10 %.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a precios bajos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de 2.250 M de 2026 se paga a 2.500-2.700 peniques; sube la deuda neta a 2,3 veces el EBITDA (sección de balance).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Acceso abierto y presión sobre Elsevier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STM es la división que menos crece (5-6 %), pero no cae.</w:t>
            </w:r>
          </w:p>
        </w:tc>
      </w:tr>
    </w:tbl>
    <w:p>
      <w:pPr>
        <w:spacing w:after="160" w:before="0"/>
      </w:pPr>
    </w:p>
    <w:p>
      <w:pPr>
        <w:spacing w:after="100"/>
      </w:pPr>
      <w:r>
        <w:t xml:space="preserve">El sentimiento de los particulares y de la prensa británica ha pasado de la capitulación de febrero (caída del 43 %, «mantener» como mejor opción) a un tono más dividido y algo más positivo tras los resultados de julio. No hay euforia: el debate sigue siendo si la IA es una amenaza existencial, y nadie aporta datos de pérdida de clientes. Va en línea con la tesis de valor del informe y es menos optimista que el consenso de analistas (14 de 16 recomiendan comprar). No anticipa riesgos que el informe no recoja; confirma que el catalizador es la evidencia trimestral de que Legal y STM siguen acelerando.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16 controles correctos. Fuentes: 40 (13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-13,6 %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7, 10,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(importes)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RNS de resultados 2025 con ingresos por división; 2) presentación de 2025 y del 1S26; 3) prensa (AJ Bell, MarketBeat)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crecimientos subyacentes por división, en los KPI</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2) presentación de resultados; 3) proveedores de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partidas del balance (caja, deuda bruta, patrimonio, circulante)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RNS de 2025 (balance consolidado); 2) Stock Analysis; 3) Google Finance y Simply Wall St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deuda neta publicada, activo corriente y el balance de 2023</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RNS de resultados; 2) Form 6-K; 3) TipRanks y MarketBeat (no cuadran)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amortización de 2021; impuestos de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RNS 2021 y 2023; 2) página de datos clave; 3) proveedores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 acta de la junta;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y serie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RELX (estimaciones de mercado); 2) Outsell; 3) informe de Wolters Kluwer del repo (sin cifra de mercado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 e ingresos de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los pares (sin red); 2) búsqueda web; 3) notas de Wolters Kluwer del repo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posición cualitativa y márgenes EBITDA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 MSCI y Sustainalytics;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remuneración del consejero delegado, accionistas significativos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(sin red); 2) búsqueda de resultados de la junta y del informe de remuneraciones;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cúpula y votaciones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max_52s, volumen, flotante, próximos 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cotización y rango de 52 semanas; 3) páginas de brókeres (datos de distintas fechas, contradictorios)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frente a índice, beta, volatilidad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históricos; 3) Chartrow y Digrin (solo el ADR)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anual estimado con el ADR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y EBIT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abre); 2) Investing; 3) consenso de la empresa en relx.com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RELX 2025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https://www.investegate.co.uk/announcement/rns/relx-plc--rel/relx-2025-results/9426819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RELX 2026 Interim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https://www.investegate.co.uk/announcement/rns/relx-plc--rel/relx-2026-interim-results/9682972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2022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https://www.relx.com/media/press-releases/year-2023/relx-2022-results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2023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https://www.relx.com/media/press-releases/year-2024/relx-2023-results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2021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https://www.investegate.co.uk/announcement/rns/relx-plc--rel/relx-2021-results/6800461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(LON:REL)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https://stockanalysis.com/quote/lon/REL/financials/income-statement/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https://finboard.net/companies/RELX/income-statement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2025 Results, Form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https://www.sec.gov/Archives/edgar/data/929869/000092986926000019/relx-20260212xex99d1.pdf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 financial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https://www.relx.com/investors/key-financial-data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(RELX)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https://stockanalysis.com/stocks/relx/financials/balance-sheet/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(REL:LON) financials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https://finance.google.com/quote/REL:LON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first half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https://www.relx.com/~/media/Files/R/RELX-Group/documents/results/interim-presentations/2026-first-half-presentation.pdf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https://www.relx.com/~/media/Files/R/RELX-Group/documents/results/results-presentations/2025-results-presentation.pdf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RELX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https://stories.relx.com/2025-relx-highlights/index.html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eyes year of strong growth as half-year profit and sales climb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https://www.ajbell.co.uk/news/articles/relx-eyes-year-strong-growth-half-year-profit-and-sales-climb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H1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https://www.marketbeat.com/instant-alerts/relx-h1-earnings-call-highlights-2026-07-23/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Stockwatch: time to buy Relx shares after fresh plunge?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https://www.ii.co.uk/analysis-commentary/stockwatch-time-buy-relx-shares-after-fresh-plunge-ii538010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Deep Dive: RELX is Mis-Categorized in the AI Selloff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Extracting Alpha (Substack)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https://extractingalpha.substack.com/p/relx-deep-dive-relx-is-mis-categorized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Thomson Reuters, Wolters Kluwer H1 2026: Growth Accelerates, Valuations Don't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Outsell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https://outsellinc.com/?p=34383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Wolters Kluwer 2026-10-08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informes/wolters-kluwer-2026-10-08/notas/D.json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https://www.relx.com/~/media/Files/R/RELX-Group/documents/investors/agm-information-for-relx-plc/agm-2026-results.pdf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https://www.relx.com/~/media/Files/R/RELX-Group/documents/investors/agm-information-for-relx-plc/agm-2025-results.pdf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analyst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StockAlarm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https://pro.stockalarm.io/quote/RELX/analysts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(REL)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https://www.investing.com/equities/reed-elsevier-consensus-estimates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highlight mixed outlook for RELX as valuation and profit estimates rise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https://www.simplywall.st/narratives/jz09tuws-analysts-highlight-mixed-outlook-for-relx-as-valuation-and-profit-estimates-rise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No Surprises in Trading Update; Shares Deeply Undervalued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https://global.morningstar.com/en-gb/stocks/relx-no-surprises-trading-update-shares-deeply-undervalued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(LON:REL) share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InvestSMART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https://www.investsmart.com.au/security/lon/rel/relx-plc/share-price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Three reasons to buy Relx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https://www.ii.co.uk/analysis-commentary/three-reasons-buy-relx-shares-ii538173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(RELX) Up 5.2% — Time to Own a Piece of This?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https://weissratings.com/en/instant-news-alerts/relx-plc-relx-up-5-2-time-to-own-a-piece-of-this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(5-9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https://www.investegate.co.uk/announcement/rns/relx-plc--rel/transaction-in-own-shares/9818491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returns (precios de inicio y fin de cada año del ADR)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https://chartrow.com/quote/relx/returns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(RELX) price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https://www.digrin.com/stocks/detail/RELX/price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quote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https://sa.marketscreener.com/quote/stock/RELX-PLC-9590187/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Sterling breaks 1.3500 as Britain's long gilt hits a 1998 high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https://www.tradingnews.com/news/sterling-breaks-13500-as-britains-5-percent-long-gilt-hits-1998-high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After a 38% fall, are RELX shares still one of the FTSE 100's best AI stocks?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https://www.twelfthmagpie.com/2026/06/04/after-a-38-fall-are-relx-shares-still-one-of-the-ftse-100s-best-ai-stocks/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RELX stock a bargain in the FTSE 100 after a 50% fall?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https://www.twelfthmagpie.com/2026/02/12/is-relx-stock-a-bargain-in-the-ftse-100-after-a-50-fall/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REL.LSE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https://medium.com/@lars.wissler/rel-lse-2c8ec7b90ada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(valor recogido en verticales/empresa/lecciones.md)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10-year gilt yield (curva diaria del Banco de Inglaterra)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thetrading.tools / Bank of England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https://www.thetrading.tools/uk-10-year-yield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Are LSEG and RELX stocks really «AI losers»?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https://global.morningstar.com/en-gb/stocks/are-lseg-relx-stocks-really-ai-losers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75,2 %</w:t>
      </w:r>
      <w:r>
        <w:t xml:space="preserve"> · Secciones con menos del 60 % de campos cubiertos: </w:t>
      </w:r>
      <w:r>
        <w:rPr>
          <w:b/>
          <w:bCs/>
        </w:rPr>
        <w:t xml:space="preserve">gobierno, balance, bolsa</w:t>
      </w:r>
      <w:r>
        <w:t xml:space="preserve"> · Generado el 14 oct 2026.</w:t>
      </w:r>
    </w:p>
    <w:p>
      <w:pPr>
        <w:pStyle w:val="Nota"/>
        <w:spacing w:after="100"/>
      </w:pPr>
      <w:r>
        <w:t xml:space="preserve">Entorno de nube con red limitada a la búsqueda web: no se han podido descargar el informe anual ni las notas de prensa completas, y las herramientas de descarga y de datos de bolsa del repositorio no funcionan. Las cifras salen de los comunicados de resultados citados en los resultados de búsqueda (RNS en Investegate, relx.com, Form 6-K) y, para lo que falta, de proveedores de datos citados; lo que no se ha podido cuadrar queda sin dato. Línea cotizada: Londres (REL, en peniques; el informe usa GBP). Precio: media ponderada de la recompra del 9-oct-26 (27,01 GBP), el último precio fiable disponible; la sesión del 13-oct no se ha podido leer. Acciones: 1.742,3 M emitidas menos 86,8 M en autocartera a 9-oct [30]. Los cierres anuales de 2021-2025 son el ADR en USD convertido a GBP con el cambio de fin de año (estimación propia). La deuda neta es la publicada (incluye arrendamientos): la caja y la deuda bruta no se separan. Las capitalizaciones de los comparables se pasan de EUR a GBP a 0,857 (estimación). El consenso a tres años procede de una sola fuente gratuita y lleva confianza baja.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RELX PLC (REL)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27,01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(21,00 – 50,70)</c:v>
                </c:pt>
                <c:pt idx="1">
                  <c:v>Comparables: PER NTM (21,59 – 35,82)</c:v>
                </c:pt>
                <c:pt idx="2">
                  <c:v>DCF (WACC y g ± 0,5) (21,59 – 30,35)</c:v>
                </c:pt>
                <c:pt idx="3">
                  <c:v>Escenarios (bajista – alcista) (15,01 – 30,76)</c:v>
                </c:pt>
                <c:pt idx="4">
                  <c:v>DCF con la prima implícita del mercado (4,2 %)</c:v>
                </c:pt>
                <c:pt idx="5">
                  <c:v>Precio actual (27,01)</c:v>
                </c:pt>
              </c:strCache>
            </c:strRef>
          </c:cat>
          <c:val>
            <c:numRef>
              <c:f>Hoja1!$B$2:$B$7</c:f>
              <c:numCache>
                <c:formatCode>#,##0.0</c:formatCode>
                <c:ptCount val="6"/>
                <c:pt idx="0">
                  <c:v>21</c:v>
                </c:pt>
                <c:pt idx="1">
                  <c:v>21.59</c:v>
                </c:pt>
                <c:pt idx="2">
                  <c:v>21.59</c:v>
                </c:pt>
                <c:pt idx="3">
                  <c:v>15.01</c:v>
                </c:pt>
                <c:pt idx="4">
                  <c:v>27.53</c:v>
                </c:pt>
                <c:pt idx="5">
                  <c:v>26.87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(21,00 – 50,70)</c:v>
                </c:pt>
                <c:pt idx="1">
                  <c:v>Comparables: PER NTM (21,59 – 35,82)</c:v>
                </c:pt>
                <c:pt idx="2">
                  <c:v>DCF (WACC y g ± 0,5) (21,59 – 30,35)</c:v>
                </c:pt>
                <c:pt idx="3">
                  <c:v>Escenarios (bajista – alcista) (15,01 – 30,76)</c:v>
                </c:pt>
                <c:pt idx="4">
                  <c:v>DCF con la prima implícita del mercado (4,2 %)</c:v>
                </c:pt>
                <c:pt idx="5">
                  <c:v>Precio actual (27,01)</c:v>
                </c:pt>
              </c:strCache>
            </c:strRef>
          </c:cat>
          <c:val>
            <c:numRef>
              <c:f>Hoja1!$C$2:$C$7</c:f>
              <c:numCache>
                <c:formatCode>#,##0.0</c:formatCode>
                <c:ptCount val="6"/>
                <c:pt idx="0">
                  <c:v>29.700000000000003</c:v>
                </c:pt>
                <c:pt idx="1">
                  <c:v>14.23</c:v>
                </c:pt>
                <c:pt idx="2">
                  <c:v>8.760000000000002</c:v>
                </c:pt>
                <c:pt idx="3">
                  <c:v>15.750000000000002</c:v>
                </c:pt>
                <c:pt idx="4">
                  <c:v>6.829999999999998</c:v>
                </c:pt>
                <c:pt idx="5">
                  <c:v>0.2799999999999976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RELX</c:v>
                </c:pt>
                <c:pt idx="1">
                  <c:v>Thomson Reuters</c:v>
                </c:pt>
                <c:pt idx="2">
                  <c:v>Wolters Kluwer</c:v>
                </c:pt>
                <c:pt idx="3">
                  <c:v>Verisk</c:v>
                </c:pt>
                <c:pt idx="4">
                  <c:v>Experian</c:v>
                </c:pt>
                <c:pt idx="5">
                  <c:v>Springer Nature</c:v>
                </c:pt>
                <c:pt idx="6">
                  <c:v>Informa</c:v>
                </c:pt>
              </c:strCache>
            </c:strRef>
          </c:cat>
          <c:val>
            <c:numRef>
              <c:f>Hoja1!$B$2:$B$8</c:f>
              <c:numCache>
                <c:formatCode>0.0"%"</c:formatCode>
                <c:ptCount val="7"/>
                <c:pt idx="0">
                  <c:v>31.6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7244</c:v>
                </c:pt>
                <c:pt idx="1">
                  <c:v>8553</c:v>
                </c:pt>
                <c:pt idx="2">
                  <c:v>9161</c:v>
                </c:pt>
                <c:pt idx="3">
                  <c:v>9434</c:v>
                </c:pt>
                <c:pt idx="4">
                  <c:v>9590</c:v>
                </c:pt>
                <c:pt idx="5">
                  <c:v>9974</c:v>
                </c:pt>
                <c:pt idx="6">
                  <c:v>10622</c:v>
                </c:pt>
                <c:pt idx="7">
                  <c:v>11312</c:v>
                </c:pt>
                <c:pt idx="8">
                  <c:v>11991</c:v>
                </c:pt>
                <c:pt idx="9">
                  <c:v>12651</c:v>
                </c:pt>
                <c:pt idx="10">
                  <c:v>13220</c:v>
                </c:pt>
                <c:pt idx="11">
                  <c:v>13683</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1">
                  <c:v>3110</c:v>
                </c:pt>
                <c:pt idx="2">
                  <c:v>3476</c:v>
                </c:pt>
                <c:pt idx="3">
                  <c:v>3644</c:v>
                </c:pt>
                <c:pt idx="4">
                  <c:v>3779</c:v>
                </c:pt>
                <c:pt idx="5">
                  <c:v>3989</c:v>
                </c:pt>
                <c:pt idx="6">
                  <c:v>4302</c:v>
                </c:pt>
                <c:pt idx="7">
                  <c:v>4638</c:v>
                </c:pt>
                <c:pt idx="8">
                  <c:v>4952</c:v>
                </c:pt>
                <c:pt idx="9">
                  <c:v>5250</c:v>
                </c:pt>
                <c:pt idx="10">
                  <c:v>5486</c:v>
                </c:pt>
                <c:pt idx="11">
                  <c:v>5678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1">
                  <c:v>36.4</c:v>
                </c:pt>
                <c:pt idx="2">
                  <c:v>37.9</c:v>
                </c:pt>
                <c:pt idx="3">
                  <c:v>38.6</c:v>
                </c:pt>
                <c:pt idx="4">
                  <c:v>39.4</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26</c:v>
                </c:pt>
                <c:pt idx="1">
                  <c:v>27.2</c:v>
                </c:pt>
                <c:pt idx="2">
                  <c:v>29.3</c:v>
                </c:pt>
                <c:pt idx="3">
                  <c:v>30.3</c:v>
                </c:pt>
                <c:pt idx="4">
                  <c:v>31.6</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20.3</c:v>
                </c:pt>
                <c:pt idx="1">
                  <c:v>19.1</c:v>
                </c:pt>
                <c:pt idx="2">
                  <c:v>19.5</c:v>
                </c:pt>
                <c:pt idx="3">
                  <c:v>20.5</c:v>
                </c:pt>
                <c:pt idx="4">
                  <c:v>21.5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2.7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0">
                  <c:v>7</c:v>
                </c:pt>
                <c:pt idx="2">
                  <c:v>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Hoja1!$A$2:$A$3</c:f>
              <c:strCache>
                <c:ptCount val="2"/>
                <c:pt idx="0">
                  <c:v>2024</c:v>
                </c:pt>
                <c:pt idx="1">
                  <c:v>2025</c:v>
                </c:pt>
              </c:strCache>
            </c:strRef>
          </c:cat>
          <c:val>
            <c:numRef>
              <c:f>Hoja1!$B$2:$B$3</c:f>
              <c:numCache>
                <c:formatCode>#,##0</c:formatCode>
                <c:ptCount val="2"/>
                <c:pt idx="0">
                  <c:v>2063</c:v>
                </c:pt>
                <c:pt idx="1">
                  <c:v>2273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Hoja1!$A$2:$A$3</c:f>
              <c:strCache>
                <c:ptCount val="2"/>
                <c:pt idx="0">
                  <c:v>2024</c:v>
                </c:pt>
                <c:pt idx="1">
                  <c:v>2025</c:v>
                </c:pt>
              </c:strCache>
            </c:strRef>
          </c:cat>
          <c:val>
            <c:numRef>
              <c:f>Hoja1!$C$2:$C$3</c:f>
              <c:numCache>
                <c:formatCode>#,##0</c:formatCode>
                <c:ptCount val="2"/>
                <c:pt idx="0">
                  <c:v>1934</c:v>
                </c:pt>
                <c:pt idx="1">
                  <c:v>2065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25.7</c:v>
                </c:pt>
                <c:pt idx="1">
                  <c:v>28.5</c:v>
                </c:pt>
                <c:pt idx="2">
                  <c:v>24.4</c:v>
                </c:pt>
                <c:pt idx="3">
                  <c:v>26.4</c:v>
                </c:pt>
                <c:pt idx="4">
                  <c:v>33.2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8.8</c:v>
                </c:pt>
                <c:pt idx="1">
                  <c:v>8.8</c:v>
                </c:pt>
                <c:pt idx="2">
                  <c:v>8.8</c:v>
                </c:pt>
                <c:pt idx="3">
                  <c:v>8.8</c:v>
                </c:pt>
                <c:pt idx="4">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104</c:v>
                </c:pt>
                <c:pt idx="3">
                  <c:v>112.4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1">
                  <c:v>2.12</c:v>
                </c:pt>
                <c:pt idx="2">
                  <c:v>1.85</c:v>
                </c:pt>
                <c:pt idx="3">
                  <c:v>1.8</c:v>
                </c:pt>
                <c:pt idx="4">
                  <c:v>1.91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1">
                  <c:v>270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1">
                  <c:v>1181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1">
                  <c:v>1500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-4.9</c:v>
                </c:pt>
                <c:pt idx="1">
                  <c:v>36</c:v>
                </c:pt>
                <c:pt idx="2">
                  <c:v>16.5</c:v>
                </c:pt>
                <c:pt idx="3">
                  <c:v>-17.2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16.2</c:v>
                </c:pt>
                <c:pt idx="2">
                  <c:v>18.9</c:v>
                </c:pt>
                <c:pt idx="3">
                  <c:v>20.4</c:v>
                </c:pt>
                <c:pt idx="4">
                  <c:v>16.5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17.7</c:v>
                </c:pt>
                <c:pt idx="1">
                  <c:v>17.7</c:v>
                </c:pt>
                <c:pt idx="2">
                  <c:v>17.7</c:v>
                </c:pt>
                <c:pt idx="3">
                  <c:v>17.7</c:v>
                </c:pt>
                <c:pt idx="4">
                  <c:v>17.7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RELX</c:v>
                </c:pt>
                <c:pt idx="1">
                  <c:v>Wolters Kluwer</c:v>
                </c:pt>
                <c:pt idx="2">
                  <c:v>Thomson Reuters</c:v>
                </c:pt>
                <c:pt idx="3">
                  <c:v>LSEG</c:v>
                </c:pt>
                <c:pt idx="4">
                  <c:v>Verisk</c:v>
                </c:pt>
                <c:pt idx="5">
                  <c:v>Experian</c:v>
                </c:pt>
                <c:pt idx="6">
                  <c:v>Intuit</c:v>
                </c:pt>
                <c:pt idx="7">
                  <c:v>Veeva Systems</c:v>
                </c:pt>
                <c:pt idx="8">
                  <c:v>Gartner</c:v>
                </c:pt>
              </c:strCache>
            </c:strRef>
          </c:cat>
          <c:val>
            <c:numRef>
              <c:f>Hoja1!$B$2:$B$10</c:f>
              <c:numCache>
                <c:formatCode>0.0"x"</c:formatCode>
                <c:ptCount val="9"/>
                <c:pt idx="1">
                  <c:v>9.3</c:v>
                </c:pt>
                <c:pt idx="2">
                  <c:v>13.3</c:v>
                </c:pt>
                <c:pt idx="3">
                  <c:v>10</c:v>
                </c:pt>
                <c:pt idx="4">
                  <c:v>14</c:v>
                </c:pt>
                <c:pt idx="5">
                  <c:v>10.2</c:v>
                </c:pt>
                <c:pt idx="6">
                  <c:v>7.7</c:v>
                </c:pt>
                <c:pt idx="7">
                  <c:v>21.6</c:v>
                </c:pt>
                <c:pt idx="8">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Wolters Kluwer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7.3</c:v>
                </c:pt>
              </c:numCache>
            </c:numRef>
          </c:xVal>
          <c:yVal>
            <c:numRef>
              <c:f>Hoja1!$C$2</c:f>
              <c:numCache>
                <c:formatCode>0.0"x"</c:formatCode>
                <c:ptCount val="1"/>
                <c:pt idx="0">
                  <c:v>9.3</c:v>
                </c:pt>
              </c:numCache>
            </c:numRef>
          </c:yVal>
          <c:smooth val="0"/>
        </c:ser>
        <c:ser>
          <c:idx val="1"/>
          <c:order val="1"/>
          <c:tx>
            <c:strRef>
              <c:f>Hoja1!$A$3</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c:v>
                </c:pt>
              </c:numCache>
            </c:numRef>
          </c:xVal>
          <c:yVal>
            <c:numRef>
              <c:f>Hoja1!$C$3</c:f>
              <c:numCache>
                <c:formatCode>0.0"x"</c:formatCode>
                <c:ptCount val="1"/>
                <c:pt idx="0">
                  <c:v>13.3</c:v>
                </c:pt>
              </c:numCache>
            </c:numRef>
          </c:yVal>
          <c:smooth val="0"/>
        </c:ser>
        <c:ser>
          <c:idx val="2"/>
          <c:order val="2"/>
          <c:tx>
            <c:strRef>
              <c:f>Hoja1!$A$4</c:f>
              <c:strCache>
                <c:ptCount val="1"/>
                <c:pt idx="0">
                  <c:v>LSEG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6.4</c:v>
                </c:pt>
              </c:numCache>
            </c:numRef>
          </c:xVal>
          <c:yVal>
            <c:numRef>
              <c:f>Hoja1!$C$4</c:f>
              <c:numCache>
                <c:formatCode>0.0"x"</c:formatCode>
                <c:ptCount val="1"/>
                <c:pt idx="0">
                  <c:v>10</c:v>
                </c:pt>
              </c:numCache>
            </c:numRef>
          </c:yVal>
          <c:smooth val="0"/>
        </c:ser>
        <c:ser>
          <c:idx val="3"/>
          <c:order val="3"/>
          <c:tx>
            <c:strRef>
              <c:f>Hoja1!$A$5</c:f>
              <c:strCache>
                <c:ptCount val="1"/>
                <c:pt idx="0">
                  <c:v>Verisk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c:v>
                </c:pt>
              </c:numCache>
            </c:numRef>
          </c:xVal>
          <c:yVal>
            <c:numRef>
              <c:f>Hoja1!$C$5</c:f>
              <c:numCache>
                <c:formatCode>0.0"x"</c:formatCode>
                <c:ptCount val="1"/>
                <c:pt idx="0">
                  <c:v>14</c:v>
                </c:pt>
              </c:numCache>
            </c:numRef>
          </c:yVal>
          <c:smooth val="0"/>
        </c:ser>
        <c:ser>
          <c:idx val="4"/>
          <c:order val="4"/>
          <c:tx>
            <c:strRef>
              <c:f>Hoja1!$A$6</c:f>
              <c:strCache>
                <c:ptCount val="1"/>
                <c:pt idx="0">
                  <c:v>Experian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8.1</c:v>
                </c:pt>
              </c:numCache>
            </c:numRef>
          </c:xVal>
          <c:yVal>
            <c:numRef>
              <c:f>Hoja1!$C$6</c:f>
              <c:numCache>
                <c:formatCode>0.0"x"</c:formatCode>
                <c:ptCount val="1"/>
                <c:pt idx="0">
                  <c:v>10.2</c:v>
                </c:pt>
              </c:numCache>
            </c:numRef>
          </c:yVal>
          <c:smooth val="0"/>
        </c:ser>
        <c:ser>
          <c:idx val="5"/>
          <c:order val="5"/>
          <c:tx>
            <c:strRef>
              <c:f>Hoja1!$A$7</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9.2</c:v>
                </c:pt>
              </c:numCache>
            </c:numRef>
          </c:xVal>
          <c:yVal>
            <c:numRef>
              <c:f>Hoja1!$C$7</c:f>
              <c:numCache>
                <c:formatCode>0.0"x"</c:formatCode>
                <c:ptCount val="1"/>
                <c:pt idx="0">
                  <c:v>7.7</c:v>
                </c:pt>
              </c:numCache>
            </c:numRef>
          </c:yVal>
          <c:smooth val="0"/>
        </c:ser>
        <c:ser>
          <c:idx val="6"/>
          <c:order val="6"/>
          <c:tx>
            <c:strRef>
              <c:f>Hoja1!$A$8</c:f>
              <c:strCache>
                <c:ptCount val="1"/>
                <c:pt idx="0">
                  <c:v>Veeva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13.5</c:v>
                </c:pt>
              </c:numCache>
            </c:numRef>
          </c:xVal>
          <c:yVal>
            <c:numRef>
              <c:f>Hoja1!$C$8</c:f>
              <c:numCache>
                <c:formatCode>0.0"x"</c:formatCode>
                <c:ptCount val="1"/>
                <c:pt idx="0">
                  <c:v>21.6</c:v>
                </c:pt>
              </c:numCache>
            </c:numRef>
          </c:yVal>
          <c:smooth val="0"/>
        </c:ser>
        <c:ser>
          <c:idx val="7"/>
          <c:order val="7"/>
          <c:tx>
            <c:strRef>
              <c:f>Hoja1!$A$9</c:f>
              <c:strCache>
                <c:ptCount val="1"/>
                <c:pt idx="0">
                  <c:v>Gartner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1.9</c:v>
                </c:pt>
              </c:numCache>
            </c:numRef>
          </c:xVal>
          <c:yVal>
            <c:numRef>
              <c:f>Hoja1!$C$9</c:f>
              <c:numCache>
                <c:formatCode>0.0"x"</c:formatCode>
                <c:ptCount val="1"/>
                <c:pt idx="0">
                  <c:v>8.5</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IHS Markit</c:v>
                </c:pt>
                <c:pt idx="1">
                  <c:v>Dun &amp; Bradstreet</c:v>
                </c:pt>
                <c:pt idx="2">
                  <c:v>Adenza</c:v>
                </c:pt>
                <c:pt idx="3">
                  <c:v>Anaplan</c:v>
                </c:pt>
                <c:pt idx="4">
                  <c:v>Brightflag</c:v>
                </c:pt>
                <c:pt idx="5">
                  <c:v>Registered Agent Solutions</c:v>
                </c:pt>
              </c:strCache>
            </c:strRef>
          </c:cat>
          <c:val>
            <c:numRef>
              <c:f>Hoja1!$B$2:$B$7</c:f>
              <c:numCache>
                <c:formatCode>0.0"x"</c:formatCode>
                <c:ptCount val="6"/>
                <c:pt idx="0">
                  <c:v>24</c:v>
                </c:pt>
                <c:pt idx="1">
                  <c:v>8.3</c:v>
                </c:pt>
                <c:pt idx="2">
                  <c:v>30.7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2553</c:v>
                </c:pt>
                <c:pt idx="1">
                  <c:v>2759</c:v>
                </c:pt>
                <c:pt idx="2">
                  <c:v>2981</c:v>
                </c:pt>
                <c:pt idx="3">
                  <c:v>3187</c:v>
                </c:pt>
                <c:pt idx="4">
                  <c:v>3382</c:v>
                </c:pt>
                <c:pt idx="5">
                  <c:v>3547</c:v>
                </c:pt>
                <c:pt idx="6">
                  <c:v>3699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15388</c:v>
                </c:pt>
                <c:pt idx="1">
                  <c:v>35652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27,01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15.01</c:v>
                </c:pt>
                <c:pt idx="1">
                  <c:v>25.28</c:v>
                </c:pt>
                <c:pt idx="2">
                  <c:v>30.76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27,01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(21,00 – 50,70)</c:v>
                </c:pt>
                <c:pt idx="1">
                  <c:v>Comparables: PER NTM (21,59 – 35,82)</c:v>
                </c:pt>
                <c:pt idx="2">
                  <c:v>DCF (WACC y g ± 0,5) (21,59 – 30,35)</c:v>
                </c:pt>
                <c:pt idx="3">
                  <c:v>Escenarios (bajista – alcista) (15,01 – 30,76)</c:v>
                </c:pt>
                <c:pt idx="4">
                  <c:v>DCF con la prima implícita del mercado (4,2 %)</c:v>
                </c:pt>
                <c:pt idx="5">
                  <c:v>Precio actual (27,01)</c:v>
                </c:pt>
              </c:strCache>
            </c:strRef>
          </c:cat>
          <c:val>
            <c:numRef>
              <c:f>Hoja1!$B$2:$B$7</c:f>
              <c:numCache>
                <c:formatCode>#,##0.0</c:formatCode>
                <c:ptCount val="6"/>
                <c:pt idx="0">
                  <c:v>21</c:v>
                </c:pt>
                <c:pt idx="1">
                  <c:v>21.59</c:v>
                </c:pt>
                <c:pt idx="2">
                  <c:v>21.59</c:v>
                </c:pt>
                <c:pt idx="3">
                  <c:v>15.01</c:v>
                </c:pt>
                <c:pt idx="4">
                  <c:v>27.53</c:v>
                </c:pt>
                <c:pt idx="5">
                  <c:v>26.87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(21,00 – 50,70)</c:v>
                </c:pt>
                <c:pt idx="1">
                  <c:v>Comparables: PER NTM (21,59 – 35,82)</c:v>
                </c:pt>
                <c:pt idx="2">
                  <c:v>DCF (WACC y g ± 0,5) (21,59 – 30,35)</c:v>
                </c:pt>
                <c:pt idx="3">
                  <c:v>Escenarios (bajista – alcista) (15,01 – 30,76)</c:v>
                </c:pt>
                <c:pt idx="4">
                  <c:v>DCF con la prima implícita del mercado (4,2 %)</c:v>
                </c:pt>
                <c:pt idx="5">
                  <c:v>Precio actual (27,01)</c:v>
                </c:pt>
              </c:strCache>
            </c:strRef>
          </c:cat>
          <c:val>
            <c:numRef>
              <c:f>Hoja1!$C$2:$C$7</c:f>
              <c:numCache>
                <c:formatCode>#,##0.0</c:formatCode>
                <c:ptCount val="6"/>
                <c:pt idx="0">
                  <c:v>29.700000000000003</c:v>
                </c:pt>
                <c:pt idx="1">
                  <c:v>14.23</c:v>
                </c:pt>
                <c:pt idx="2">
                  <c:v>8.760000000000002</c:v>
                </c:pt>
                <c:pt idx="3">
                  <c:v>15.750000000000002</c:v>
                </c:pt>
                <c:pt idx="4">
                  <c:v>6.829999999999998</c:v>
                </c:pt>
                <c:pt idx="5">
                  <c:v>0.2799999999999976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