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Shanxi Xinghuacun Fen Wine Factory Co., Ltd. (山西杏花村汾酒厂股份有限公司)</w:t>
      </w:r>
    </w:p>
    <w:p>
      <w:pPr>
        <w:spacing w:after="60"/>
        <w:rPr>
          <w:color w:val="52514E"/>
          <w:sz w:val="22"/>
          <w:szCs w:val="22"/>
        </w:rPr>
      </w:pPr>
      <w:r>
        <w:rPr>
          <w:color w:val="52514E"/>
          <w:sz w:val="22"/>
          <w:szCs w:val="22"/>
        </w:rPr>
        <w:t xml:space="preserve">600809 · Bolsa de Shanghái, mercado principal (A, CNY); comprable por Stock Connect Northbound · ISIN CNE000000DH5 · Consumo básico</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20 oct 2026</w:t>
      </w:r>
      <w:r>
        <w:rPr>
          <w:color w:val="52514E"/>
          <w:sz w:val="18"/>
          <w:szCs w:val="18"/>
        </w:rPr>
        <w:t xml:space="preserve"> · Divisa: </w:t>
      </w:r>
      <w:r>
        <w:rPr>
          <w:b/>
          <w:bCs/>
          <w:color w:val="52514E"/>
          <w:sz w:val="18"/>
          <w:szCs w:val="18"/>
        </w:rPr>
        <w:t xml:space="preserve">CNY</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117,36 CNY</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142,16 CNY</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+25,2 % (base +25,0 %)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143,18 CNY · mercado 163,01</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143.175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-1,9x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Shanxi Xinghuacun Fen Wine Factory Co., Ltd. (山西杏花村汾酒厂股份有限公司)</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600809 / CNE000000DH5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Shanghái, mercado principal (A, CNY); comprable por Stock Connect Northbound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CSI 300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básico / Destiladores y vinateros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Fenyang (Shanxi) · 1949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https://www.fenjiu.com.cn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117,36 (20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103,64 – 203,58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1.220,0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143.175 M CNY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116.209 M CNY</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924 M CNY/día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Baja · Objetivo a 12 meses </w:t>
      </w:r>
      <w:r>
        <w:rPr>
          <w:b/>
          <w:bCs/>
        </w:rPr>
        <w:t xml:space="preserve">142,16 CNY</w:t>
      </w:r>
      <w:r>
        <w:t xml:space="preserve"> frente a 117,36 · Rentabilidad a 12 meses </w:t>
      </w:r>
      <w:r>
        <w:rPr>
          <w:b/>
          <w:bCs/>
        </w:rPr>
        <w:t xml:space="preserve">+25,2 % (base +25,0 %)</w:t>
      </w:r>
      <w:r>
        <w:t xml:space="preserve"> · Valor intrínseco 143,18 CNY · con la prima implícita del mercado: 163,01 (+38,9 %) · Alcista / bajista +55,2 % / -7,9 %</w:t>
      </w:r>
    </w:p>
    <w:p>
      <w:pPr>
        <w:spacing w:after="100"/>
      </w:pPr>
      <w:r>
        <w:rPr>
          <w:b/>
        </w:rPr>
        <w:t xml:space="preserve">La recomendación y por qué.</w:t>
      </w:r>
      <w:r>
        <w:t xml:space="preserve"> Comprar según la regla a 12 meses, con convicción baja, y </w:t>
      </w:r>
      <w:r>
        <w:rPr>
          <w:b/>
        </w:rPr>
        <w:t xml:space="preserve">no como compra robusta</w:t>
      </w:r>
      <w:r>
        <w:t xml:space="preserve">. Nuestro objetivo a 12 meses es de 142,2 CNY: +25,2 % con dividendo (+25,0 % en el caso base) frente a un precio de 117,36 CNY (cierre del 20-oct-2026 en Shanghái) [33]. Pasa los umbrales de compra con holgura con la regla vigente (v3), pero no con la de control (v2, historia al cierre: 14,4 %) ni con un BPA un 10 % peor (13,1 %): la acción robusta es Mantener. El límite de compra común es de 127,80 CNY y el robusto, de 115,48 CNY, un 1,6 % bajo el precio. El valor intrínseco (143,2 CNY) está un 22 % por encima. La convicción es baja, por debajo de la «alta» que dan los criterios del motor, porque la compra no aguanta la regla de control ni un BPA un 10 % peor y el sector aún no ha tocado fondo; subiría si el 3T26 (29-oct) muestra que la caída de ventas se modera por debajo del −10 %.</w:t>
      </w:r>
    </w:p>
    <w:p>
      <w:pPr>
        <w:spacing w:after="100"/>
      </w:pPr>
      <w:r>
        <w:rPr>
          <w:b/>
        </w:rPr>
        <w:t xml:space="preserve">El negocio.</w:t>
      </w:r>
      <w:r>
        <w:t xml:space="preserve"> Fenjiu fabrica y vende baijiu, el aguardiente de cereal chino, y es la cuarta destilería de China por ventas (38.718 M CNY en 2025) y la líder del aroma ligero (清香) [1, 17]. Vende por gamas: Qinghua (青花) en la alta, Laobaifen y Panamá en la media y Bofen (la botella de vidrio) en la popular, a través de unos 3.500 distribuidores que pagan por adelantado; el 35 % de las ventas es Shanxi y el 65 % el resto de China [1, 7]. La controla el Gobierno de Shanxi (56,65 % a través del grupo) y China Resources tiene el 9,17 % [6, 25]. Su foso es ancho: marca histórica, vino base envejecido que no se puede copiar deprisa y red nacional. </w:t>
      </w:r>
      <w:r>
        <w:rPr>
          <w:b/>
        </w:rPr>
        <w:t xml:space="preserve">Calidad: Sí</w:t>
      </w:r>
      <w:r>
        <w:t xml:space="preserve">, con muchísima holgura: ROIC del 133 % en 2025 frente a un WACC del 8,60 % (más de 120 puntos), porque los distribuidores financian el circulante. La sostenibilidad del crecimiento es </w:t>
      </w:r>
      <w:r>
        <w:rPr>
          <w:b/>
        </w:rPr>
        <w:t xml:space="preserve">sí</w:t>
      </w:r>
      <w:r>
        <w:t xml:space="preserve">: proyectamos un 2,1 % anual frente al 18 % de 2021-2025, con la cuota del sector del 4,5 % al 5,8 %.</w:t>
      </w:r>
    </w:p>
    <w:p>
      <w:pPr>
        <w:spacing w:after="100"/>
      </w:pPr>
      <w:r>
        <w:rPr>
          <w:b/>
        </w:rPr>
        <w:t xml:space="preserve">Finanzas y el ajuste.</w:t>
      </w:r>
      <w:r>
        <w:t xml:space="preserve"> Las ventas se duplicaron entre 2021 y 2025 y el beneficio pasó de 5.314 a 12.246 M [1, 5], pero en 2025 el beneficio quedó plano y en 2026 cae: ventas −12,2 % y beneficio −24,3 % en el 1S26, y −17,7 % y −43,1 % en el 2T26, con Shanxi −30 % por la retirada de existencias del canal [6, 14]. Los anticipos de los distribuidores bajaron de 8.672 M (2024) a 6.658 M (jun-26): piden menos [1, 6]. Las existencias (14.784 M, más de la mitad vino base que envejece) son un activo, no un problema: el baijiu no caduca [6]. Tiene unos 27.400 M de caja neta tras pagar en julio el dividendo de 6,56 CNY (el 65 % del beneficio) y reparte al menos el 65 % hasta 2027 [13, 30].</w:t>
      </w:r>
    </w:p>
    <w:p>
      <w:pPr>
        <w:spacing w:after="100"/>
      </w:pPr>
      <w:r>
        <w:rPr>
          <w:b/>
        </w:rPr>
        <w:t xml:space="preserve">El sector.</w:t>
      </w:r>
      <w:r>
        <w:t xml:space="preserve"> El consumo de baijiu cae: la producción bajó un 12,1 % en 2025 [16], el reglamento de austeridad de mayo de 2025 quitó el alcohol de las comidas oficiales [15], la deflación baja los precios de reventa y los jóvenes beben menos y otras bebidas [18]. Fenjiu ganó cuota hasta 2025 (+7,5 % con el sector en caída) y ahora ajusta como todos [1, 19].</w:t>
      </w:r>
    </w:p>
    <w:p>
      <w:pPr>
        <w:spacing w:after="100"/>
      </w:pPr>
      <w:r>
        <w:rPr>
          <w:b/>
        </w:rPr>
        <w:t xml:space="preserve">Equipo y gobierno.</w:t>
      </w:r>
      <w:r>
        <w:t xml:space="preserve"> Empresa estatal con presidente del grupo de control (Yuan Qingmao) y 4 independientes de 10 consejeros [1]. El director financiero y el secretario del consejo dimitieron en julio de 2026 «por cambio de trabajo» [27, 28]. El reparto alto y estable compensa el riesgo de que la caja se use para fines del Gobierno provincial.</w:t>
      </w:r>
    </w:p>
    <w:p>
      <w:pPr>
        <w:spacing w:after="100"/>
      </w:pPr>
      <w:r>
        <w:rPr>
          <w:b/>
        </w:rPr>
        <w:t xml:space="preserve">Valoración.</w:t>
      </w:r>
      <w:r>
        <w:t xml:space="preserve"> El DCF da 149,56 CNY (WACC 8,60 %, crecimiento terminal 1,0 %) y el precio equivale a que las ventas bajen un 0,8 % al año para siempre. El objetivo a 12 meses es nuestro BPA de 2028e (8,55 CNY, un 9 % por debajo del consenso) por un PER de 16,6x (el de hoy, 15,1x, con el tope de ×1,1), más el dividendo. No castigamos dos veces: el BPA ya cae un 5 % al año hasta 2028e y el PER no baja del de hoy. Los analistas apuntan a 153,5 CNY [34].</w:t>
      </w:r>
    </w:p>
    <w:p>
      <w:pPr>
        <w:spacing w:after="100"/>
      </w:pPr>
      <w:r>
        <w:rPr>
          <w:b/>
        </w:rPr>
        <w:t xml:space="preserve">Qué puede ir mal y qué vigilar.</w:t>
      </w:r>
      <w:r>
        <w:t xml:space="preserve"> Que el ajuste no sea un ciclo sino un declive, como la cerveza en China: el bajista a 12 meses es de 97,1 CNY (−13 % con dividendo). El riesgo de IA es bajo: no sustituye una bebida de regalo y celebración. Se compra desde IBKR por Stock Connect (600809 es comprable y vendible en la lista del 20-oct) [40, 41]. Veredicto de precio y noticias: </w:t>
      </w:r>
      <w:r>
        <w:rPr>
          <w:b/>
        </w:rPr>
        <w:t xml:space="preserve">no cambia</w:t>
      </w:r>
      <w:r>
        <w:t xml:space="preserve"> (las causas de la caída están en la tesis y no hay hechos pendientes ajenos al análisis).</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Baja · Horizonte: 12 meses · Objetivo a 12 meses: </w:t>
      </w:r>
      <w:r>
        <w:rPr>
          <w:b/>
          <w:bCs/>
        </w:rPr>
        <w:t xml:space="preserve">142,16 CNY</w:t>
      </w:r>
      <w:r>
        <w:t xml:space="preserve"> (rentabilidad +25,2 % (base +25,0 %)) · Valor intrínseco: 143,18 CNY (+22,0 % sobre 117,36) · con la prima implícita del mercado: 163,01 (+38,9 %)</w:t>
      </w:r>
    </w:p>
    <w:p>
      <w:pPr>
        <w:spacing w:after="100"/>
      </w:pPr>
      <w:r>
        <w:t xml:space="preserve">Fenjiu es la destilería que más cuota ganó en la última década, con un ROIC de tres cifras, caja neta del 19 % de la capitalización y un reparto de al menos el 65 % del beneficio, y cotiza a 15 veces nuestro BPA de 2027e, el mínimo de su historia reciente. El mercado descuenta que el baijiu entra en declive; nosotros proyectamos un 2026 muy malo (−13,6 % en ventas) y una vuelta lenta al +3-6 %. Con eso el objetivo a 12 meses da un 25 %, pero no aguanta la regla de control ni un BPA un 10 % peor: es una compra frágil, que solo sería robusta por debajo de 115,5 CNY.</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30/50/20)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142,16 CNY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 × 7,30 = 97,09 · 16,6x × 8,55 = 141,93 · 22,4x × 9,39 = 210,34</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25,2 % / 25,0 %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153,53 (nuestro base -7,6 %)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143,18 CNY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55,2 % / -7,9 %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 frente a 8,6 % y 7,4 %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7,4 %)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163,01 CNY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 frente a -1,0 %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(2,1 %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dos reglas dan Comprar, rentabilidad del 26,1 %, asimetría de 6,99, bajista del -7,9 % y el precio descuenta 4,7 puntos menos de crecimiento que el caso base)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Alta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127,79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127,79 y 163,29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163,29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encima de 127,80 CNY: pasaríamos a Mantener; por encima de 133,61 CNY dejaría de pasar el filtro de mantener.</w:t>
      </w:r>
    </w:p>
    <w:p>
      <w:pPr>
        <w:pStyle w:val="ListParagraph"/>
        <w:numPr>
          <w:ilvl w:val="0"/>
          <w:numId w:val="2"/>
        </w:numPr>
        <w:spacing w:after="60"/>
      </w:pPr>
      <w:r>
        <w:t xml:space="preserve">Precio por debajo de 115,48 CNY: la compra sería robusta (pasa v3 y v2 con un BPA un 10 % peor).</w:t>
      </w:r>
    </w:p>
    <w:p>
      <w:pPr>
        <w:pStyle w:val="ListParagraph"/>
        <w:numPr>
          <w:ilvl w:val="0"/>
          <w:numId w:val="2"/>
        </w:numPr>
        <w:spacing w:after="60"/>
      </w:pPr>
      <w:r>
        <w:t xml:space="preserve">Ventas del 3T26 por debajo del −15 % o anticipos por debajo de 6.000 M: bajaríamos el base al bajista y la recomendación a Mantener.</w:t>
      </w:r>
    </w:p>
    <w:p>
      <w:pPr>
        <w:pStyle w:val="ListParagraph"/>
        <w:numPr>
          <w:ilvl w:val="0"/>
          <w:numId w:val="2"/>
        </w:numPr>
        <w:spacing w:after="60"/>
      </w:pPr>
      <w:r>
        <w:t xml:space="preserve">Recorte del reparto por debajo del 65 % o inversiones fuera del baijiu: subiríamos la prima de riesgo.</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baijiu entra en un declive estructural: el precio equivale a ventas que bajan un 0,8 % al año para siempre.</w:t>
      </w:r>
    </w:p>
    <w:p>
      <w:pPr>
        <w:keepNext/>
        <w:spacing w:after="100"/>
      </w:pPr>
      <w:r>
        <w:rPr>
          <w:b/>
          <w:bCs/>
        </w:rPr>
        <w:t xml:space="preserve">Lo que creemos nosotros.</w:t>
      </w:r>
    </w:p>
    <w:p>
      <w:pPr>
        <w:spacing w:after="100"/>
      </w:pPr>
      <w:r>
        <w:t xml:space="preserve">El sector encoge, pero Fenjiu gana cuota (su marca de aroma ligero crece fuera de Shanxi) y vuelve al +3-6 % cuando acabe la retirada de existencias, con un margen EBITDA del 40 % en vez del 44-47 % de 2023-2025.</w:t>
      </w:r>
    </w:p>
    <w:p>
      <w:pPr>
        <w:keepNext/>
        <w:spacing w:after="100"/>
      </w:pPr>
      <w:r>
        <w:rPr>
          <w:b/>
          <w:bCs/>
        </w:rPr>
        <w:t xml:space="preserve">Por qué podemos tener razón.</w:t>
      </w:r>
    </w:p>
    <w:p>
      <w:pPr>
        <w:spacing w:after="100"/>
      </w:pPr>
      <w:r>
        <w:t xml:space="preserve">Sus ventas subieron un 7,5 % en 2025 con la producción del sector −12,1 %, y fuera de Shanxi pasaron de 11.738 M a 25.202 M en cuatro años [1, 5, 16].</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CNY) · precio actual 117,3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Calidad excepcional</w:t>
      </w:r>
      <w:r>
        <w:t xml:space="preserve">: ROIC del 133 % y margen EBITDA del 43,8 % en 2025 [1].</w:t>
      </w:r>
    </w:p>
    <w:p>
      <w:pPr>
        <w:pStyle w:val="ListParagraph"/>
        <w:numPr>
          <w:ilvl w:val="0"/>
          <w:numId w:val="2"/>
        </w:numPr>
        <w:spacing w:after="60"/>
      </w:pPr>
      <w:r>
        <w:rPr>
          <w:b/>
        </w:rPr>
        <w:t xml:space="preserve">Caja y dividendo</w:t>
      </w:r>
      <w:r>
        <w:t xml:space="preserve">: ≈ 27.400 M de caja neta (22 CNY por acción) y al menos el 65 % del beneficio repartido hasta 2027 [6, 30].</w:t>
      </w:r>
    </w:p>
    <w:p>
      <w:pPr>
        <w:pStyle w:val="ListParagraph"/>
        <w:numPr>
          <w:ilvl w:val="0"/>
          <w:numId w:val="2"/>
        </w:numPr>
        <w:spacing w:after="60"/>
      </w:pPr>
      <w:r>
        <w:rPr>
          <w:b/>
        </w:rPr>
        <w:t xml:space="preserve">Ganancia de cuota</w:t>
      </w:r>
      <w:r>
        <w:t xml:space="preserve">: del 3,3 % del sector en 2021 al 4,5 % en 2024 [2, 3].</w:t>
      </w:r>
    </w:p>
    <w:p>
      <w:pPr>
        <w:pStyle w:val="ListParagraph"/>
        <w:numPr>
          <w:ilvl w:val="0"/>
          <w:numId w:val="2"/>
        </w:numPr>
        <w:spacing w:after="60"/>
      </w:pPr>
      <w:r>
        <w:rPr>
          <w:b/>
        </w:rPr>
        <w:t xml:space="preserve">Barata frente a sí misma</w:t>
      </w:r>
      <w:r>
        <w:t xml:space="preserve">: 15,1 veces el BPA de 2027e frente a una mediana adelantada de 23,3 veces [32].</w:t>
      </w:r>
    </w:p>
    <w:p>
      <w:pPr>
        <w:pStyle w:val="Heading2"/>
      </w:pPr>
      <w:r>
        <w:t xml:space="preserve">En contra</w:t>
      </w:r>
    </w:p>
    <w:p>
      <w:pPr>
        <w:pStyle w:val="ListParagraph"/>
        <w:numPr>
          <w:ilvl w:val="0"/>
          <w:numId w:val="2"/>
        </w:numPr>
        <w:spacing w:after="60"/>
      </w:pPr>
      <w:r>
        <w:rPr>
          <w:b/>
        </w:rPr>
        <w:t xml:space="preserve">El sector encoge</w:t>
      </w:r>
      <w:r>
        <w:t xml:space="preserve">: producción −12,1 % en 2025, austeridad oficial y jóvenes que beben menos [15, 16].</w:t>
      </w:r>
    </w:p>
    <w:p>
      <w:pPr>
        <w:pStyle w:val="ListParagraph"/>
        <w:numPr>
          <w:ilvl w:val="0"/>
          <w:numId w:val="2"/>
        </w:numPr>
        <w:spacing w:after="60"/>
      </w:pPr>
      <w:r>
        <w:rPr>
          <w:b/>
        </w:rPr>
        <w:t xml:space="preserve">Ajuste del canal sin fondo visible</w:t>
      </w:r>
      <w:r>
        <w:t xml:space="preserve">: 2T26 con ventas −17,7 % y beneficio −43 %; anticipos a la baja [6, 14].</w:t>
      </w:r>
    </w:p>
    <w:p>
      <w:pPr>
        <w:pStyle w:val="ListParagraph"/>
        <w:numPr>
          <w:ilvl w:val="0"/>
          <w:numId w:val="2"/>
        </w:numPr>
        <w:spacing w:after="60"/>
      </w:pPr>
      <w:r>
        <w:rPr>
          <w:b/>
        </w:rPr>
        <w:t xml:space="preserve">Compra frágil</w:t>
      </w:r>
      <w:r>
        <w:t xml:space="preserve">: no pasa la regla v2 ni aguanta un BPA un 10 % peor.</w:t>
      </w:r>
    </w:p>
    <w:p>
      <w:pPr>
        <w:pStyle w:val="ListParagraph"/>
        <w:numPr>
          <w:ilvl w:val="0"/>
          <w:numId w:val="2"/>
        </w:numPr>
        <w:spacing w:after="60"/>
      </w:pPr>
      <w:r>
        <w:rPr>
          <w:b/>
        </w:rPr>
        <w:t xml:space="preserve">Control estatal</w:t>
      </w:r>
      <w:r>
        <w:t xml:space="preserve">: el Gobierno de Shanxi decide; salidas del director financiero y del secretario en julio [27, 28].</w:t>
      </w:r>
    </w:p>
    <w:p>
      <w:pPr>
        <w:pStyle w:val="Heading2"/>
      </w:pPr>
      <w:r>
        <w:t xml:space="preserve">Qué tiene que pasar para que la tesis funcione</w:t>
      </w:r>
    </w:p>
    <w:p>
      <w:pPr>
        <w:spacing w:after="100"/>
      </w:pPr>
      <w:r>
        <w:t xml:space="preserve">Ventas y anticipos de distribuidores en el 3T26 (29-oct) y el 4T26: una caída menor del −10 % confirma el base; mayor del −15 %, el bajista. El precio de reventa del Qinghua 20 antes del Año Nuevo chino de 2027 y el reparto (al menos el 65 %).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las ventas trimestrales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−15 % en el 3T26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el ajuste del canal del declive.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Anticipos de distribuidores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6.658 M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6.000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Indicador adelantado de los pedidos.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en Shanxi</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Negativas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mercado más maduro y el 35 % de las ventas.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de 12 meses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37 %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precio, mezcla y promociones.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Producción de baijiu (NBS)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Otra caída de dos cifras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del mercado.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Reparto del beneficio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65,35 %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65 %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dividendo es una parte grande de la rentabilidad.</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14,1x / 14,1x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 · -1,9x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Fenjiu es la destilería de Xinghuacun (Fenyang, Shanxi), cuna del aroma ligero; la fábrica moderna nace en 1949 como empresa estatal y en 1993 sale a bolsa en Shanghái la sociedad Fenjiu, la primera del baijiu [22]. Tras décadas como marca regional, el gobierno de Shanxi la eligió en 2017 para su reforma de empresas estatales: contrato de objetivos a la dirección, entrada de China Resources (华润创业) con el 11,45 % en 2018 y plan de expansión nacional [22]. Las ventas pasaron de 6.000 M en 2017 a 38.718 M en 2025 y la acción multiplicó su valor por 15 hasta 2021 [1, 22]. Desde 2022 el plan «复兴纲领» marca la segunda fase (2025-2030): consolidar, no acelerar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1949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Nace la fábrica estatal de Xinghuacun.</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Shanghái (600809), primera empresa de baijiu cotizada.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Prohibición de banquetes oficiales: ventas de 6.250 M a 4.300 M.</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Reforma de Shanxi: contrato de objetivos y plan de expansión nacional.</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de China Resources (华创鑫睿) con el 11,45 %.</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liberada de 4 × 10; máximos en bolsa.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31.928 M; Fenjiu supera a Luzhou Laojiao.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Reglamento de austeridad (mayo); ventas de 38.718 M, beneficio plano; China Resources baja al 9,17 %.</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«Descenso activo»: ventas del 1S −12,2 % y beneficio −24,3 %.</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Fenjiu elabora y vende baijiu, el aguardiente de sorgo chino, de aroma ligero (清香型), con la marca Fenjiu (汾酒) y unos 6.000 años de tradición en Xinghuacun, Shanxi [1]. La gama va del Bofen (玻汾, unos 50-60 CNY la botella) al Qinghua 30 y 40 (más de 800 CNY): el Qinghua (青花) es la gama alta y el motor del margen, y el Bofen el volumen [22]. Vende el 93,5 % a través de 3.487 distribuidores de Fenjiu y 887 de otras marcas, que revenden a tiendas, restaurantes y empresas; el 6,5 % restante es venta directa, a grupos y en línea [1]. Produce en Fenyang (Shanxi): capacidad de 265.000 kl de producto terminado y un plan (2030) de 51.000 t de vino base al año y 134.400 t de almacenamiento [1]. El 65 % de las ventas ya es de fuera de Shanxi [1].</w:t>
      </w:r>
    </w:p>
    <w:p>
      <w:pPr>
        <w:pStyle w:val="Heading2"/>
      </w:pPr>
      <w:r>
        <w:t xml:space="preserve">Cómo gana dinero</w:t>
      </w:r>
    </w:p>
    <w:p>
      <w:pPr>
        <w:spacing w:after="100"/>
      </w:pPr>
      <w:r>
        <w:t xml:space="preserve">Margen bruto del 75 % (75,7 % en Fenjiu, 51,6 % en otras marcas) porque el coste es sorgo, trabajo y tiempo: el 61 % del coste de ventas es materia prima y el 29 % personal [1]. Del precio sale además un impuesto especial y recargos del 18 % de las ventas y un gasto comercial del 10-11 % (21 % en el 2T26) [1, 14]. El beneficio depende de tres palancas: la mezcla (cada punto de Qinghua sobre Bofen sube el margen), el precio de reventa en el canal (si cae por debajo del precio al distribuidor, el canal deja de pedir) y el apalancamiento operativo (el gasto de publicidad y personal es casi fijo: con ventas −17,7 % en el 2T26, el beneficio cayó un 43 %) [1, 14]. Estacionalidad fuerte: el 1T (Año Nuevo chino) es el 40-45 % de las ventas y el 4T el 15 %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Fenjiu (汾酒)</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37.441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Otras bebidas (竹叶青, 杏花村)</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ingresos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Fenjiu (汾酒)</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34.758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37.441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Otras bebidas (竹叶青, 杏花村)</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ingresos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Concentración baja: los cinco primeros clientes fueron el 12,0 % de las ventas en 2025, ninguno vinculado [1]. El cliente es el distribuidor, que paga por adelantado (anticipos de 7.007 M a fin de 2025) y tiene exclusiva por zona [1]. El poder de precios es real en la gama alta y débil hoy: el Qinghua 20 se revende en el canal por debajo de su precio de lista desde 2024 y la empresa subió el precio medio entre 2019 y 2023, pero en 2025 el ingreso por litro cayó un 11,8 % por la mezcla [1, 14, 18]. En 2026 la empresa prioriza «estabilizar el precio» a vender más [20].</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vendido (kl)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220.603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269.104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volumen con Bofen y venta directa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 medio por litro (CNY)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162,6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143,4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Mezcla hacia la gama popular; estimación propia con ventas y litros del informe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fuera de Shanxi</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22.374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25.202 M (2025); 12.997 M en el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 −14,2 % en el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motor de la década se frena: −11,5 % en el 2T26 [1, 7,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en Shanxi</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13.500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13.391 M (2025); 7.938 M en el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 −9,1 % en el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−30,1 % en el 2T26, por la retirada de existencias del canal [7,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Distribuidores de Fenjiu</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3.486 (fin de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3.487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estable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262 altas y 261 bajas en el semestre; en otras marcas, −286 netos [1,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Anticipos de distribuidores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8.672 M (fin de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7.007 M (fin de 2025); 6.658 M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Indicador adelantado de pedidos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 directa y en línea (peso)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 (2025); 6,6 % en el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+25,8 % en el 2T26 frente a −21,3 % de los distribuidores [1, 7, 14].</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baijiu en China, medido como ventas de las empresas por encima del umbral estadístico (NBS y la Asociación China de Bebidas Alcohólicas): 796.384 M CNY en 2024 [2]. Es la medida oficial y la misma que cita Fenjiu; incluye todos los aromas y precios. No hay cifra pública de 2025 en valor; la producción cayó un 12,1 % a 354,9 × 10⁴ kl [1, 16]. El mercado del aroma ligero (清香) es una parte (menos del 20 %, según brókeres), y la gama alta (más de 300 CNY) donde compite el Qinghua, otra; usamos el total para la prueba de cuota y lo decimos [22].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796.384 M CNY en 2024 (ventas de las empresas de baijiu por encima del umbral; 414,5 × 10⁴ kl) [2]; producción de 2025: 354,9 × 10⁴ kl (−12,1 %) [1, 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Contracción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CNY (ventas de las empresas de baijiu por encima del umbral estadístico))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Consumo oficial y de empresa (banquetes, regalos)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Reglamento de austeridad revisado en mayo de 2025: sin alcohol en las comidas de trabajo oficiales [15]; la producción de 2025 cayó un 12,1 % [16].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Deflación y crisis inmobiliaria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precios de reventa y el ingreso por litro bajan: −11,8 % en Fenjiu en 2025 [1]; Yanghe −31 % en volumen en el 1S26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Jóvenes que beben menos baijiu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Crecen el bajo grado, los licores de frutas y las bebidas de 50 ml; existencias viejas de Bofen en supermercados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en las marcas líderes («efecto Mateo»)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−12 % en 2025 y ventas de Fenjiu +7,5 %: las grandes ganan cuota [1, 16].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 del canal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cinco grandes retiraron existencias en 2026: Fenjiu −30 % en Shanxi en el 2T26 [14].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Expansión nacional del aroma ligero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Fuera de Shanxi, de 11.738 M (2021) a 25.202 M (2025) [1, 3].</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que encoge (producción −12 % en 2025) con Moutai, Wuliangye y Luzhou Laojiao bajando precios en la gama de 300-800 CNY donde está el Qinghua [14, 16].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Miles de distribuidores, pero en 2026 la empresa tuvo que relajar cobros y anticipos para que no abandonaran [14].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Sorgo de bases propias contratadas y envases con muchos proveedores; materia prima el 61 % de un coste que es el 25 % de las ventas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marca de baijiu de gama alta necesita décadas de historia y vino base envejecido; no hay entradas relevantes en 20 años [22].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Vino, cerveza premium, whisky y bebidas de bajo grado ganan con los jóvenes [18].</w:t>
            </w:r>
          </w:p>
        </w:tc>
      </w:tr>
    </w:tbl>
    <w:p>
      <w:pPr>
        <w:spacing w:after="160" w:before="0"/>
      </w:pPr>
    </w:p>
    <w:p>
      <w:pPr>
        <w:pStyle w:val="Heading2"/>
      </w:pPr>
      <w:r>
        <w:t xml:space="preserve">Ciclo</w:t>
      </w:r>
    </w:p>
    <w:p>
      <w:pPr>
        <w:spacing w:after="100"/>
      </w:pPr>
      <w:r>
        <w:t xml:space="preserve">El sector está en su tercer año de ajuste: la producción cae desde 2017 y en 2025 un 12,1 %, los precios de reventa de la gama alta bajan desde 2024 y en 2026 las grandes marcas venden menos que en 2025 (Fenjiu −12,2 % en el 1S, Yanghe −31 % en volumen) [1, 16, 19]. El anterior ajuste (2013-2015, tras la prohibición de los banquetes oficiales de 2012) duró unos tres años: las ventas de Fenjiu cayeron de 6.250 M en 2012 a 4.300 M en 2014 y volvieron a máximos en 2017 [22]. En 2020 y 2022 el sector aguantó por precio. Indicadores: producción mensual del NBS, precio de reventa del Qinghua 20 y anticipos de distribuidores.</w:t>
      </w:r>
    </w:p>
    <w:p>
      <w:pPr>
        <w:pStyle w:val="Heading2"/>
      </w:pPr>
      <w:r>
        <w:t xml:space="preserve">Regulación</w:t>
      </w:r>
    </w:p>
    <w:p>
      <w:pPr>
        <w:spacing w:after="100"/>
      </w:pPr>
      <w:r>
        <w:t xml:space="preserve">Tres normas pesan: el reglamento revisado de austeridad de mayo de 2025 (sin alcohol en comidas de trabajo oficiales y sin «banquetes» con dinero público), que tocó el consumo de empresas públicas y funcionarios, cerca de un tercio del consumo de gama alta según brókeres [14, 15]; el impuesto especial (20 % ad valorem más 0,5 CNY por 500 ml, sobre el precio de fábrica), con el riesgo recurrente de que se cobre en la venta al por menor y lo pague el canal [1]; y la norma nacional de etiquetado de baijiu (GB/T) que separa el baijiu «puro» del de mezcla. No hay cambios fiscales aprobados a la fecha de corte.</w:t>
      </w:r>
    </w:p>
    <w:p>
      <w:pPr>
        <w:pStyle w:val="Heading2"/>
      </w:pPr>
      <w:r>
        <w:t xml:space="preserve">Tendencias y disrupción</w:t>
      </w:r>
    </w:p>
    <w:p>
      <w:pPr>
        <w:spacing w:after="100"/>
      </w:pPr>
      <w:r>
        <w:t xml:space="preserve">Cuatro tendencias: (1) menos consumo oficial y de empresa, más consumo privado y de regalo a precios más bajos, que favorece a las marcas con escalera de precios amplia como Fenjiu [15, 20]; (2) jóvenes que beben menos y prefieren bajo grado y formatos pequeños: Fenjiu lanzó en 2026 el «陈皮汾酒», el «侏罗纪汾酒» y botellas de 50 ml [14]; (3) venta directa y en línea frente al distribuidor (+25,8 % en el 2T26 en Fenjiu) [14]; y (4) concentración: las marcas nacionales ganan a las provinciales pequeñas [1]. Fenjiu gana con (1) y (4) y se defiende en (2); pierde margen con (3) si es a costa de precio.</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4.º grupo de baijiu de China por ventas en 2025 (38.718 M, tras Moutai, Wuliangye y por delante de Luzhou Laojiao y Yanghe), 4,5 % de las ventas del sector en 2024; líder del aroma ligero (清香) [1, 2, 17].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Kweichow Moutai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600519.SS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173.238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Aroma de salsa (酱香), gama más alta; precio de reventa del Feitian en recuperación en 2026 [17,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Wuliangye Yibin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000858.SZ</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45.435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Aroma fuerte (浓香); Puwu (普五) a unos 900 CNY compite por arriba con el Qinghua 30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Luzhou Laojiao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000568.SZ</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24.404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Guojiao 1573; ventas −12 % previstas para 2026, el ajuste más parecido al de Fenjiu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Jiangsu Yanghe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002304.SZ</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14.956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Gama media (Haizhilan, Mengzhilan); volumen −31 % en el 1S26: el caso de lo que sale mal en un ajuste [17,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Anhui Gujing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000596.SZ</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15.084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Gama media y alta; competidor regional en Anhui y Henan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Jiangsu King’s Luck (Jinshiyuan)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603369.SS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9.667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Regional de Jiangsu, gama de 100-300 CNY donde compite el Laobaifen [17].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baijiu es un regalo y una bebida social: la marca reconocida vale más cuanto más se ve, pero no hay red en sentido estricto [12].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consumidor cambia de marca sin coste; el distribuidor exclusivo tiene algo de coste (anticipos, depósitos)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de más de 1.500 años, una de las «cuatro grandes famosas»; margen bruto del 75 % y EBIT del 42 % en 2025, que solo superan Moutai y Luzhou Laojiao [2,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aroma ligero se elabora en ciclos de 28 días en tinajas de barro, frente a los 9-12 meses del aroma de salsa: menos capital por litro [12].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Vino base envejecido (227.286 kl de semielaborado) y red de 3.487 distribuidores de Fenjiu que no se replican en una década [2].</w:t>
            </w:r>
          </w:p>
        </w:tc>
      </w:tr>
    </w:tbl>
    <w:p>
      <w:pPr>
        <w:spacing w:after="160" w:before="0"/>
      </w:pPr>
    </w:p>
    <w:p>
      <w:pPr>
        <w:pStyle w:val="Heading2"/>
      </w:pPr>
      <w:r>
        <w:t xml:space="preserve">Amenazas</w:t>
      </w:r>
    </w:p>
    <w:p>
      <w:pPr>
        <w:spacing w:after="100"/>
      </w:pPr>
      <w:r>
        <w:t xml:space="preserve">Tres amenazas: (1) que la caída del consumo de empresa y de regalo sea permanente y no cíclica (probabilidad media-alta): el Qinghua 20 y 30 compiten en la franja que más ha perdido con el reglamento de austeridad [15]; (2) guerra de precios de las grandes en 300-800 CNY: si Wuliangye y Luzhou bajan su precio de reventa, el Qinghua pierde su ventaja de precio (media) [14, 17]; y (3) los jóvenes: el baijiu pierde consumidores con cada generación (alta a 10 años, lenta) [18]. El foso de marca no desaparece, pero su rendimiento (margen EBIT) puede bajar de 42 % a 35 % durante años.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14.302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36.011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16.779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16.960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16.340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bl>
    <w:p>
      <w:pPr>
        <w:spacing w:after="160" w:before="0"/>
      </w:pPr>
    </w:p>
    <w:p>
      <w:pPr>
        <w:spacing w:after="100"/>
      </w:pPr>
      <w:r>
        <w:t xml:space="preserve">Crecimiento anual compuesto 2021-2025: ingresos </w:t>
      </w:r>
      <w:r>
        <w:rPr>
          <w:b/>
          <w:bCs/>
        </w:rPr>
        <w:t xml:space="preserve">18,0 %</w:t>
      </w:r>
      <w:r>
        <w:t xml:space="preserve">, EBITDA </w:t>
      </w:r>
      <w:r>
        <w:rPr>
          <w:b/>
          <w:bCs/>
        </w:rPr>
        <w:t xml:space="preserve">24,2 %</w:t>
      </w:r>
      <w:r>
        <w:t xml:space="preserve">, BPA </w:t>
      </w:r>
      <w:r>
        <w:rPr>
          <w:b/>
          <w:bCs/>
        </w:rPr>
        <w:t xml:space="preserve">23,1 %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CNY,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Fenjiu duplicó las ventas entre 2021 (19.971 M CNY) y 2025 (38.718 M) sin compras de empresas: todo orgánico, con la expansión fuera de Shanxi (de 11.738 M a 25.202 M) [1, 5]. El crecimiento se frenó del 31,3 % de 2022 al 7,5 % de 2025 y en 2025 fue de volumen, no de precio: se vendieron 269.104 kl (+22,0 %) a un ingreso medio de 143 CNY por litro frente a 163 en 2024 (−11,8 %), por el peso del Bofen (玻汾) barato [1]. El margen EBIT subió del 32,9 % (2021) al 45,0 % (2024) y bajó al 42,2 % en 2025: margen bruto del 74,9 % (−1,35 puntos) y más impuesto especial y publicidad [1, 2]. En el 1S26 las ventas cayeron un 12,2 % (21.044 M) y el beneficio un 24,3 % (6.439 M); el 2T26 fue peor: ventas −17,7 % y beneficio −43,1 %, con el gasto comercial subiendo un 51 % [6, 14].</w:t>
      </w:r>
    </w:p>
    <w:p>
      <w:pPr>
        <w:pStyle w:val="Heading2"/>
      </w:pPr>
      <w:r>
        <w:t xml:space="preserve">Ajustes y partidas no recurrentes</w:t>
      </w:r>
    </w:p>
    <w:p>
      <w:pPr>
        <w:spacing w:after="100"/>
      </w:pPr>
      <w:r>
        <w:t xml:space="preserve">Cifras publicadas (CAS), sin ajustes. En «coste de ventas» se suma al coste de producción el impuesto especial y los recargos (税金及附加: 6.916 M en 2025, el 17,9 % de las ventas), que en el baijiu es un coste del producto [1]. Para el EBIT se sacan del resultado de explotación los rendimientos de la tesorería (intereses, depósitos estructurados y certificados de depósito: 310 M en 2025, 499 M en 2023), que pasan al resultado financiero; las subvenciones (14 M) y los deterioros (casi nulos) se quedan en el EBIT [1]. El beneficio sin extraordinarios (扣非) es casi igual al publicado (12.253 M frente a 12.246 M en 2025) [1]. El dividendo de 2025 (6,56 CNY) es el 65,35 % del beneficio [12]; en el LTM se marca como extraordinaria la parte (1,76 CNY) que excede el 65 % de nuestro BPA de 2026e (7,39): estimación propia para no contar en la rentabilidad a 12 meses un dividendo que no se repetirá con el beneficio más bajo.</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22"/>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La empresa no publica la transcripción de sus conferencias; la del 1S26 (septiembre de 2026, plataforma de SSE) y la de 2025 se siguen por las notas de los brókeres [14]. El mensaje cambió entre abril y septiembre: en abril la dirección hablaba de «青花 crece, Bofen estable» y de cobros sanos (el 1T26 cayó un 9,7 % en ventas, pero el beneficio de Shanxi se mantuvo: +0,06 %) [8, 14]. En septiembre reconoció un «descenso activo» para quitar presión al canal: en el 2T26 bajó las exigencias de pago a los distribuidores (cobros −17,1 %, anticipos −1.250 M en el trimestre), recortó el Bofen y el Laobaifen y subió el gasto de publicidad y en el consumidor final (+51 %) [14]. Los analistas preguntaron por las existencias en el canal y por el precio de reventa del 青花20 (Qinghua 20); la dirección no dio cifras de ninguno de los dos [14]. Tampoco dio objetivo para el año: el plan de 2026 es «la estabilidad por encima de todo» [1].</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29.955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15.223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36.691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21.321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44.096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27.837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53.495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34.754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56.323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5.228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39.633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es de caja neta y de existencias: tesorería de 29.167 M a fin de 2025 (35.391 M a jun-26, antes del dividendo) frente a ninguna deuda bancaria, y existencias de 14.392 M (14.784 M a jun-26), de las que 7.727 M son vino base y semielaborado que envejece, más 114.942 kl de producto terminado [1, 6]. El circulante comercial con los anticipos (existencias + clientes − proveedores − anticipos) fue del 13,5 % de las ventas en 2025 frente al 12,1 % de 2021: las existencias crecieron algo menos que las ventas (+76 % frente a +94 %), pero los anticipos de distribuidores no crecieron (7.376 → 7.007 M) y pasaron del 37 % al 18 % de las ventas [1, 5]. Las existencias son un activo y no un problema de calidad (el baijiu no caduca y el vino base gana valor), pero atan caja: el plan 2030 de capacidad (9.102 M) lleva el almacenamiento de base a 134.400 t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10.438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12.243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12.246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41.894</w:t>
      </w:r>
      <w:r>
        <w:t xml:space="preserve">, conversión </w:t>
      </w:r>
      <w:r>
        <w:rPr>
          <w:b/>
          <w:bCs/>
        </w:rPr>
        <w:t xml:space="preserve">87 %</w:t>
      </w:r>
      <w:r>
        <w:t xml:space="preserve"> del beneficio neto; adquisiciones 0, dividendos 19.145, recompras 0.</w:t>
      </w:r>
    </w:p>
    <w:p>
      <w:pPr>
        <w:spacing w:after="100"/>
      </w:pPr>
      <w:r>
        <w:t xml:space="preserve">La conversión es alta pero irregular porque depende de los anticipos de los distribuidores y de los pagarés: flujo operativo de 10.310 M en 2022 (1,27 veces el beneficio), 7.225 M en 2023 (0,69 veces, por menos anticipos y más existencias), 12.172 M en 2024 (0,99) y 9.014 M en 2025 (0,74) [1, 2, 3]. El capex es bajo (1.194 M en 2025, el 3,1 % de las ventas; 486-826 M en 2022-2024), concentrado en el plan 2030 de capacidad de base y almacenamiento (9.102 M en total) y la base de Fenqing; no se separa mantenimiento y crecimiento, y estimamos el mantenimiento cerca de la amortización (≈ 620 M, 1,6 % de las ventas): estimación propia [1]. Casi toda la caja libre se reparte: dividendos de 7.393 M en 2025 (el 89 % del flujo libre) y 8.003 M en julio de 2026 [1, 13]. Los pagos de «otras actividades de financiación» (369 M en 2025) son arrendamientos [1].</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Tianheng CPA (天衡会计师事务所)</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en 2025, también la auditoría del control interno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0,96x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Tianheng audita desde 2024; antes, Dahua CPA (大华), cambio por rotación del concurso de auditor y no por desacuerdo [2]. No hay pagos en acciones, ni capitalización de I+D (174 M a gastos), ni fondo de comercio [1]. El reconocimiento de ingresos es al entregar al distribuidor: el riesgo de un sector como el baijiu es «llenar el canal» (sell-in por encima de lo que se bebe), que no se ve en los indicadores contables; las señales indirectas son el volumen +22 % con precio medio −11,8 % en 2025 y los anticipos a la baja [1]. Con las cuentas, el Beneish y el Altman salen limpios (sin deuda, sin cuentas por cobrar: 0,1 M); lo que hay que vigilar no está en el balance de Fenjiu sino en el de sus 3.487 distribuidores de Fenjiu [7]. Las operaciones con el grupo de control (558 M de compras en 2025, 433 M de envases a Wanyida) están autorizadas por la junta y son el 1,4 % de las ventas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+22 % con precio medio −11,8 % en 2025 y anticipos −19 %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por mezcla barata (Bofen) y posible carga del canal antes del ajuste de 2026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Anticipos de distribuidores −1.250 M en el 2T26 y cobros −17 %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relajó las exigencias de pago para aliviar al canal: menos ventas futuras «aseguradas» [6, 14].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Compras al grupo de control (envases, patrocinio del club de baloncesto)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558 M en 2025 (382 M en 2024), dentro del tope aprobado de 2.199 M [1].</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4"/>
        <w:gridCol w:w="985"/>
        <w:gridCol w:w="985"/>
        <w:gridCol w:w="985"/>
        <w:gridCol w:w="1095"/>
        <w:gridCol w:w="1095"/>
        <w:gridCol w:w="1095"/>
        <w:gridCol w:w="1204"/>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3.440</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2.712</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4.258</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6.733</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9.049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0 M en 2025 (el 0 % del capital invertido medio); ha subido más de un 5 % en 0 de 4 años: sin compras. Sin compras relevantes: el publicado ya es el ROIC del negocio.</w:t>
      </w:r>
    </w:p>
    <w:p>
      <w:pPr>
        <w:spacing w:after="100"/>
      </w:pPr>
      <w:r>
        <w:rPr>
          <w:b/>
          <w:bCs/>
        </w:rPr>
        <w:t xml:space="preserve">ROIC incremental</w:t>
      </w:r>
      <w:r>
        <w:t xml:space="preserve"> (variación del NOPAT sobre variación del capital invertido en el periodo): 120,8 % · </w:t>
      </w:r>
      <w:r>
        <w:rPr>
          <w:b/>
          <w:bCs/>
        </w:rPr>
        <w:t xml:space="preserve">WACC</w:t>
      </w:r>
      <w:r>
        <w:t xml:space="preserve">: 8,6 %.</w:t>
      </w:r>
    </w:p>
    <w:p>
      <w:pPr>
        <w:spacing w:after="100"/>
      </w:pPr>
      <w:r>
        <w:t xml:space="preserve">Fenjiu crea muchísimo valor: el ROIC fue del 133 % en 2025 frente a un WACC del 8,6 %, y del 154-291 % en 2021-2024 [1, 2, 3, 4, 5]. Sale tan alto porque el capital invertido sin la caja es pequeño (9.049 M en 2025): los distribuidores pagan por adelantado (7.007 M de anticipos) y las fábricas y bodegas son antiguas y están amortizadas. Con la caja dentro, el ROE es del 32,9 %. La tendencia es a la baja: el capital invertido se ha multiplicado por 2,6 desde 2021 por el vino base que envejece y el plan de capacidad 2030, y el beneficio dejó de crecer en 2025 [1]. Aun con el margen proyectado más bajo, el ROIC sigue muy por encima del coste de capital.</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-35.379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8.009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-27.371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Efectivo 9.721 M + depósitos a plazo 25.670 M a 30-jun-2026 (35.391 M; 2.569 M pignorados por pagarés comerciales) sin deuda bancaria; el dividendo de 2025 (8.003 M) estaba por pagar y se pagó el 31-jul-2026 [6,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El pasivo que importa no es deuda: los anticipos de distribuidores (合同负债) suman 7.007 M a fin de 2025 y 6.658 M a jun-26 (8.672 M a fin de 2024), un 18 % de las ventas; los distribuidores pagan antes de recibir el vino y la caja de la empresa los incluye [1, 6]. Se tratan como circulante (se compensan con entregas, no se devuelven en caja), pero son el indicador adelantado del canal: bajaron 1.250 M en el 2T26 porque la empresa relajó las exigencias de pago [14]. El dividendo de 2025 (8.009 M por pagar a 30-jun) se pagó el 31-jul [6, 13]. Los pagarés comerciales (2.078 M) están cubiertos con depósitos pignorados [6]. Sin pensiones, litigios ni garantías relevantes [1].</w:t>
      </w:r>
    </w:p>
    <w:p>
      <w:pPr>
        <w:pStyle w:val="Heading1"/>
      </w:pPr>
      <w:r>
        <w:t xml:space="preserve">12. Asignación de capital</w:t>
      </w:r>
    </w:p>
    <w:p>
      <w:pPr>
        <w:pStyle w:val="Confianza"/>
        <w:spacing w:after="100"/>
      </w:pPr>
      <w:r>
        <w:t xml:space="preserve">Confianza: Alta</w:t>
      </w:r>
    </w:p>
    <w:p>
      <w:pPr>
        <w:spacing w:after="100"/>
      </w:pPr>
      <w:r>
        <w:t xml:space="preserve">Plan de dividendos 2025-2027: cada año al menos el 65 % del beneficio atribuido, con posibilidad de dividendo a cuenta [1]. El de 2025 fue de 6,56 CNY por acción (8.003 M, 65,35 % del beneficio), pagado el 31-jul-2026 [12, 13]; el de 2024, 6,06 CNY entre a cuenta (2,46) y final (3,60) [2]. No hay recompras ni ampliaciones; la caja sobrante se queda en depósitos a plazo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1.214,6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1.217,6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1.220,0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La asignación de capital es sencilla y razonable: crecimiento orgánico, capex modesto y concentrado en capacidad de vino base (el activo que limita el crecimiento en baijiu de gama alta), y reparto creciente del beneficio (del 33 % de 2021 al 65 % de 2025) [1, 5]. La pega es la caja ociosa: 29.000-35.000 M en depósitos al 1,5-2 % sin recompras, con un accionista estatal que prefiere el dividendo [1, 6]. El ROIC incremental es alto mientras el negocio crecía; con ventas a la baja en 2026, el capital nuevo (existencias y capacidad) rinde menos [6].</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Yuan Qingmao (袁清茂)</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secretario del Partido) de Fenjiu y del grupo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Funcionario y gestor de empresas públicas de Shanxi (vicesecretario de Transporte, presidente de Shanxi Transportation Holding y de Shanxi Road &amp; Bridge); llegó al grupo en dic-2021. Con él las ventas pasaron de 19.971 M (2021) a 38.718 M (2025)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Wu Yuefei (武跃飞)</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director general del grupo Fenjiu</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Exvicealcalde ejecutivo de Shuozhou; director general del grupo desde dic-2024. La sociedad cotizada no tiene director general propio publicado en el informe anual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Zhang Yongyong (张永踊)</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Vicedirector general; director del centro de marketing</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Carrera comercial en Fenjiu (Zhuyeqing, empresa de ventas); el directivo mejor pagado (1,74 M CNY en 2025) y responsable de la expansión nacional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Liu Weihua (刘卫华)</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Exdirector de la empresa de ventas de Fenjiu; en el consejo desde 2015, el más veterano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 Peijie (李沛洁)</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Vicedirector general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 de la casa (auditoría, desarrollo, Baoquanyong)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Nuevo director financiero (总会计师)</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Sustituye en julio de 2026 a Wang Huai, que pasa a otro destino del Partido [27].</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+25 % «aproximadamente»</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+31,3 %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+20 % «aproximadamente»</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+21,8 %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+20 % «aproximadamente»</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+12,8 %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cifra («crecimiento estable»)</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+7,5 %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cifra («la estabilidad por encima de todo»)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 −12,2 %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dirección la nombra el gobierno de Shanxi y rota como funcionarios: el presidente viene de Transporte, el director general del grupo de una alcaldía, y en julio de 2026 se fueron a la vez el director financiero y el secretario del consejo [1, 27, 28]. La credibilidad de la guía se rompió en 2024 (+12,8 % frente al +20 % prometido) y desde entonces no da cifras [2]. Lo positivo: el equipo comercial es de la casa y estable, y el giro de 2026 (vender menos para no hundir el precio) es lo que el canal pedía [29]. No hay plan de sucesión ni incentivos en acciones; la remuneración es baja y fijada por el SASAC [1].</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Yuan Qingmao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Wu Yuefei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 Zhenhuan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Liu Weihua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 Wenjie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(China Resources)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Zhang Shoufu</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 los trabajadores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Zhou Peiyu</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 Linchun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Fan Yanping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He Zhen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sin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5,5 %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en 2025, también la auditoría del control interno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Shanxi Xinghuacun Fenjiu Group (SASAC de Shanxi)</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(estatal)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desde dic-2025 el 90 % del grupo lo tiene directamente el SASAC de Shanxi [1, 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Huachuang Xinrui (Hong Kong), de China Resources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industrial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Vendió 16,2 M acciones (1,33 %) en bloque del 21-oct al 1-dic-2025 por la liquidación de su fondo socio; dice no tener más planes de venta [24, 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índice de baijiu de China Merchants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índice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 M acciones en 2025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Hong Kong Securities Clearing (Stock Connect)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Inversores extranjeros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1,97 % a fin de 2025 y 1,82 % a jun-26; 2,75 % a fin de 2024 [1, 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 Fund Blue Chip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 M acciones en 2025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Shanxi Xinghuacun International Trade (grupo)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Grupo de control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cambios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46"/>
        <w:gridCol w:w="3381"/>
        <w:gridCol w:w="1521"/>
        <w:gridCol w:w="1690"/>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31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Zhang Shoufu (consejero de los trabajadores; ventas a lo largo de 2025)</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7.800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1,74 M</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presidente, los vicepresidentes y el consejero de China Resources no cobran de la sociedad cotizada (lo hacen del grupo o de su accionista); el directivo mejor pagado fue Zhang Yongyong con 1,74 M CNY antes de impuestos en 2025 y la alta dirección sumó 7,25 M [1]. La remuneración la fija el SASAC de Shanxi por un contrato de objetivos (ventas, beneficio y otros indicadores), sin acciones ni opciones y sin métricas de rentabilidad sobre capital ni de cotización [1]. La junta de 2026 aprobó el esquema de remuneración de consejeros con un 98,7 % a favor y un 1,3 % en contra (un 5,5 % en contra sin contar al grupo de control) [23]. Ratio sobre el salario medio: unas 6 veces (estimación propia: 1,74 M frente a 3.964 M de pagos al personal ÷ 14.026 empleados) [1].</w:t>
      </w:r>
    </w:p>
    <w:p>
      <w:pPr>
        <w:pStyle w:val="Heading2"/>
      </w:pPr>
      <w:r>
        <w:t xml:space="preserve">Operaciones vinculadas, estructura de control y defensas</w:t>
      </w:r>
    </w:p>
    <w:p>
      <w:pPr>
        <w:spacing w:after="100"/>
      </w:pPr>
      <w:r>
        <w:t xml:space="preserve">El grupo Fenjiu, del SASAC de Shanxi, controla el 57,3 % con su filial de comercio; China Resources es el segundo accionista (9,17 %) y propone un consejero [1, 25]. Una acción, un voto y sin blindajes, pero las decisiones las toma de hecho el gobierno provincial: nombra al presidente y a la dirección, fija la remuneración y aprueba el plan («复兴纲领») [1]. Operaciones vinculadas con el grupo de 558 M en 2025 (envases, patrocinio del club de baloncesto de Shanxi, alojamiento) [1, 31]. El riesgo para el minoritario no es expropiación (el grupo vive del dividendo), sino que la provincia priorice empleo, impuestos o estabilidad sobre rentabilidad [1].</w:t>
      </w:r>
    </w:p>
    <w:p>
      <w:pPr>
        <w:pStyle w:val="Heading2"/>
      </w:pPr>
      <w:r>
        <w:t xml:space="preserve">Señales de alerta</w:t>
      </w:r>
    </w:p>
    <w:p>
      <w:pPr>
        <w:pStyle w:val="ListParagraph"/>
        <w:numPr>
          <w:ilvl w:val="0"/>
          <w:numId w:val="2"/>
        </w:numPr>
        <w:spacing w:after="60"/>
      </w:pPr>
      <w:r>
        <w:t xml:space="preserve">Control estatal de Shanxi: dirección nombrada por la provincia y rotación de cargos (director financiero y secretario del consejo, julio de 2026) [1, 27, 28].</w:t>
      </w:r>
    </w:p>
    <w:p>
      <w:pPr>
        <w:pStyle w:val="ListParagraph"/>
        <w:numPr>
          <w:ilvl w:val="0"/>
          <w:numId w:val="2"/>
        </w:numPr>
        <w:spacing w:after="60"/>
      </w:pPr>
      <w:r>
        <w:t xml:space="preserve">Sin director general propio en la sociedad cotizada; el del grupo es vicepresidente [1].</w:t>
      </w:r>
    </w:p>
    <w:p>
      <w:pPr>
        <w:pStyle w:val="ListParagraph"/>
        <w:numPr>
          <w:ilvl w:val="0"/>
          <w:numId w:val="2"/>
        </w:numPr>
        <w:spacing w:after="60"/>
      </w:pPr>
      <w:r>
        <w:t xml:space="preserve">Venta en bloque de China Resources (1,33 %) en oct-dic de 2025 por la liquidación de su fondo socio [25].</w:t>
      </w:r>
    </w:p>
    <w:p>
      <w:pPr>
        <w:pStyle w:val="ListParagraph"/>
        <w:numPr>
          <w:ilvl w:val="0"/>
          <w:numId w:val="2"/>
        </w:numPr>
        <w:spacing w:after="60"/>
      </w:pPr>
      <w:r>
        <w:t xml:space="preserve">Compras al grupo de 558 M en 2025 (+46 %)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Fenjiu no da guía cuantificada desde 2025. El plan de 2026 (informe anual del 23-abr-2026) es «la estabilidad por encima de todo»: estabilizar el precio, sanear el canal y construir mercados «bastión» de más de 2.000 M; no hay objetivo de ventas ni de beneficio [6]. El compromiso cuantificado es el reparto: al menos el 65 % del beneficio en 2025-2027 [6]. En agosto de 2026 la empresa reiteró la estrategia de «bajar el ritmo» sin cifras [35].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86"/>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33.601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Media de seis brókeres tras el 1S26 (Soochow, Sinolink, Guosen, Kaiyuan, Huaxin, Guoyuan) [14, 35]; Yahoo, 7 analistas: 8,04 CNY y 34.155 M [34]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35.344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Media de seis brókeres [14, 35]; Yahoo: 8,62 CNY [34]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38.146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de seis brókeres [14, 35]</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33.453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33.601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12.545</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34.456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35.344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13.266</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36.524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38.146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14.609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153,53</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Revisiones de estimaciones</w:t>
      </w:r>
    </w:p>
    <w:p>
      <w:pPr>
        <w:spacing w:after="100"/>
      </w:pPr>
      <w:r>
        <w:t xml:space="preserve">Recortes fuertes y continuos: la media de BPA de 2026e pasó de unos 10,5 CNY en noviembre de 2025 a 9,9-10,2 en abril de 2026 y a 7,8 tras el 1S26 (−25 % en un año); la de 2027e, de 11,5 a 8,5 [14]. En Yahoo, el BPA de 2026e bajó de 9,80 a 8,04 en 90 días (−18 %) [34]. Los ingresos de 2026e esperados van de −11 % (Soochow) a −16 % (Kaiyuan) [35]. Todos los brókeres mantienen «comprar» o «sobreponderar» salvo uno («mantener»), con el argumento del dividendo y del suelo del ciclo [14].</w:t>
      </w:r>
    </w:p>
    <w:p>
      <w:pPr>
        <w:pStyle w:val="Heading1"/>
      </w:pPr>
      <w:r>
        <w:t xml:space="preserve">16. Comportamiento en bolsa</w:t>
      </w:r>
    </w:p>
    <w:p>
      <w:pPr>
        <w:pStyle w:val="Confianza"/>
        <w:spacing w:after="100"/>
      </w:pPr>
      <w:r>
        <w:t xml:space="preserve">Confianza: Media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-66,7 %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Fenjiu perdió un 35,6 % en un año con dividendos frente al −6,7 % del CSI 300 y el −29,1 % del ETF de licores, y un 66,7 % desde el máximo de diciembre de 2021 [32]. La caída tiene tres tramos: el reglamento de austeridad (mayo de 2025), los resultados de 2025 con beneficio plano y sin guía (abril de 2026) y el 1S26 (−12 % en ventas, −24 % en beneficio) con el mínimo de 103,64 CNY el 10-jul-2026 [6, 32]. Después rebotó un 13 % con el sector, que se usa como refugio cuando caen las tecnológicas [32]. La beta mensual de 5 años es 1,0 pero la semanal de 2 años 0,39: en el ajuste la acción va más con su sector que con el índice [32].</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 / -0,8 % / -13,5 % / -38,6 %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-41,6 % / +11,7 %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2026-10-29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con el sector de licores en el último mes del año, sin hecho propio de Fenjiu: China Resources acababa de vender el 1,33 % en bloque (hasta el 1-dic) y el mercado esperaba un 2026 de ajuste del canal [25, 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con el sector antes de los resultados de 2025, en plena temporada floja tras el Año Nuevo chino; los brókeres recortaban el BPA de 2026e (de 10,5 a 9,9-10,2 CNY) [14].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los resultados del 22-abr (2025 con beneficio plano, 1T26 con ventas −9,7 % y sin guía para 2026) la acción cayó con el sector; el 13-abr había salido el consejero de China Resources [1, 8, 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sector de licores cayó un 14 % en junio: las promociones del «618» en línea rompieron los precios, el Feitian de Moutai bajó de precio de reventa y el 2T es temporada floja; Fenjiu bajó de 128 a 106 CNY (−3,3 % el 8-jun, −3,8 % el 18-jun, −3,9 % el 23-jun) [32, 47].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Rebote desde el mínimo de 103,64 CNY del 10-jul con todo el sector, que se usa de refugio cuando caen las tecnológicas; el 31-jul la acción cayó un 6,4 % al descontar el dividendo de 6,56 CNY [13, 32, 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el 29-oct [39]. Base exigente: el 3T25 tuvo 8.960 M de ventas; los brókeres esperan otra caída de dos cifras [9, 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2026-08-28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1S26: ventas −12,2 % y beneficio −24,3 %; en el 2T26, ventas −17,7 % y beneficio −43,1 %, con Shanxi −30 %; anticipos de distribuidores −1.250 M en el trimestre [6, 7, 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2026-07-31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 del dividendo de 2025: 6,56 CNY por acción (8.003 M, el 65,35 % del beneficio) [12, 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2026-07-27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Dimiten «por cambio de trabajo» el director financiero (Wang Huai, que sigue en el comité del Partido) y el secretario del consejo (Xu Zhifeng); el consejo nombra a Song Yapeng director financiero y a un nuevo secretario el 28-jul, sin desacuerdos declarados [27, 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2026-06-16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de 2025: todo aprobado; la remuneración de los consejeros con un 1,31 % en contra (≈ 5,5 % del capital libre que votó) [23].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2026-04-22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2025 (ventas +7,5 %, beneficio +0,03 %) y del 1T26 (ventas −9,7 %, beneficio −19 %); plan de 2026 «la estabilidad por encima de todo», sin objetivo de ventas [1, 8, 48].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2026-04-13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 del consejo el consejero de China Resources [29].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2025-12-01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Resources (华创鑫睿) termina de vender 16,2 M de acciones en bloque (1,33 %) por la salida de un fondo socio; queda con el 9,17 % [24, 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los nueve meses de 2025: ventas +5,0 % y BPA +0,4 %; el 3T25, ventas +4,1 % [9].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2025-12-03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90 % del grupo de control pasa directamente al SASAC de Shanxi (se quita un nivel de la cadena de control); el control efectivo no cambia [26].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Fenjiu cae un 38,6 % en 12 meses, un 41,6 % desde el máximo de 52 semanas y un 65,6 % desde el máximo de 2021, y está un 14,5 % por debajo de su media de 200 sesiones, aunque un 11,7 % por encima del mínimo de julio [42]. Las causas son conocidas y están en la tesis: la austeridad oficial de mayo de 2025, la retirada de existencias del canal, el beneficio −24 % del 1S26 y la caída de todo el sector [6, 15]. No hay ningún hecho pendiente fuera del análisis: los resultados del 3T26 (29-oct) son el siguiente examen. Veredicto: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Fenjiu cotiza a 15,1 veces nuestro BPA de 2027e y 14,1 veces el de los próximos 12 meses del consenso, frente a un PER adelantado de 47,5x (2021), 33,3x (2022), 23,0x (2023), 18,4x (2024) y 23,3x (2025, con nuestro BPA de 2026e) [1, 2, 3, 4, 5, 32]: el mínimo de su historia reciente. Ha cambiado algo de verdad: el beneficio deja de crecer por primera vez en una década (plano en 2025, −24 % en el 1S26) y el sector encoge por la austeridad oficial y el consumo débil [1, 6, 15]. Por eso la regla v3 solo lleva el PER a mitad de camino hacia la mediana, con un tope de ×1,1 sobre el actual.</w:t>
      </w:r>
    </w:p>
    <w:p>
      <w:pPr>
        <w:pStyle w:val="Heading1"/>
      </w:pPr>
      <w:r>
        <w:t xml:space="preserve">18. Comparables cotizados</w:t>
      </w:r>
    </w:p>
    <w:p>
      <w:pPr>
        <w:pStyle w:val="Confianza"/>
        <w:spacing w:after="100"/>
      </w:pPr>
      <w:r>
        <w:t xml:space="preserve">Confianza: Media</w:t>
      </w:r>
    </w:p>
    <w:p>
      <w:pPr>
        <w:spacing w:after="100"/>
      </w:pPr>
      <w:r>
        <w:t xml:space="preserve">Las siete grandes destilerías de baijiu cotizadas en Shanghái y Shenzhen (Moutai, Wuliangye, Luzhou Laojiao, Yanghe, Gujing, Jinshiyuan y Yingjia) y Shede, más Diageo y Pernod Ricard como referencia mundial de bebidas alcohólicas de marca. Datos de Yahoo a 20-oct-2026 en millones de CNY; capitalización de Moutai corregida con sus 1.252,27 M de acciones y PER de Diageo pasado de peniques a dólares [17, 38].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Fenjiu</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143.175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Kweichow Moutai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1.667.873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Wuliangye Yibin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282.775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Luzhou Laojiao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104.932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Jiangsu Yanghe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57.215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Anhui Gujing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45.671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Jiangsu King's Luck (Jinshiyuan)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37.691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Anhui Yingjia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32.016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Shede Spirits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Diageo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350.504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Pernod Ricard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127.403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6"/>
        <w:gridCol w:w="1056"/>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14.332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 / 10,5x / 13,4x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145,45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180,11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 / 14,3x / 18,5x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118,87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154,32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35.799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2,9x / 3,4x / 3,6x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107,57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123,19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128,92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r>
    </w:tbl>
    <w:p>
      <w:pPr>
        <w:spacing w:after="160" w:before="0"/>
      </w:pPr>
    </w:p>
    <w:p>
      <w:pPr>
        <w:spacing w:after="100"/>
      </w:pPr>
      <w:r>
        <w:t xml:space="preserve">Fenjiu cotiza a 14,1 veces el beneficio de los próximos 12 meses, en la mediana del grupo (14,25x) y por debajo de Moutai (18,7x) y Wuliangye (17,9x), con el mayor crecimiento de ventas de las grandes hasta 2025 y un margen EBITDA del 44 % [38]. Luzhou Laojiao (13,0x), que hace el mismo ajuste de canal en 2026, cotiza parecido; Yanghe (30,6x) y Shede (85x) salen caros porque su beneficio se ha hundido, no por calidad. Diageo (≈ 13,9x) y Pernod (11,8x) muestran que las bebidas alcohólicas cotizan barato en todo el mundo por el menor consumo de los jóvenes [38].</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85"/>
        <w:gridCol w:w="1780"/>
        <w:gridCol w:w="1676"/>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Shanxi Fenjiu (11,45 %)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Resources (华创鑫睿)</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5.159 M CNY por el 11,45 % (≈ 50,2 CNY por acción antigua); compra de una participación minoritaria al grupo de control [44].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Shanxi Fenjiu (1,33 %)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Inversores en bloque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en bloque de China Resources a precio de mercado (descuento de bloque habitual) [25].</w:t>
            </w:r>
          </w:p>
        </w:tc>
      </w:tr>
    </w:tbl>
    <w:p>
      <w:pPr>
        <w:spacing w:after="160" w:before="0"/>
      </w:pPr>
    </w:p>
    <w:p>
      <w:pPr>
        <w:spacing w:after="160" w:before="0"/>
      </w:pPr>
    </w:p>
    <w:p>
      <w:pPr>
        <w:spacing w:after="100"/>
      </w:pPr>
      <w:r>
        <w:t xml:space="preserve">No hay compras de control de destilerías chinas grandes con múltiplos publicados: son estatales o provinciales y no se venden. La referencia más útil es la entrada de China Resources en 2018 (11,45 % por 5.159 M CNY, ≈ 50 CNY por acción) y su salida parcial en bloque en 2025 [25, 44]; Diageo tomó el control de Shui Jing Fang en 2013 por ≈ 1.000 M USD [43]. No entran en la síntesis (peso 0).</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Las ventas pasaron de 19.971 M en 2021 a 38.718 M en 2025 (+18 % anual) por la expansión fuera de Shanxi (de 11.738 M a 25.202 M) [1, 5]. En 2026 caen: −9,7 % en el 1T y −17,7 % en el 2T, con Shanxi −30 % en el 2T por la retirada de existencias del canal [6, 8, 14]. Proyectamos −13,6 % en 2026e (1S real y 2S −16 %), +3 % en 2027e, +6 % en 2028e y 2029e y una bajada gradual al 2 %: Fenjiu gana cuota (sus ventas subieron un 7,5 % en 2025 con la producción del sector −12 % [16]) en un mercado que no crece.</w:t>
      </w:r>
    </w:p>
    <w:p>
      <w:pPr>
        <w:keepNext/>
        <w:spacing w:after="100"/>
      </w:pPr>
      <w:r>
        <w:rPr>
          <w:b/>
          <w:bCs/>
        </w:rPr>
        <w:t xml:space="preserve">Márgenes.</w:t>
      </w:r>
    </w:p>
    <w:p>
      <w:pPr>
        <w:spacing w:after="100"/>
      </w:pPr>
      <w:r>
        <w:t xml:space="preserve">El margen EBITDA subió del 35,7 % en 2021 al 46,6 % en 2024 y bajó al 43,8 % en 2025 por la mezcla hacia Bofen y Laobaifen, más baratos (ingreso por litro −11,8 %) [1, 2]. En los 12 meses a jun-26 fue del 40,0 %: las ventas caen más que los gastos fijos y el impuesto especial va por volumen [6]. Proyectamos 37,5 % en 2026e (el 2S es la temporada floja), 38,5 % en 2027e y 40-41,5 % después, por debajo de 2023-2025.</w:t>
      </w:r>
    </w:p>
    <w:p>
      <w:pPr>
        <w:keepNext/>
        <w:spacing w:after="100"/>
      </w:pPr>
      <w:r>
        <w:rPr>
          <w:b/>
          <w:bCs/>
        </w:rPr>
        <w:t xml:space="preserve">Inversión y circulante.</w:t>
      </w:r>
    </w:p>
    <w:p>
      <w:pPr>
        <w:spacing w:after="100"/>
      </w:pPr>
      <w:r>
        <w:t xml:space="preserve">El capex fue del 3,1 % de las ventas en 2025 (1.194 M) y del 0,8-2,6 % en 2021-2024, con el plan 2030 de capacidad de vino base y almacenamiento (9.102 M en varios años) [1, 4]. Proyectamos un 3,5 % en 2026e-2027e y un 2,4 % a largo plazo. El circulante se queda en el 14,5 % de las ventas (13,5 % en 2025): el vino base que envejece crece con las ventas y los anticipos de los distribuidores ya no lo financian como antes [1, 6].</w:t>
      </w:r>
    </w:p>
    <w:p>
      <w:pPr>
        <w:keepNext/>
        <w:spacing w:after="100"/>
      </w:pPr>
      <w:r>
        <w:rPr>
          <w:b/>
          <w:bCs/>
        </w:rPr>
        <w:t xml:space="preserve">Coste del capital.</w:t>
      </w:r>
    </w:p>
    <w:p>
      <w:pPr>
        <w:spacing w:after="100"/>
      </w:pPr>
      <w:r>
        <w:t xml:space="preserve">Tasa libre del bono chino a 10 años (1,65 %; 1,6497 % el 19-oct-2026, ChinaBond [36]); beta de 0,9 (la mensual a 5 años es 1,0 y la semanal a 2 años 0,39 [32]); prima de mercado del 5,5 % y prima adicional del 2,0 % por China, el control estatal y el declive del consumo de baijiu. Sin deuda: WACC del 8,60 %. La prima implícita que pide hoy el mercado es del 4,2 % [37].</w:t>
      </w:r>
    </w:p>
    <w:p>
      <w:pPr>
        <w:keepNext/>
        <w:spacing w:after="100"/>
      </w:pPr>
      <w:r>
        <w:rPr>
          <w:b/>
          <w:bCs/>
        </w:rPr>
        <w:t xml:space="preserve">Valor terminal.</w:t>
      </w:r>
    </w:p>
    <w:p>
      <w:pPr>
        <w:spacing w:after="100"/>
      </w:pPr>
      <w:r>
        <w:t xml:space="preserve">Gordon con un crecimiento del 1,0 %, por debajo de la tasa libre: el mercado de baijiu encoge en volumen y Fenjiu solo puede crecer con cuota y precio. El valor terminal es el 54 % del valor de la empresa.</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7,43 %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8.072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47.120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4.802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6.577</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Flujo de caja libre para la empresa proyectado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179.240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195.547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71.556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83.932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155.488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35.379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182.454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149,56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De dónde sale el valor empresa del DCF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177,01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185,89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165,04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172,29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154,77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160,77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145,87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150,88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138,08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142,31</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150,70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159,01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154,26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162,81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157,81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166,62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161,37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170,42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164,92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174,22</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4.146 M (4 %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 (reinvierte el 11 %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 (histórico: 120,8 %)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 frente al 2,1 %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2030e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 (hoy: 4,5 %)</w:t>
            </w:r>
          </w:p>
        </w:tc>
      </w:tr>
    </w:tbl>
    <w:p>
      <w:pPr>
        <w:spacing w:after="160" w:before="0"/>
      </w:pPr>
    </w:p>
    <w:p>
      <w:pPr>
        <w:spacing w:after="100"/>
      </w:pPr>
      <w:r>
        <w:t xml:space="preserve">La proyección apenas necesita inversión neta de la amortización (reinversión acumulada de 4.146 M, el 4 % del NOPAT, con un capex bruto medio del 2,8 % de las ventas). En un negocio de activos ligeros, el crecimiento medio del 2,1 % tiene que salir de subir precios y de ganar volumen sin capital nuevo, y la prueba es el poder de precios y la cuota (5,8 % del mercado en 2030e, frente al 4,5 %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−8 % y precio y mezcla −5,6 %: retirada de existencias del canal (Shanxi −30 % en el 2T26) y más peso de Bofen [7, 14].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+1,5 % al acabar la retirada de existencias y precio +1,5 % con la estabilización del Qinghua.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+3 % (cuota fuera de Shanxi) y precio y mezcla +3 % (Qinghua 20 y 30).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2028e: ganancia de cuota con el mercado plano.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+2,5 % y precio +2,5 %, convergiendo al mercado.</w:t>
            </w:r>
          </w:p>
        </w:tc>
      </w:tr>
    </w:tbl>
    <w:p>
      <w:pPr>
        <w:spacing w:after="160" w:before="0"/>
      </w:pPr>
    </w:p>
    <w:p>
      <w:pPr>
        <w:spacing w:after="100"/>
      </w:pPr>
      <w:r>
        <w:t xml:space="preserve">Sí. La proyección crece un 2,1 % al año de media, la novena parte del 18 % de 2021-2025 [1, 5], y casi sin inversión neta: el crecimiento sale de cuota y precio, no de capital nuevo. La cuota del mercado de baijiu pasaría del 4,5 % de 2024 al 5,8 % en 2030e (40.651 M sobre ≈ 700.000 M) [2], dentro de lo que ha ganado en cuatro años (del 3,3 % en 2021 al 4,5 % en 2024) y por debajo de 1,5 veces la actual. El riesgo no es el crecimiento sino el margen, que ya baja.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-0,8 % (base: 3,9 %)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31,8 % (base: 41,5 %)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11,1 % (WACC: 8,6 %)</w:t>
            </w:r>
          </w:p>
        </w:tc>
      </w:tr>
    </w:tbl>
    <w:p>
      <w:pPr>
        <w:spacing w:after="160" w:before="0"/>
      </w:pPr>
    </w:p>
    <w:p>
      <w:pPr>
        <w:spacing w:after="100"/>
      </w:pPr>
      <w:r>
        <w:t xml:space="preserve">El DCF da 149,56 CNY por acción, un 27 % por encima del precio, con un WACC del 8,60 % y un crecimiento terminal del 1,0 %; el valor terminal es el 54 % del total y la caja neta (≈ 27.400 M tras el dividendo de julio, 22 CNY por acción) es el 15 % del valor. El precio de hoy equivale a que las ventas bajen un 0,8 % al año para siempre, o a una rentabilidad anual implícita del 11,1 % frente a un WACC del 8,6 %.</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baijiu sigue el camino de la cerveza en China: los jóvenes no lo beben, la austeridad oficial no se relaja y la deflación sigue. Las ventas de Fenjiu se quedan planas desde 2026, el margen EBITDA baja 3 puntos por promociones y crecimiento terminal nulo. DCF de 108 CNY (−8 %): la caja y el dividendo sostienen el valor.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149,56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retirada de existencias termina a mediados de 2027 y Fenjiu vuelve a crecer al 3-6 % ganando cuota fuera de Shanxi, con el margen EBITDA del 37,5 % al 41,5 %. DCF de 150 CNY (+27 %).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182,10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sector toca suelo en 2026 como en 2014-2015, el Qinghua 20 recupera precio y Fenjiu vuelve a crecer al 8-9 % con un margen del 43 %. DCF de 182 CNY (+55 %).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Valor por acción por escenario (CNY) · precio actual 117,3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bCs/>
        </w:rPr>
        <w:t xml:space="preserve">Valor ponderado por probabilidad:</w:t>
      </w:r>
      <w:r>
        <w:t xml:space="preserve"> 143,64 CNY (+22,4 %).</w:t>
      </w:r>
    </w:p>
    <w:p>
      <w:pPr>
        <w:spacing w:after="100"/>
      </w:pPr>
      <w:r>
        <w:t xml:space="preserve">Probabilidades del 30/50/20: más peso al bajista que al alcista porque el ajuste del sector todavía no ha tocado fondo (2T26 con el beneficio −43 %) [14]. Aun en el bajista el valor (108 CNY) está cerca del precio, porque el negocio tiene caja neta, poco capital y un margen alto. El valor ponderado es de 143,6 CNY.</w:t>
      </w:r>
    </w:p>
    <w:p>
      <w:pPr>
        <w:pStyle w:val="Heading1"/>
      </w:pPr>
      <w:r>
        <w:t xml:space="preserve">22. Suma de partes</w:t>
      </w:r>
    </w:p>
    <w:p>
      <w:pPr>
        <w:pStyle w:val="Confianza"/>
        <w:spacing w:after="100"/>
      </w:pPr>
      <w:r>
        <w:t xml:space="preserve">Confianza: Media</w:t>
      </w:r>
    </w:p>
    <w:p>
      <w:pPr>
        <w:spacing w:after="100"/>
      </w:pPr>
      <w:r>
        <w:t xml:space="preserve">No aplica: Fenjiu es un solo negocio de baijiu (el 97 % de las ventas en 2025), sin filiales cotizadas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4" name="Gráfico 24" descr="Valor por acción según cada método (CNY) · precio actual 117,3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117,36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203,58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118,87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154,32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149,56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165,04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143,64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182,10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173,49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186,64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117,36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117,95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143,18 CNY (+22,0 % sobre 117,36).</w:t>
      </w:r>
    </w:p>
    <w:p>
      <w:pPr>
        <w:spacing w:after="100"/>
      </w:pPr>
      <w:r>
        <w:t xml:space="preserve">El valor intrínseco (143,2 CNY, +22 %) sale en un 55 % del DCF (149,6), un 30 % de los escenarios (143,6 de media ponderada) y un 15 % de los comparables por PER (118,9). No usamos transacciones: no hay compras de control con múltiplos. Con la prima de riesgo que pide hoy el mercado (4,2 % en vez de 5,5 %), el DCF da 173 CNY. El precio descuenta que las ventas bajen un 0,8 % al año para siempre, lo mismo que el mercado de baijiu en nuestra previsión: no paga nada por la ganancia de cuota de Fenjiu.</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(15.1x) × 1.1 (tope: la mediana de 5 años, 23.3x,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141,93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210,34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+83,3 %</w:t>
            </w:r>
          </w:p>
        </w:tc>
      </w:tr>
    </w:tbl>
    <w:p>
      <w:pPr>
        <w:spacing w:after="160" w:before="0"/>
      </w:pPr>
    </w:p>
    <w:p>
      <w:pPr>
        <w:spacing w:after="100"/>
      </w:pPr>
      <w:r>
        <w:rPr>
          <w:b/>
          <w:bCs/>
        </w:rPr>
        <w:t xml:space="preserve">Objetivo a 12 meses (ponderado):</w:t>
      </w:r>
      <w:r>
        <w:t xml:space="preserve"> 142,16 CNY · rentabilidad +25,2 % (base +25,0 %) · señal Comprar.</w:t>
      </w:r>
    </w:p>
    <w:p>
      <w:pPr>
        <w:spacing w:after="100"/>
      </w:pPr>
      <w:r>
        <w:t xml:space="preserve">Para comparar, con la regla v2 (historia al cierre, mismo precio): 12,8x / 15,1x / 19,6x, 14,3 % Mantener; con el tope anterior del base (×1,3, 14-oct mediodía): 40,7 % Comprar.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2027e (7,77 CNY) está un 8 % por debajo de la media de seis brókeres tras el 1S26 (8,47 CNY) y el de 2028e (8,55 CNY) un 9 % por debajo (9,44 CNY) [14, 35]. Suponemos un 2S26 tan malo como el 2T26 (ventas −16 %) y una recuperación más lenta en 2027; el consenso viene de recortar un 25 % el BPA de 2026e en un año y probablemente seguirá recortando si el 3T26 vuelve a caer a dos cifras [14].</w:t>
      </w:r>
    </w:p>
    <w:p>
      <w:pPr>
        <w:keepNext/>
        <w:spacing w:after="100"/>
      </w:pPr>
      <w:r>
        <w:rPr>
          <w:b/>
          <w:bCs/>
        </w:rPr>
        <w:t xml:space="preserve">Del valor intrínseco al objetivo a 12 meses.</w:t>
      </w:r>
    </w:p>
    <w:p>
      <w:pPr>
        <w:spacing w:after="100"/>
      </w:pPr>
      <w:r>
        <w:t xml:space="preserve">El objetivo a 12 meses (142,2 CNY) da un 25,2 % con dividendo (25,0 % en el caso base) frente a 117,36 CNY: el PER de la regla v3 (16,6x) por nuestro BPA de 2028e (8,55), más un dividendo ordinario de ≈ 4,80 CNY (el 65 % de nuestro BPA de 2026e; el de 6,56 de 2025 no se repetirá con un beneficio menor) [12, 30]. El bajista (97,1 CNY: −17 % en precio y −13 % con dividendo) supone que el sector no toca suelo. La regla v2 (historia al cierre) da menos (14,3 %), porque su PER base es el de hoy: la compra depende de que el mercado devuelva algo de múltiplo cuando el beneficio deje de caer.</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2026-10-29</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[39]</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Dirá si la retirada de existencias del 2T26 (ventas −17,7 %, beneficio −43 %) se suaviza; el 3T25 fue de 8.960 M de ventas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2027-01 a 2027-02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Año Nuevo chino de 2027 (el 1T25 fue el 43 % de las ventas del año) [9]</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reventa del Qinghua 20 y pedidos de los distribuidores: separa el base del bajista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2027-04</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dividendo (al menos el 65 % del beneficio, plan 2025-2027) [30]</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de ≈ 4,8 CNY por acción (4,1 %) si el BPA es el nuestro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 la retirada de existencias del canal en el sector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cinco grandes vuelven a crecer; el PER suele recuperarse antes que el beneficio (2015)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Estímulos al consumo o relajación de la austeridad oficial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Volvería el consumo de empresa y banquetes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 de acciones o dividendo a cuenta (empresa estatal con 27.000 M de caja)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retorno al accionista; el plan «提质增效重回报» lo permite [30]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consumo de baijiu cae de forma estructural (austeridad oficial, deflación, jóvenes que beben menos)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 a 12 meses de 97 CNY (−13 % con dividendo); DCF de 108 CNY con ventas planas y 3 puntos menos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Fenjiu gana cuota (+7,5 % en 2025 con la producción del sector −12 %) y tiene precios medios, menos expuestos a los banquetes oficiales que Moutai [1, 16]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3T26 o del 1T27 por debajo del −15 %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 en los distribuidores: el ajuste del canal dura más de lo previsto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del BPA de 2028e ≈ −13 % del objetivo a 12 meses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ya recorta pedidos («la estabilidad por encima de todo»); 3.487 distribuidores estables [7, 20]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Anticipos de distribuidores por debajo de 6.000 M o Bofen viejo en supermercados [6, 18]</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del precio de reventa del Qinghua y más peso de los productos baratos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Cada punto de margen EBITDA ≈ −2,5 % del BPA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histórica y líder del aroma ligero, con el Qinghua 20 aún creciendo en 2026 según los distribuidores [21, 22]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 por litro otro −10 % en 2026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Control estatal de Shanxi: decisiones que no buscan el beneficio del accionista minoritario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Riesgo de asignación de la caja (27.000 M) y de operaciones con el grupo [31]</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Reparto de al menos el 65 % del beneficio hasta 2027 y cotización en el CSI 300 [30]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al grupo, inversiones fuera del baijiu o recorte del reparto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Rotación de directivos tras la salida del director financiero y del secretario del consejo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efecto directo en el valor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Sustitutos nombrados al día siguiente y sin desacuerdos con el consejo declarados [27, 28]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Cambios en el presidente o el director general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Riesgo de país y acceso por Stock Connect (cuotas, suspensiones, cambio de divisa)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Recogido en la prima adicional del 2,0 %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del CSI 300 con mucha liquidez (≈ 924 M CNY al día) [32, 40]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de la lista de Stock Connect o restricciones al capital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Riesgo de IA: bajo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 0 % a 3-5 años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no sustituye una bebida de regalo y celebración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Ninguna relevante</w:t>
            </w:r>
          </w:p>
        </w:tc>
      </w:tr>
    </w:tbl>
    <w:p>
      <w:pPr>
        <w:spacing w:after="160" w:before="0"/>
      </w:pPr>
    </w:p>
    <w:p>
      <w:pPr>
        <w:pStyle w:val="Heading2"/>
      </w:pPr>
      <w:r>
        <w:t xml:space="preserve">Pre-mortem</w:t>
      </w:r>
    </w:p>
    <w:p>
      <w:pPr>
        <w:spacing w:after="100"/>
      </w:pPr>
      <w:r>
        <w:t xml:space="preserve">Es octubre de 2029 y Fenjiu vale 80 CNY. Lo que pasó: la retirada de existencias de 2026 no fue un ciclo sino el principio de un declive como el de la cerveza en 2014-2020. La austeridad oficial se mantuvo, la deflación siguió y los menores de 35 años no adoptaron el baijiu en las comidas de empresa. Fenjiu protegió el volumen con Bofen y Laobaifen, más baratos, y el margen EBITDA bajó al 33 %. El PER se quedó en 12-13 veces, como Diageo y Pernod, y el dividendo bajó con el beneficio. La caja evitó una pérdida mayor.</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Neutral · </w:t>
      </w:r>
      <w:r>
        <w:rPr>
          <w:b/>
          <w:bCs/>
        </w:rPr>
        <w:t xml:space="preserve">Efecto en valor (3-5 años):</w:t>
      </w:r>
      <w:r>
        <w:t xml:space="preserve"> ≈ 0 % a 3-5 años en el valor del negocio</w:t>
      </w:r>
    </w:p>
    <w:p>
      <w:pPr>
        <w:spacing w:after="100"/>
      </w:pPr>
      <w:r>
        <w:t xml:space="preserve">El riesgo de IA es bajo. El baijiu se compra para regalar y celebrar, y su valor está en la marca, el envejecimiento del vino base y la red de distribución, que la IA no sustituye. Casi todo el coste es grano, impuesto especial, envejecimiento y transporte. La IA puede ayudar a la empresa a seguir las existencias del canal y a combatir falsificaciones (códigos de trazabilidad), pero no cambia el valor de forma apreciable.</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es el agua y el grano (el baijiu consume sorgo y mucha agua por litro), la energía de destilación y la seguridad alimentaria; Fenjiu publica informe ESG desde 2023 con datos de agua, energía y residuos y está aumentando el uso de electricidad verde [1]. El asunto social de fondo es el propio alcohol: el consumo de alcohol es un riesgo de salud reconocido y la regulación de publicidad y austeridad oficial es un riesgo de ventas, no solo de reputación [15].</w:t>
      </w:r>
    </w:p>
    <w:p>
      <w:pPr>
        <w:pStyle w:val="Heading2"/>
      </w:pPr>
      <w:r>
        <w:t xml:space="preserve">Controversias</w:t>
      </w:r>
    </w:p>
    <w:p>
      <w:pPr>
        <w:spacing w:after="100"/>
      </w:pPr>
      <w:r>
        <w:t xml:space="preserve">Sin sanciones de reguladores en los últimos tres años en los informes anuales [1]. Circulan en foros acusaciones de «vino falso» (假酒) que se refieren a falsificaciones de terceros, no a la empresa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Canal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meses de existencias tienen los distribuidores de Qinghua y Bofen y cuándo espera que termine la retirada?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no da la cifra y es lo que separa el base del bajista [6].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precio de reventa del Qinghua 20 frente al de hace un año?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la marca aguanta el ajuste [21].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bruto espera con más peso de Bofen y Laobaifen?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ingreso por litro bajó un 11,8 % en 2025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no recompra acciones con 27.000 M de caja neta y la acción en mínimos de múltiplo?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Sería la mejor asignación de capital posible a 15 veces el beneficio [6].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salieron a la vez el director financiero y el secretario del consejo en julio?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salidas a la vez en una empresa estatal [27, 28].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Existencias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valor contable y qué edad tiene el vino base almacenado y cuánto se puede vender como añejo?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 8.000 M del balance y la reserva de calidad de la marca [6].</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Negativo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Eastmoney Guba (600809)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Frustración de pequeños accionistas atrapados que hacen compraventa intradía («cada subida se devuelve en un día», «vendo a 118 y recompro a 115») y lo usan como valor refugio cuando caen las tecnológicas; casi nadie habla del negocio [45].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Eastmoney Guba, hilos de análisis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Debate entre «el baijiu no es un ciclo, es un hundimiento estructural» y «suelo del ciclo con dividendo del 5 %»; algunos fijan un valor de 70 CNY y otros de 150 [46].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Comentarios a la prensa de consumo (36Kr)</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Botellas de Bofen de 2023 sin vender en supermercados; los jóvenes cambian a bebidas de bajo grado [18].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Hundimiento estructural del baijiu (jóvenes, austeridad oficial)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lo apoyan en volumen (producción −12 % en 2025) pero no en las marcas grandes: Fenjiu creció un 7,5 % en 2025 y cae un 12 % en 2026 [1, 16].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refugio y dividendo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de 6,56 CNY (5,6 % al precio de hoy) que con nuestro BPA bajará a ≈ 4,8 (4,1 %) [12].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 en el canal y precio de reventa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no da cifras; los anticipos bajaron un 19 % en 2025 y 1.250 M en el 2T26 [1, 14].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Resultados del 3T (29-oct)</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Base exigente: el 3T25 tuvo 8.960 M de ventas; los brókeres esperan otra caída de dos cifras [1, 35].</w:t>
            </w:r>
          </w:p>
        </w:tc>
      </w:tr>
    </w:tbl>
    <w:p>
      <w:pPr>
        <w:spacing w:after="160" w:before="0"/>
      </w:pPr>
    </w:p>
    <w:p>
      <w:pPr>
        <w:spacing w:after="100"/>
      </w:pPr>
      <w:r>
        <w:t xml:space="preserve">El particular chino está cansado y especula a corto plazo; no hay euforia ni capitulación con volumen. La conversación se centra en si el baijiu es un ciclo o un declive, que es la pregunta del informe: nuestros escenarios dan peso a las dos lecturas. No anticipa nada que no esté en el informe y va en contra del consenso de analistas, que sigue en «comprar». Si los resultados del 3T confirman otra caída de dos cifras, el tono puede pasar a capitulación, que suele coincidir con suelos de precio en el sector (2014-2015).</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20 de 21 controles correctos y 1 explicados. Fuentes: 48 (26 primarias); citas distintas en el texto: 48.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5,8 % en 2030e frente al 4,5 %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14,5 % frente a 13,5 % real: genera una variación de circulante de -377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54 %.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 robusta (v3 y v2 dan Comprar)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v2 (historia al cierre) da Mantener con 14,3 %: para comprar o ampliar hace falta motivo de negocio propio; para mantener basta la vigente. Explicación: La regla vigente (v3) da Comprar (25,2 % y 25,0 %) y la de control (v2) Mantener (14,4 %), porque v2 toma como PER base el de hoy y v3 lo lleva a mitad de camino hacia la mediana con el tope de ×1,1. No hay un motivo de negocio propio que compense: por eso la recomendación es Comprar con convicción baja y la acción robusta, Mantener; sería robusta por debajo de 115,48 CNY (robustez.mjs).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«Alta» (las dos reglas dan Comprar, rentabilidad del 26,1 %, asimetría de 6,99, bajista del -7,9 % y el precio descuenta 4,7 puntos menos de crecimiento que el caso base)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48 fuentes (26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y 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trimestrales CAS: no publican la amortización trimestral; 2) informes semestrales: solo semestre; 3) notas de brókeres: sin consenso previo por trimestre publicado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nota de préstamos: sin deuda bancaria; 2) semestral 2026: sin préstamos; 3) arrendamientos: 12 M a corto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2021-2023 en la segmentación vigente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solo reexpresa 2024; 2) informes 2022-2024: otra segmentación («otros licores» de 7.107-9.342 M); 3) semestral 2025: reexpresado solo el 1S25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ESG 2025: no cita calificaciones externas; 2) búsqueda de MSCI y Sustainalytics para 600809: sin página pública; 3) prensa: Wind ESG sin cifra abierta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de Fenjiu: sin cuota del sector; 2) Asociación China de Bebidas Alcohólicas: sin cifra de 2025 en abierto; 3) suma de ventas de las cinco cotizadas grandes entre el total de 2024: ≈ 46 %, pero mezcla perímetros (estimación no usada)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margen_ebit_pct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margen EBITDA en comparables; 2) informes anuales de cada competidor: no leídos uno a uno por tiempo; 3) brókeres: sin tabla homogénea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remuneracion_ceo.fijo y variable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solo el total antes de impuestos; 2) informe de remuneraciones: no se publica aparte en China; 3) junta de 2026: solo el esquema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importe de las ventas del consejero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solo acciones (−7.800); 2) SSE, registro de cambios de participación de directivos: sin precio en el resumen; 3) prensa: sin dato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SSE, préstamo de valores: sin posición corta publicada por valor; 2) Eastmoney, margen: solo saldo de financiación (1.189 M, préstamo de valores casi nulo); 3) prensa: sin dato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múltiplos de operaciones de control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Anuncios de CNINFO del sector: sin compras de control de destilerías grandes con cifras; 2) Diageo-Shui Jing Fang (2013): sin EBITDA publicado; 3) prensa: múltiplos no verificables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recomendaciones por tipo y objetivos mínimo y máximo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Yahoo: solo media («buy») y objetivo medio; 2) Eastmoney: las notas chinas no siempre dan objetivo; 3) MarketScreener: sin acceso sin suscripción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2025年年度报告 (informe anual 2025, normas chinas CAS): estados consolidados 2025 y 2024, ventas por producto, región y canal, volumen, existencias de base, distribuidores, depósitos a plazo y dividendos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Shanxi Xinghuacun Fen Wine Factory (CNINFO/SSE)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http://static.cninfo.com.cn/finalpage/2026-04-23/1225156714.PDF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2024年年度报告 (informe anual 2024, CAS): estados 2024 y 2023, cambio de auditor, dividendo a cuenta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Shanxi Fenjiu (CNINFO/SSE)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http://static.cninfo.com.cn/finalpage/2025-04-30/1223414537.PDF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2023年年度报告 (informe anual 2023, CAS): estados 2023 y 2022, depósitos a plazo y certificados de depósito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Shanxi Fenjiu (CNINFO/SSE)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http://static.cninfo.com.cn/finalpage/2024-04-26/1219833278.PDF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2022年年度报告 (informe anual 2022, CAS): estados 2022 y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Shanxi Fenjiu (CNINFO/SSE)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http://static.cninfo.com.cn/finalpage/2023-04-28/1216642516.PDF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2021年年度报告 (informe anual 2021, CAS): estados 2021, depósitos estructurados y dividendo de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Shanxi Fenjiu (CNINFO/SSE)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http://static.cninfo.com.cn/finalpage/2022-04-28/1213168989.PDF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2026年半年度报告 (informe semestral 2026, CAS): balance a 30-jun-2026, cuenta y flujos del 1S26, existencias, depósitos y dividendo por pagar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Shanxi Fenjiu (CNINFO/SSE)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http://static.cninfo.com.cn/finalpage/2026-08-31/1225535289.PDF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2026年半年度经营数据公告 (datos operativos del 1S26: ventas por producto, canal y región; distribuidores)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Shanxi Fenjiu (CNINFO/SSE)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http://static.cninfo.com.cn/finalpage/2026-08-31/1225534145.PDF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2026年第一季度报告 y 2026年第一季度经营数据公告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Shanxi Fenjiu (CNINFO/SSE)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http://static.cninfo.com.cn/finalpage/2026-04-30/1225254545.PDF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2025年第三季度报告 y 2025年前三季度经营数据公告 (9M25)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Shanxi Fenjiu (CNINFO/SSE)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http://static.cninfo.com.cn/finalpage/2025-10-31/1224771965.PDF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2025年半年度报告 (informe semestral 2025, CAS): cuenta y flujos del 1S25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Shanxi Fenjiu (CNINFO/SSE)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http://static.cninfo.com.cn/finalpage/2025-08-29/1224606161.PDF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Estados financieros estructurados de 600809 (利润表, 资产负债表, 现金流量表) 2018-1S26: copia de los CAS usada para no transcribir a mano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Eastmoney F10</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https://emweb.securities.eastmoney.com/PC_HSF10/NewFinanceAnalysis/Index?code=SH600809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关于2025年度利润分配预案的公告 (dividendo de 2025: 6,56 CNY por acción, 8.003 M, el 65,35 % del beneficio)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Shanxi Fenjiu (CNINFO/SSE)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http://static.cninfo.com.cn/finalpage/2026-04-23/1225156722.PDF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2025年年度权益分派实施公告 (pago del dividendo de 2025 el 31-jul-2026, sobre 1.219.964.222 acciones)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Shanxi Fenjiu (CNINFO/SSE)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http://static.cninfo.com.cn/finalpage/2026-07-27/1225442097.PDF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Notas de resultados del 1S26 de Soochow (东吴), Sinolink (国金), Guosen (国信) y Kaiyuan (开源): 2T26 por producto, región y canal, cobros y anticipos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Soochow, Sinolink, Guosen y Kaiyuan Securities (vía Eastmoney)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https://data.eastmoney.com/report/stock.jshtml?code=600809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党政机关厉行节约反对浪费条例 (reglamento revisado de austeridad del Partido y la Administración: «工作餐不上酒», sin alcohol en las comidas de trabajo oficiales)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Comité Central del PCCh y Consejo de Estado (vía The Paper)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https://www.thepaper.cn/newsDetail_forward_30840782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统计局: 2025年1-12月白酒产量354.9万千升, −12,1 % (producción de 2025 y siete años de caída)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Eastmoney (prensa económica, cita al NBS)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https://caifuhao.eastmoney.com/news/20260331065728093727720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Kweichow Moutai, Wuliangye, Luzhou Laojiao, Yanghe, Gujing, Jinshiyuan, Yingjia, Shede, Diageo y Pernod Ricard: cuentas y últimos 12 meses (ficha de Yahoo Finance)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Fenjiu now has old stock dating back to 2023 (existencias viejas de Bofen en supermercados; ventas de bajo grado y de licores de frutas al alza)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36Kr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https://eu.36kr.com/en/p/3947903995739528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Yanghe’s baijiu sales fell 31.36% in the first half (volumen de Yanghe −31 % en el 1S26)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Vinetur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https://www.vinetur.com/en/20260828106246/yanghes-baijiu-sales-fell-3136-in-the-first-half.html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汾酒发布2026年半年报：稳前行蓄力，以长期主义穿越行业周期 (estrategia «复兴纲领» 2022-2030 y ajuste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Xinhua Finance (cnfin.com)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https://www.cnfin.com/sl-lb/detail/20260830/4462416_1.html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财报观察室丨“稳健压倒一切”，汾酒一季报锁“稳”求“远” (1T26: Qinghua 20 +20-30 % según distribuidores; plan de mercados «bastión»)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Beijing News (新京报)</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https://www.bjnews.com.cn/detail/1777522050169428.html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Soochow «全国化2.0深度扎根» (feb-2026): historia, cuota de aroma ligero, estructura de productos y precios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Soochow Securities (东吴证券)</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https://pdf.dfcfw.com/pdf/H3_AP202602091819837563_1.pdf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2025年度股东会决议公告 (votaciones de la junta del 16-jun-2026)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Shanxi Fenjiu (CNINFO/SSE)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http://static.cninfo.com.cn/finalpage/2026-06-17/1225374611.PDF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关于股东通过大宗交易方式转让股份计划的公告 (plan de venta de hasta 16.200.599 acciones de 华创鑫睿 por la salida del fondo socio)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Shanxi Fenjiu (CNINFO/SSE)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http://static.cninfo.com.cn/finalpage/2025-09-22/1224672902.PDF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股东减持股份结果公告 (华创鑫睿 vendió 16.200.599 acciones del 21-oct al 1-dic-2025; queda con el 9,17 %)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Shanxi Fenjiu (CNINFO/SSE)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http://static.cninfo.com.cn/finalpage/2025-12-04/1224847290.PDF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关于控股股东与实际控制人之间产权层级减少的提示性公告 (el 90 % del grupo pasa al SASAC de Shanxi)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Shanxi Fenjiu (CNINFO/SSE)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http://static.cninfo.com.cn/finalpage/2025-12-03/1224843831.PDF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关于公司高级管理人员离任暨聘任总会计师的公告 (salida del director financiero Wang Huai, 27-jul-2026)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Shanxi Fenjiu (CNINFO/SSE)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http://static.cninfo.com.cn/finalpage/2026-07-29/1225444318.PDF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关于董事会秘书离任暨聘任董事会秘书的公告 (salida del secretario del consejo, 27-jul-2026)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Shanxi Fenjiu (CNINFO/SSE)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http://static.cninfo.com.cn/finalpage/2026-07-29/1225444330.PDF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关于公司董事离任的公告 (salida del consejero de China Resources, 13-abr-2026)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Shanxi Fenjiu (CNINFO/SSE)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http://static.cninfo.com.cn/finalpage/2026-04-15/1225100295.PDF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2026年度“提质增效重回报”行动方案 y 关于2025-2027年度股东分红回报规划的公告</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Shanxi Fenjiu (CNINFO/SSE)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http://static.cninfo.com.cn/finalpage/2026-04-23/1225156784.PDF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关于2026年度日常关联交易计划的公告 (operaciones con el grupo de control)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Shanxi Fenjiu (CNINFO/SSE)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http://static.cninfo.com.cn/finalpage/2026-04-23/1225156723.PDF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600809.SS, 510300.SS (ETF del CSI 300) y 512690.SS (ETF de licores)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https://finance.yahoo.com/quote/600809.SS/history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Cotización de sh600809 al cierre del 20-oct-2026 (117,36 CNY, dato de las 15:34:59 de Pekín)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Sina Finance (hq.sinajs.cn)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https://hq.sinajs.cn/list=sh600809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Shanxi Fenjiu (600809.SS): estimaciones de BPA y ventas 2026e-2027e (earningsTrend, 7 analistas), objetivo medio de 14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https://finance.yahoo.com/quote/600809.SS/analysis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Notas del 1S26: Soochow (BPA 8,18/9,00/10,10), Sinolink (6,92/7,47/8,44), Guosen (8,22/8,60/9,67) y Kaiyuan (7,61/8,47/9,09)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Soochow, Sinolink, Guosen, Kaiyuan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https://pdf.dfcfw.com/pdf/H3_AP202608311828791076_1.pdf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Curva de la deuda pública china (中债国债收益率曲线), 10 años a 19-oct-2026: 1,6497 %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ChinaBond (中央国债登记结算)</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https://yield.chinabond.com.cn/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de comparables (capitalización, valor empresa, ventas, EBITDA, PER adelantado, flujo libre) de diez empresas de bebidas alcohólicas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Calendario de publicación de resultados (预约披露): 3T26 el 29-oct-2026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Eastmoney (datos de SSE)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https://data.eastmoney.com/bbsj/yysj.html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List of SSE Securities / China Connect Securities (eligible for both buy and sell), actualizada el 20-oct-2026: n.º 725, 600809, 90809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HKEX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https://www.hkex.com.hk/-/media/HKEX-Market/Mutual-Market/Stock-Connect/Eligible-Stocks/View-All-Eligible-Securities_xls/SSE_Securities.xls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Hong Kong - China Stock Connect (cuota diaria, ChiNext y STAR solo para inversores profesionales institucionales, comisión del 0,08 %, lotes de 100)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Interactive Brokers (base de conocimiento)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https://ibkb.interactivebrokers.com/article/2267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Movimiento del precio (movimiento.mjs y movimiento-precio.mjs) de 600809.SS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https://finance.yahoo.com/quote/600809.SS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adquisiciones y desinversiones (Shui Jing Fang, 2013: control por 1.000 M USD aprox.; venta de la participación en Guinness Nigeria,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(notas de 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jul 2013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https://www.diageo.com/en/news-and-media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2018年 华润创业 entra en Fenjiu: compra del 11,45 % al grupo por 5.159 M CNY (≈ 50,2 CNY por acción)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Shanxi Fenjiu (anuncio de cambio de accionistas, vía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jun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http://www.cninfo.com.cn/new/disclosure/stock?stockCode=600809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de Eastmoney (东方财富股吧) de 600809: unas 150 entradas del 13 al 20-oct-2026 (tres páginas)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Eastmoney Guba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https://guba.eastmoney.com/list,600809.html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Hilos largos del mismo foro: «白酒不是周期，是结构性崩塌» (14-oct, 3.061 lecturas, 48 respuestas) y «为什么现在选择建仓泸州老窖？» (15-oct)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Eastmoney Guba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https://guba.eastmoney.com/list,600809_2.html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618电商促销冲击价格体系 白酒板块集体回调多股跌超 2% (el sector de licores cae en junio por las promociones del 618; Fenjiu −3 %)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Tonghuashun (10jqka) / Beijing Business Today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https://stock.10jqka.com.cn/20260618/c677563211.shtml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山西汾酒:2025年稳健穿越行业周期 2026年Q1主动调优蓄力长远 (resultados de 2025 y del 1T26, 22-abr-2026)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Jiemian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https://m.jiemian.com/article/14361782.html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85,4 %</w:t>
      </w:r>
      <w:r>
        <w:t xml:space="preserve"> · Secciones con menos del 60 % de campos cubiertos: </w:t>
      </w:r>
      <w:r>
        <w:rPr>
          <w:b/>
          <w:bCs/>
        </w:rPr>
        <w:t xml:space="preserve">capital, consenso</w:t>
      </w:r>
      <w:r>
        <w:t xml:space="preserve"> · Generado el 20 oct 2026.</w:t>
      </w:r>
    </w:p>
    <w:p>
      <w:pPr>
        <w:pStyle w:val="Nota"/>
        <w:spacing w:after="100"/>
      </w:pPr>
      <w:r>
        <w:t xml:space="preserve">Cuentas en millones de CNY, en normas chinas (CAS), de los informes anuales 2021-2025, el semestral de 2026 y los trimestrales de CNINFO/SSE [1, 2, 3, 4, 5, 6, 7, 8, 9, 10]; las cifras se toman de la copia estructurada de Eastmoney y se contrastan con los PDF (ventas, beneficio, caja, existencias y anticipos cuadran) [11]. El sector no publica ventas en valor de 2025: el mercado de 2030e es una estimación propia sobre la serie oficial hasta 2024 [2]. No hay guía cuantificada desde 2025 ni datos de existencias en los distribuidores: el ajuste del canal se lee en los anticipos y en las notas de brókeres [6, 14]. Cotiza en el mercado principal de Shanghái (acciones A en CNY): un particular puede comprarla desde IBKR por Stock Connect Northbound (600809 está en la lista de valores comprables y vendibles del 20-oct-2026, código CCASS 90809; solo STAR y ChiNext están reservados a institucionales) [40, 41], con la salvedad de que la página de IBKR dice que la entidad de Hong Kong (IBHK) no ofrece el servicio: hay que comprobarlo en la cuenta antes de la orden. Precio: cierre del 20-oct-2026 [33].</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20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Shanxi Xinghuacun Fen Wine Factory Co., Ltd. (山西杏花村汾酒厂股份有限公司) (600809)</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(CNY) · precio actual 117,36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(103,64 – 203,58)</c:v>
                </c:pt>
                <c:pt idx="1">
                  <c:v>Comparables: PER NTM (116,16 – 154,32)</c:v>
                </c:pt>
                <c:pt idx="2">
                  <c:v>DCF (WACC y g ± 0,5) (137,58 – 165,04)</c:v>
                </c:pt>
                <c:pt idx="3">
                  <c:v>Escenarios (bajista – alcista) (108,12 – 182,10)</c:v>
                </c:pt>
                <c:pt idx="4">
                  <c:v>DCF con la prima implícita del mercado (4,2 %)</c:v>
                </c:pt>
                <c:pt idx="5">
                  <c:v>Precio actual (117,36)</c:v>
                </c:pt>
              </c:strCache>
            </c:strRef>
          </c:cat>
          <c:val>
            <c:numRef>
              <c:f>Hoja1!$B$2:$B$7</c:f>
              <c:numCache>
                <c:formatCode>#,##0</c:formatCode>
                <c:ptCount val="6"/>
                <c:pt idx="0">
                  <c:v>103.64</c:v>
                </c:pt>
                <c:pt idx="1">
                  <c:v>116.16</c:v>
                </c:pt>
                <c:pt idx="2">
                  <c:v>137.58</c:v>
                </c:pt>
                <c:pt idx="3">
                  <c:v>108.12</c:v>
                </c:pt>
                <c:pt idx="4">
                  <c:v>162.26</c:v>
                </c:pt>
                <c:pt idx="5">
                  <c:v>116.77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(103,64 – 203,58)</c:v>
                </c:pt>
                <c:pt idx="1">
                  <c:v>Comparables: PER NTM (116,16 – 154,32)</c:v>
                </c:pt>
                <c:pt idx="2">
                  <c:v>DCF (WACC y g ± 0,5) (137,58 – 165,04)</c:v>
                </c:pt>
                <c:pt idx="3">
                  <c:v>Escenarios (bajista – alcista) (108,12 – 182,10)</c:v>
                </c:pt>
                <c:pt idx="4">
                  <c:v>DCF con la prima implícita del mercado (4,2 %)</c:v>
                </c:pt>
                <c:pt idx="5">
                  <c:v>Precio actual (117,36)</c:v>
                </c:pt>
              </c:strCache>
            </c:strRef>
          </c:cat>
          <c:val>
            <c:numRef>
              <c:f>Hoja1!$C$2:$C$7</c:f>
              <c:numCache>
                <c:formatCode>#,##0</c:formatCode>
                <c:ptCount val="6"/>
                <c:pt idx="0">
                  <c:v>99.94000000000001</c:v>
                </c:pt>
                <c:pt idx="1">
                  <c:v>38.16</c:v>
                </c:pt>
                <c:pt idx="2">
                  <c:v>27.45999999999998</c:v>
                </c:pt>
                <c:pt idx="3">
                  <c:v>73.97999999999999</c:v>
                </c:pt>
                <c:pt idx="4">
                  <c:v>24.379999999999995</c:v>
                </c:pt>
                <c:pt idx="5">
                  <c:v>1.1800000000000068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9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(CNY, millones)</a:t>
            </a:r>
          </a:p>
        </c:rich>
      </c:tx>
      <c:overlay val="0"/>
    </c:title>
    <c:autoTitleDeleted val="0"/>
    <c:plotArea>
      <c:layout/>
      <c:barChart>
        <c:barDir val="col"/>
        <c:grouping val="stacked"/>
        <c:varyColors val="0"/>
        <c:ser>
          <c:idx val="0"/>
          <c:order val="0"/>
          <c:tx>
            <c:strRef>
              <c:f>Hoja1!$B$1</c:f>
              <c:strCache>
                <c:ptCount val="1"/>
                <c:pt idx="0">
                  <c:v>Fenjiu (汾酒)</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34758.4</c:v>
                </c:pt>
                <c:pt idx="1">
                  <c:v>37441.36</c:v>
                </c:pt>
              </c:numCache>
            </c:numRef>
          </c:val>
        </c:ser>
        <c:ser>
          <c:idx val="1"/>
          <c:order val="1"/>
          <c:tx>
            <c:strRef>
              <c:f>Hoja1!$C$1</c:f>
              <c:strCache>
                <c:ptCount val="1"/>
                <c:pt idx="0">
                  <c:v>Otras bebidas (竹叶青, 杏花村)</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1116.86</c:v>
                </c:pt>
                <c:pt idx="1">
                  <c:v>1151.37</c:v>
                </c:pt>
              </c:numCache>
            </c:numRef>
          </c:val>
        </c:ser>
        <c:ser>
          <c:idx val="2"/>
          <c:order val="2"/>
          <c:tx>
            <c:strRef>
              <c:f>Hoja1!$D$1</c:f>
              <c:strCache>
                <c:ptCount val="1"/>
                <c:pt idx="0">
                  <c:v>Otros ingresos</c:v>
                </c:pt>
              </c:strCache>
            </c:strRef>
          </c:tx>
          <c:spPr>
            <a:solidFill>
              <a:srgbClr val="1BAF7A"/>
            </a:solidFill>
            <a:ln w="12700">
              <a:solidFill>
                <a:srgbClr val="FFFFFF"/>
              </a:solidFill>
            </a:ln>
          </c:spPr>
          <c:invertIfNegative val="0"/>
          <c:cat>
            <c:strRef>
              <c:f>Hoja1!$A$2:$A$3</c:f>
              <c:strCache>
                <c:ptCount val="2"/>
                <c:pt idx="0">
                  <c:v>2024</c:v>
                </c:pt>
                <c:pt idx="1">
                  <c:v>2025</c:v>
                </c:pt>
              </c:strCache>
            </c:strRef>
          </c:cat>
          <c:val>
            <c:numRef>
              <c:f>Hoja1!$D$2:$D$3</c:f>
              <c:numCache>
                <c:formatCode>#,##0</c:formatCode>
                <c:ptCount val="2"/>
                <c:pt idx="0">
                  <c:v>135.73</c:v>
                </c:pt>
                <c:pt idx="1">
                  <c:v>125.53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Fenjiu (汾酒)</c:v>
                </c:pt>
                <c:pt idx="1">
                  <c:v>Otras bebidas (竹叶青, 杏花村)</c:v>
                </c:pt>
                <c:pt idx="2">
                  <c:v>Otros ingresos</c:v>
                </c:pt>
              </c:strCache>
            </c:strRef>
          </c:cat>
          <c:val>
            <c:numRef>
              <c:f>Hoja1!$B$2:$B$4</c:f>
              <c:numCache>
                <c:formatCode>General</c:formatCode>
                <c:ptCount val="3"/>
                <c:pt idx="0">
                  <c:v>96.7</c:v>
                </c:pt>
                <c:pt idx="1">
                  <c:v>3</c:v>
                </c:pt>
                <c:pt idx="2">
                  <c:v>0.3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Provincia de Shanxi (省内)</c:v>
                </c:pt>
                <c:pt idx="1">
                  <c:v>Resto de China (省外)</c:v>
                </c:pt>
              </c:strCache>
            </c:strRef>
          </c:cat>
          <c:val>
            <c:numRef>
              <c:f>Hoja1!$B$2:$B$3</c:f>
              <c:numCache>
                <c:formatCode>0"%"</c:formatCode>
                <c:ptCount val="2"/>
                <c:pt idx="0">
                  <c:v>34.7</c:v>
                </c:pt>
                <c:pt idx="1">
                  <c:v>65.3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CNY (ventas de las empresas de baijiu por encima del umbral estadístico))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2021</c:v>
                </c:pt>
                <c:pt idx="1">
                  <c:v>2022</c:v>
                </c:pt>
                <c:pt idx="2">
                  <c:v>2023</c:v>
                </c:pt>
                <c:pt idx="3">
                  <c:v>2024</c:v>
                </c:pt>
              </c:strCache>
            </c:strRef>
          </c:cat>
          <c:val>
            <c:numRef>
              <c:f>Hoja1!$B$2:$B$5</c:f>
              <c:numCache>
                <c:formatCode>#,##0</c:formatCode>
                <c:ptCount val="4"/>
                <c:pt idx="0">
                  <c:v>603348</c:v>
                </c:pt>
                <c:pt idx="1">
                  <c:v>662645</c:v>
                </c:pt>
                <c:pt idx="2">
                  <c:v>756300</c:v>
                </c:pt>
                <c:pt idx="3">
                  <c:v>796384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1</c:v>
                </c:pt>
                <c:pt idx="3">
                  <c:v>1</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Fenjiu</c:v>
                </c:pt>
                <c:pt idx="1">
                  <c:v>Kweichow Moutai</c:v>
                </c:pt>
                <c:pt idx="2">
                  <c:v>Wuliangye Yibin</c:v>
                </c:pt>
                <c:pt idx="3">
                  <c:v>Luzhou Laojiao</c:v>
                </c:pt>
                <c:pt idx="4">
                  <c:v>Jiangsu Yanghe</c:v>
                </c:pt>
                <c:pt idx="5">
                  <c:v>Anhui Gujing</c:v>
                </c:pt>
                <c:pt idx="6">
                  <c:v>Jiangsu King’s Luck (Jinshiyuan)</c:v>
                </c:pt>
              </c:strCache>
            </c:strRef>
          </c:cat>
          <c:val>
            <c:numRef>
              <c:f>Hoja1!$B$2:$B$8</c:f>
              <c:numCache>
                <c:formatCode>0.0"%"</c:formatCode>
                <c:ptCount val="7"/>
                <c:pt idx="0">
                  <c:v>42.2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1</c:v>
                </c:pt>
                <c:pt idx="2">
                  <c:v>5</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(CNY,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19970.99</c:v>
                </c:pt>
                <c:pt idx="1">
                  <c:v>26213.86</c:v>
                </c:pt>
                <c:pt idx="2">
                  <c:v>31928.48</c:v>
                </c:pt>
                <c:pt idx="3">
                  <c:v>36010.99</c:v>
                </c:pt>
                <c:pt idx="4">
                  <c:v>38718.26</c:v>
                </c:pt>
                <c:pt idx="5">
                  <c:v>33453</c:v>
                </c:pt>
                <c:pt idx="6">
                  <c:v>34456</c:v>
                </c:pt>
                <c:pt idx="7">
                  <c:v>36524</c:v>
                </c:pt>
                <c:pt idx="8">
                  <c:v>38715</c:v>
                </c:pt>
                <c:pt idx="9">
                  <c:v>40651</c:v>
                </c:pt>
                <c:pt idx="10">
                  <c:v>42277</c:v>
                </c:pt>
                <c:pt idx="11">
                  <c:v>43756</c:v>
                </c:pt>
                <c:pt idx="12">
                  <c:v>45069</c:v>
                </c:pt>
                <c:pt idx="13">
                  <c:v>46196</c:v>
                </c:pt>
                <c:pt idx="14">
                  <c:v>47120</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7138.96</c:v>
                </c:pt>
                <c:pt idx="1">
                  <c:v>10720.63</c:v>
                </c:pt>
                <c:pt idx="2">
                  <c:v>14301.75</c:v>
                </c:pt>
                <c:pt idx="3">
                  <c:v>16779.24</c:v>
                </c:pt>
                <c:pt idx="4">
                  <c:v>16959.99</c:v>
                </c:pt>
                <c:pt idx="5">
                  <c:v>12545</c:v>
                </c:pt>
                <c:pt idx="6">
                  <c:v>13266</c:v>
                </c:pt>
                <c:pt idx="7">
                  <c:v>14609</c:v>
                </c:pt>
                <c:pt idx="8">
                  <c:v>15873</c:v>
                </c:pt>
                <c:pt idx="9">
                  <c:v>16870</c:v>
                </c:pt>
                <c:pt idx="10">
                  <c:v>17545</c:v>
                </c:pt>
                <c:pt idx="11">
                  <c:v>18159</c:v>
                </c:pt>
                <c:pt idx="12">
                  <c:v>18704</c:v>
                </c:pt>
                <c:pt idx="13">
                  <c:v>19171</c:v>
                </c:pt>
                <c:pt idx="14">
                  <c:v>19555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56.2</c:v>
                </c:pt>
                <c:pt idx="1">
                  <c:v>57.8</c:v>
                </c:pt>
                <c:pt idx="2">
                  <c:v>57</c:v>
                </c:pt>
                <c:pt idx="3">
                  <c:v>59.7</c:v>
                </c:pt>
                <c:pt idx="4">
                  <c:v>57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35.7</c:v>
                </c:pt>
                <c:pt idx="1">
                  <c:v>40.9</c:v>
                </c:pt>
                <c:pt idx="2">
                  <c:v>44.8</c:v>
                </c:pt>
                <c:pt idx="3">
                  <c:v>46.6</c:v>
                </c:pt>
                <c:pt idx="4">
                  <c:v>43.8</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34.8</c:v>
                </c:pt>
                <c:pt idx="1">
                  <c:v>40.1</c:v>
                </c:pt>
                <c:pt idx="2">
                  <c:v>42.9</c:v>
                </c:pt>
                <c:pt idx="3">
                  <c:v>45</c:v>
                </c:pt>
                <c:pt idx="4">
                  <c:v>42.2</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26.6</c:v>
                </c:pt>
                <c:pt idx="1">
                  <c:v>30.9</c:v>
                </c:pt>
                <c:pt idx="2">
                  <c:v>32.7</c:v>
                </c:pt>
                <c:pt idx="3">
                  <c:v>34</c:v>
                </c:pt>
                <c:pt idx="4">
                  <c:v>31.6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2">
                  <c:v>7.7</c:v>
                </c:pt>
                <c:pt idx="3">
                  <c:v>0.4</c:v>
                </c:pt>
                <c:pt idx="4">
                  <c:v>4.1</c:v>
                </c:pt>
                <c:pt idx="5">
                  <c:v>24.5</c:v>
                </c:pt>
                <c:pt idx="6">
                  <c:v>-9.7</c:v>
                </c:pt>
                <c:pt idx="7">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81</c:v>
                </c:pt>
                <c:pt idx="1">
                  <c:v>14</c:v>
                </c:pt>
                <c:pt idx="2">
                  <c:v>18</c:v>
                </c:pt>
                <c:pt idx="3">
                  <c:v>18</c:v>
                </c:pt>
                <c:pt idx="4">
                  <c:v>19</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342</c:v>
                </c:pt>
                <c:pt idx="1">
                  <c:v>318</c:v>
                </c:pt>
                <c:pt idx="2">
                  <c:v>308</c:v>
                </c:pt>
                <c:pt idx="3">
                  <c:v>334</c:v>
                </c:pt>
                <c:pt idx="4">
                  <c:v>315</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117</c:v>
                </c:pt>
                <c:pt idx="1">
                  <c:v>97</c:v>
                </c:pt>
                <c:pt idx="2">
                  <c:v>77</c:v>
                </c:pt>
                <c:pt idx="3">
                  <c:v>115</c:v>
                </c:pt>
                <c:pt idx="4">
                  <c:v>92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(CNY,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7479.94</c:v>
                </c:pt>
                <c:pt idx="1">
                  <c:v>9473.380000000001</c:v>
                </c:pt>
                <c:pt idx="2">
                  <c:v>6340.8</c:v>
                </c:pt>
                <c:pt idx="3">
                  <c:v>11150.18</c:v>
                </c:pt>
                <c:pt idx="4">
                  <c:v>7449.79</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5313.61</c:v>
                </c:pt>
                <c:pt idx="1">
                  <c:v>8095.87</c:v>
                </c:pt>
                <c:pt idx="2">
                  <c:v>10438.11</c:v>
                </c:pt>
                <c:pt idx="3">
                  <c:v>12242.88</c:v>
                </c:pt>
                <c:pt idx="4">
                  <c:v>12246.33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153.8</c:v>
                </c:pt>
                <c:pt idx="1">
                  <c:v>290.6</c:v>
                </c:pt>
                <c:pt idx="2">
                  <c:v>236.9</c:v>
                </c:pt>
                <c:pt idx="3">
                  <c:v>178.3</c:v>
                </c:pt>
                <c:pt idx="4">
                  <c:v>133.3</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8.6</c:v>
                </c:pt>
                <c:pt idx="1">
                  <c:v>8.6</c:v>
                </c:pt>
                <c:pt idx="2">
                  <c:v>8.6</c:v>
                </c:pt>
                <c:pt idx="3">
                  <c:v>8.6</c:v>
                </c:pt>
                <c:pt idx="4">
                  <c:v>8.6</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34.9</c:v>
                </c:pt>
                <c:pt idx="1">
                  <c:v>44.3</c:v>
                </c:pt>
                <c:pt idx="2">
                  <c:v>42.5</c:v>
                </c:pt>
                <c:pt idx="3">
                  <c:v>39.1</c:v>
                </c:pt>
                <c:pt idx="4">
                  <c:v>32.9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-1.7</c:v>
                </c:pt>
                <c:pt idx="1">
                  <c:v>-1.84</c:v>
                </c:pt>
                <c:pt idx="2">
                  <c:v>-1.52</c:v>
                </c:pt>
                <c:pt idx="3">
                  <c:v>-1.68</c:v>
                </c:pt>
                <c:pt idx="4">
                  <c:v>-1.71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(CNY,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0</c:v>
                </c:pt>
                <c:pt idx="2">
                  <c:v>0</c:v>
                </c:pt>
                <c:pt idx="3">
                  <c:v>0</c:v>
                </c:pt>
                <c:pt idx="4">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174.3</c:v>
                </c:pt>
                <c:pt idx="1">
                  <c:v>2196.47</c:v>
                </c:pt>
                <c:pt idx="2">
                  <c:v>4032.37</c:v>
                </c:pt>
                <c:pt idx="3">
                  <c:v>5349.15</c:v>
                </c:pt>
                <c:pt idx="4">
                  <c:v>7392.98</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0</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Dominical</c:v>
                </c:pt>
                <c:pt idx="1">
                  <c:v>Ejecutivo</c:v>
                </c:pt>
                <c:pt idx="2">
                  <c:v>Independiente</c:v>
                </c:pt>
              </c:strCache>
            </c:strRef>
          </c:cat>
          <c:val>
            <c:numRef>
              <c:f>Hoja1!$B$2:$B$4</c:f>
              <c:numCache>
                <c:formatCode>0</c:formatCode>
                <c:ptCount val="3"/>
                <c:pt idx="0">
                  <c:v>5</c:v>
                </c:pt>
                <c:pt idx="1">
                  <c:v>1</c:v>
                </c:pt>
                <c:pt idx="2">
                  <c:v>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Shanxi Xinghuacun Fenjiu Group (SASAC de Shanxi)</c:v>
                </c:pt>
                <c:pt idx="1">
                  <c:v>Huachuang Xinrui (Hong Kong), de China Resources</c:v>
                </c:pt>
                <c:pt idx="2">
                  <c:v>Fondo índice de baijiu de China Merchants</c:v>
                </c:pt>
                <c:pt idx="3">
                  <c:v>Hong Kong Securities Clearing (Stock Connect)</c:v>
                </c:pt>
                <c:pt idx="4">
                  <c:v>E Fund Blue Chip</c:v>
                </c:pt>
                <c:pt idx="5">
                  <c:v>Shanxi Xinghuacun International Trade (grupo)</c:v>
                </c:pt>
              </c:strCache>
            </c:strRef>
          </c:cat>
          <c:val>
            <c:numRef>
              <c:f>Hoja1!$B$2:$B$7</c:f>
              <c:numCache>
                <c:formatCode>0.0"%"</c:formatCode>
                <c:ptCount val="6"/>
                <c:pt idx="0">
                  <c:v>56.65</c:v>
                </c:pt>
                <c:pt idx="1">
                  <c:v>9.17</c:v>
                </c:pt>
                <c:pt idx="2">
                  <c:v>3.12</c:v>
                </c:pt>
                <c:pt idx="3">
                  <c:v>1.82</c:v>
                </c:pt>
                <c:pt idx="4">
                  <c:v>1.42</c:v>
                </c:pt>
                <c:pt idx="5">
                  <c:v>0.68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31.6</c:v>
                </c:pt>
                <c:pt idx="1">
                  <c:v>131.6</c:v>
                </c:pt>
                <c:pt idx="2">
                  <c:v>-37.7</c:v>
                </c:pt>
                <c:pt idx="3">
                  <c:v>158.7</c:v>
                </c:pt>
                <c:pt idx="4">
                  <c:v>321.2</c:v>
                </c:pt>
                <c:pt idx="5">
                  <c:v>17.9</c:v>
                </c:pt>
                <c:pt idx="6">
                  <c:v>-9.2</c:v>
                </c:pt>
                <c:pt idx="7">
                  <c:v>-17.7</c:v>
                </c:pt>
                <c:pt idx="8">
                  <c:v>-18.4</c:v>
                </c:pt>
                <c:pt idx="9">
                  <c:v>-3.5</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-9.7</c:v>
                </c:pt>
                <c:pt idx="1">
                  <c:v>23.4</c:v>
                </c:pt>
                <c:pt idx="2">
                  <c:v>-24.2</c:v>
                </c:pt>
                <c:pt idx="3">
                  <c:v>38.6</c:v>
                </c:pt>
                <c:pt idx="4">
                  <c:v>29.1</c:v>
                </c:pt>
                <c:pt idx="5">
                  <c:v>-4</c:v>
                </c:pt>
                <c:pt idx="6">
                  <c:v>-20.1</c:v>
                </c:pt>
                <c:pt idx="7">
                  <c:v>-9.8</c:v>
                </c:pt>
                <c:pt idx="8">
                  <c:v>17.4</c:v>
                </c:pt>
                <c:pt idx="9">
                  <c:v>20.8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52.1</c:v>
                </c:pt>
                <c:pt idx="1">
                  <c:v>30.6</c:v>
                </c:pt>
                <c:pt idx="2">
                  <c:v>18.2</c:v>
                </c:pt>
                <c:pt idx="3">
                  <c:v>11.7</c:v>
                </c:pt>
                <c:pt idx="4">
                  <c:v>10.7</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18.2</c:v>
                </c:pt>
                <c:pt idx="1">
                  <c:v>18.2</c:v>
                </c:pt>
                <c:pt idx="2">
                  <c:v>18.2</c:v>
                </c:pt>
                <c:pt idx="3">
                  <c:v>18.2</c:v>
                </c:pt>
                <c:pt idx="4">
                  <c:v>18.2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(CNY,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8646</c:v>
                </c:pt>
                <c:pt idx="1">
                  <c:v>8635</c:v>
                </c:pt>
                <c:pt idx="2">
                  <c:v>9496</c:v>
                </c:pt>
                <c:pt idx="3">
                  <c:v>10478</c:v>
                </c:pt>
                <c:pt idx="4">
                  <c:v>11297</c:v>
                </c:pt>
                <c:pt idx="5">
                  <c:v>11901</c:v>
                </c:pt>
                <c:pt idx="6">
                  <c:v>12391</c:v>
                </c:pt>
                <c:pt idx="7">
                  <c:v>12838</c:v>
                </c:pt>
                <c:pt idx="8">
                  <c:v>13191</c:v>
                </c:pt>
                <c:pt idx="9">
                  <c:v>13487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(CNY,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71556</c:v>
                </c:pt>
                <c:pt idx="1">
                  <c:v>83932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(CNY) · precio actual 117,36</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108.12</c:v>
                </c:pt>
                <c:pt idx="1">
                  <c:v>149.56</c:v>
                </c:pt>
                <c:pt idx="2">
                  <c:v>182.1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(CNY) · precio actual 117,36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(103,64 – 203,58)</c:v>
                </c:pt>
                <c:pt idx="1">
                  <c:v>Comparables: PER NTM (116,16 – 154,32)</c:v>
                </c:pt>
                <c:pt idx="2">
                  <c:v>DCF (WACC y g ± 0,5) (137,58 – 165,04)</c:v>
                </c:pt>
                <c:pt idx="3">
                  <c:v>Escenarios (bajista – alcista) (108,12 – 182,10)</c:v>
                </c:pt>
                <c:pt idx="4">
                  <c:v>DCF con la prima implícita del mercado (4,2 %)</c:v>
                </c:pt>
                <c:pt idx="5">
                  <c:v>Precio actual (117,36)</c:v>
                </c:pt>
              </c:strCache>
            </c:strRef>
          </c:cat>
          <c:val>
            <c:numRef>
              <c:f>Hoja1!$B$2:$B$7</c:f>
              <c:numCache>
                <c:formatCode>#,##0</c:formatCode>
                <c:ptCount val="6"/>
                <c:pt idx="0">
                  <c:v>103.64</c:v>
                </c:pt>
                <c:pt idx="1">
                  <c:v>116.16</c:v>
                </c:pt>
                <c:pt idx="2">
                  <c:v>137.58</c:v>
                </c:pt>
                <c:pt idx="3">
                  <c:v>108.12</c:v>
                </c:pt>
                <c:pt idx="4">
                  <c:v>162.26</c:v>
                </c:pt>
                <c:pt idx="5">
                  <c:v>116.77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(103,64 – 203,58)</c:v>
                </c:pt>
                <c:pt idx="1">
                  <c:v>Comparables: PER NTM (116,16 – 154,32)</c:v>
                </c:pt>
                <c:pt idx="2">
                  <c:v>DCF (WACC y g ± 0,5) (137,58 – 165,04)</c:v>
                </c:pt>
                <c:pt idx="3">
                  <c:v>Escenarios (bajista – alcista) (108,12 – 182,10)</c:v>
                </c:pt>
                <c:pt idx="4">
                  <c:v>DCF con la prima implícita del mercado (4,2 %)</c:v>
                </c:pt>
                <c:pt idx="5">
                  <c:v>Precio actual (117,36)</c:v>
                </c:pt>
              </c:strCache>
            </c:strRef>
          </c:cat>
          <c:val>
            <c:numRef>
              <c:f>Hoja1!$C$2:$C$7</c:f>
              <c:numCache>
                <c:formatCode>#,##0</c:formatCode>
                <c:ptCount val="6"/>
                <c:pt idx="0">
                  <c:v>99.94000000000001</c:v>
                </c:pt>
                <c:pt idx="1">
                  <c:v>38.16</c:v>
                </c:pt>
                <c:pt idx="2">
                  <c:v>27.45999999999998</c:v>
                </c:pt>
                <c:pt idx="3">
                  <c:v>73.97999999999999</c:v>
                </c:pt>
                <c:pt idx="4">
                  <c:v>24.379999999999995</c:v>
                </c:pt>
                <c:pt idx="5">
                  <c:v>1.1800000000000068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9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