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Anker Innovations Technology Co., Ltd.</w:t>
      </w:r>
    </w:p>
    <w:p>
      <w:pPr>
        <w:spacing w:after="60"/>
        <w:rPr>
          <w:color w:val="52514E"/>
          <w:sz w:val="22"/>
          <w:szCs w:val="22"/>
        </w:rPr>
      </w:pPr>
      <w:r>
        <w:rPr>
          <w:color w:val="52514E"/>
          <w:sz w:val="22"/>
          <w:szCs w:val="22"/>
        </w:rPr>
        <w:t xml:space="preserve">300866 · ChiNext de Shenzhen (acciones A); H en Hong Kong (00668) · ISIN n.d.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19 oct 2026</w:t>
      </w:r>
      <w:r>
        <w:rPr>
          <w:color w:val="52514E"/>
          <w:sz w:val="18"/>
          <w:szCs w:val="18"/>
        </w:rPr>
        <w:t xml:space="preserve"> · Divisa: </w:t>
      </w:r>
      <w:r>
        <w:rPr>
          <w:b/>
          <w:bCs/>
          <w:color w:val="52514E"/>
          <w:sz w:val="18"/>
          <w:szCs w:val="18"/>
        </w:rPr>
        <w:t xml:space="preserve">CNY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110,40 CNY</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132,89 CNY</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+22,6 % (base +24,3 %)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114,72 CNY · mercado 132,64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66.229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10,2x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Anker Innovations Technology Co., Ltd.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300866 / n.d.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ChiNext de Shenzhen (acciones A); H en Hong Kong (00668)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CSI 300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Electrónica de consumo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Changsha (Hunan) · 2011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6.304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www.anker.com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110,40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91,21 – 139,17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599,9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66.229 M CNY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56.161 M CNY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466 M CNY/día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132,89 CNY</w:t>
      </w:r>
      <w:r>
        <w:t xml:space="preserve"> frente a 110,40 · Rentabilidad a 12 meses </w:t>
      </w:r>
      <w:r>
        <w:rPr>
          <w:b/>
          <w:bCs/>
        </w:rPr>
        <w:t xml:space="preserve">+22,6 % (base +24,3 %)</w:t>
      </w:r>
      <w:r>
        <w:t xml:space="preserve"> · Valor intrínseco 114,72 CNY · con la prima implícita del mercado: 132,64 (+20,1 %) · Alcista / bajista +25,7 % / -29,7 %</w:t>
      </w:r>
    </w:p>
    <w:p>
      <w:pPr>
        <w:spacing w:after="100"/>
      </w:pPr>
      <w:r>
        <w:rPr>
          <w:b/>
        </w:rPr>
        <w:t xml:space="preserve">La recomendación y por qué.</w:t>
      </w:r>
      <w:r>
        <w:t xml:space="preserve"> Comprar, con convicción baja. El objetivo a 12 meses es de 132,89 CNY (ponderado) y 134,76 CNY en el caso base, frente a un precio de 110,40 CNY (cierre del 19-oct-2026): la rentabilidad a 12 meses, con el dividendo, es del 22,6 % ponderada y del 24,3 % en el base, por encima del 15 % y el 12 % que pide la regla, y el valor intrínseco (114,72 CNY) supera al precio por poco (3,9 %). La convicción es baja porque el margen de seguridad sobre el valor intrínseco es casi nulo, porque la regla absoluta del DCF da Mantener y solo la relativa da Comprar, y porque la mitad del negocio depende de dos cosas que Anker no controla: Amazon y los aranceles de EE. UU. Para un particular, la vía es la acción H de Hong Kong (≈ 18 % más barata): la A del ChiNext no se puede comprar por Stock Connect desde IBKR [27, 34].</w:t>
      </w:r>
    </w:p>
    <w:p>
      <w:pPr>
        <w:spacing w:after="100"/>
      </w:pPr>
      <w:r>
        <w:rPr>
          <w:b/>
        </w:rPr>
        <w:t xml:space="preserve">El negocio.</w:t>
      </w:r>
      <w:r>
        <w:t xml:space="preserve"> Anker diseña y vende cargadores, baterías, almacenamiento doméstico, cámaras, robots y auriculares con marca propia, sin fábricas, sobre todo en Norteamérica y Europa y la mitad por Amazon [1, 10]. Gana dinero de verdad: ROIC del 34 % en 2025 frente a un WACC del 8,0 %, crecimiento de las ventas del 24,8 % anual en 2021-2025 sin compras y caja neta [1]. La sostenibilidad del crecimiento es «Sí»: proyectar un 14,5 % anual exige que el capital nuevo rinda un 44,5 %, por debajo de su rendimiento incremental histórico (58 %), y la cuota pasaría solo del 2,2 % al 2,5 % de sus mercados.</w:t>
      </w:r>
    </w:p>
    <w:p>
      <w:pPr>
        <w:spacing w:after="100"/>
      </w:pPr>
      <w:r>
        <w:rPr>
          <w:b/>
        </w:rPr>
        <w:t xml:space="preserve">Sector y ciclo.</w:t>
      </w:r>
      <w:r>
        <w:t xml:space="preserve"> Los nueve mercados de Anker crecen un 12,6 % anual hasta 2030 según Frost &amp; Sullivan, con el almacenamiento de consumo al 19,6 % [10]. El riesgo no es de demanda sino de acceso: aranceles en EE. UU. (las exclusiones de la sección 301 vencen el 10-nov-2026) y comisiones de Amazon [10].</w:t>
      </w:r>
    </w:p>
    <w:p>
      <w:pPr>
        <w:spacing w:after="100"/>
      </w:pPr>
      <w:r>
        <w:rPr>
          <w:b/>
        </w:rPr>
        <w:t xml:space="preserve">Finanzas.</w:t>
      </w:r>
      <w:r>
        <w:t xml:space="preserve"> Caja neta ajustada de unos 10.000 M con la salida a Hong Kong y las inversiones [6, 16]. El problema son las existencias (6.734 M, +108 % en año y medio) y una conversión de caja del 19 % en 2025 [1, 6]. El beneficio del 1S26 (+45,9 %) lleva ≈ 700 M de devolución de aranceles que no se repite; sin ella, el margen no mejoró [14, 15].</w:t>
      </w:r>
    </w:p>
    <w:p>
      <w:pPr>
        <w:spacing w:after="100"/>
      </w:pPr>
      <w:r>
        <w:rPr>
          <w:b/>
        </w:rPr>
        <w:t xml:space="preserve">Valoración.</w:t>
      </w:r>
      <w:r>
        <w:t xml:space="preserve"> El DCF da 113,46 CNY (WACC del 7,97 %, terminal del 1 %, 76 % del valor en el terminal). El precio descuenta un crecimiento del 10,5 % anual en 2027-2031e frente a nuestro 12,0 %, y una rentabilidad implícita del 8,2 %, en línea con el WACC. Con la prima implícita del mercado (4,2 %) el valor sería de 132,64 CNY. Cotiza a 18,7 veces nuestro BPA de 2027e, cerca de su mediana adelantada (19,1), y a 15,4 veces el consenso, por debajo de la mediana de los comparables (17,2). Discrepamos del consenso en el margen: nuestro BPA de 2028e (7,13) es un 20 % inferior.</w:t>
      </w:r>
    </w:p>
    <w:p>
      <w:pPr>
        <w:spacing w:after="100"/>
      </w:pPr>
      <w:r>
        <w:rPr>
          <w:b/>
        </w:rPr>
        <w:t xml:space="preserve">Riesgos y catalizadores.</w:t>
      </w:r>
      <w:r>
        <w:t xml:space="preserve"> El riesgo dominante son los aranceles de EE. UU.: el bajista (77,56 CNY en el DCF, −29,7 %) recoge un margen 2 puntos más bajo y menos crecimiento. Le siguen Amazon (52 % de las ventas), las existencias y la seguridad de las baterías (retiradas de 2,9 millones de unidades en 2025) [10]. Catalizadores: el 3T26 (29-oct) y la decisión arancelaria del 10-nov. Los foros chinos están decepcionados por el margen inflado del 2T; no añaden un riesgo nuevo [39].</w:t>
      </w:r>
    </w:p>
    <w:p>
      <w:pPr>
        <w:spacing w:after="100"/>
      </w:pPr>
      <w:r>
        <w:rPr>
          <w:b/>
        </w:rPr>
        <w:t xml:space="preserve">Qué cambiaría la decisión.</w:t>
      </w:r>
      <w:r>
        <w:t xml:space="preserve"> Seguiría siendo compra por debajo de 114,72 CNY y pasaría a vender por encima de 150,43 CNY. Bajaríamos el caso base si llega un arancel nuevo de más del 10 % sobre la electrónica china o si el margen bruto trimestral sin devoluciones cae por debajo del 43 %; lo subiríamos si el 3T26 confirma un margen bruto del 47 % sin ayudas.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Objetivo a 12 meses: </w:t>
      </w:r>
      <w:r>
        <w:rPr>
          <w:b/>
          <w:bCs/>
        </w:rPr>
        <w:t xml:space="preserve">132,89 CNY</w:t>
      </w:r>
      <w:r>
        <w:t xml:space="preserve"> (rentabilidad +22,6 % (base +24,3 %)) · Valor intrínseco: 114,72 CNY (+3,9 % sobre 110,40) · con la prima implícita del mercado: 132,64 (+20,1 %)</w:t>
      </w:r>
    </w:p>
    <w:p>
      <w:pPr>
        <w:spacing w:after="100"/>
      </w:pPr>
      <w:r>
        <w:t xml:space="preserve">Anker es la primera marca mundial de carga móvil (4,8 % del mercado) y una de las pocas marcas chinas de electrónica que vende con precio de marca en Occidente: margen bruto del 45 % y ROIC del 34 % sin fábricas propias [1, 10]. Ha triplicado las ventas desde 2020 sin compras y reparte la mitad del beneficio.</w:t>
      </w:r>
    </w:p>
    <w:p>
      <w:pPr>
        <w:spacing w:after="100"/>
      </w:pPr>
      <w:r>
        <w:t xml:space="preserve">A 110,40 CNY la acción ha caído un 21 % desde el máximo de septiembre por dos motivos: la venta general de hardware tras el festivo de octubre y la sospecha de que el margen del 2T26 estaba inflado por la devolución de aranceles. Lo segundo es cierto, y nuestro caso base ya lo quita: con un margen EBITDA del 9,5-10 %, como el de 2023-2025, el beneficio por acción de 2028e (7,13 CNY) queda un 20 % por debajo del consenso y aun así la regla a 12 meses da un 22,6 % de rentabilidad ponderada.</w:t>
      </w:r>
    </w:p>
    <w:p>
      <w:pPr>
        <w:spacing w:after="100"/>
      </w:pPr>
      <w:r>
        <w:t xml:space="preserve">La tesis es de crecimiento a precio normal, no de múltiplo: el PER no tiene que subir. El riesgo está en lo que Anker no controla (aranceles, Amazon) y por eso la convicción es baja y el valor intrínseco (114,72) apenas supera el precio.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132,89 CNY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 × 5,07 = 76,05 · 18,9x × 7,13 = 134,76 · 21,7x × 8,57 = 185,97</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22,6 % / 24,3 %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150,79 (nuestro base -10,6 %)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114,72 CNY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25,7 % / -29,7 %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 frente a 8,0 % y 6,7 %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6,7 %)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132,64 CNY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(2027e-2031e)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 frente a 12,6 %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(14,5 % anual proyectado; financiable al ROIC actual: 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114,72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114,72 y 150,43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150,43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encima de 114,72 CNY: pasaría a Mantener (el valor intrínseco quedaría por debajo del precio).</w:t>
      </w:r>
    </w:p>
    <w:p>
      <w:pPr>
        <w:pStyle w:val="ListParagraph"/>
        <w:numPr>
          <w:ilvl w:val="0"/>
          <w:numId w:val="2"/>
        </w:numPr>
        <w:spacing w:after="60"/>
      </w:pPr>
      <w:r>
        <w:t xml:space="preserve">Precio por encima de 150,43 CNY: pasaría a Vender.</w:t>
      </w:r>
    </w:p>
    <w:p>
      <w:pPr>
        <w:pStyle w:val="ListParagraph"/>
        <w:numPr>
          <w:ilvl w:val="0"/>
          <w:numId w:val="2"/>
        </w:numPr>
        <w:spacing w:after="60"/>
      </w:pPr>
      <w:r>
        <w:t xml:space="preserve">Arancel nuevo de EE. UU. de más del 10 % sobre la electrónica china: bajaríamos el margen de toda la proyección.</w:t>
      </w:r>
    </w:p>
    <w:p>
      <w:pPr>
        <w:pStyle w:val="ListParagraph"/>
        <w:numPr>
          <w:ilvl w:val="0"/>
          <w:numId w:val="2"/>
        </w:numPr>
        <w:spacing w:after="60"/>
      </w:pPr>
      <w:r>
        <w:t xml:space="preserve">Margen bruto trimestral sin devoluciones por debajo del 43 %: el margen EBITDA del 10 % sobraría.</w:t>
      </w:r>
    </w:p>
    <w:p>
      <w:pPr>
        <w:pStyle w:val="ListParagraph"/>
        <w:numPr>
          <w:ilvl w:val="0"/>
          <w:numId w:val="2"/>
        </w:numPr>
        <w:spacing w:after="60"/>
      </w:pPr>
      <w:r>
        <w:t xml:space="preserve">Margen bruto del 47 % sin ayudas en el 3T26 y el 4T26: subiríamos el caso base hacia el consenso.</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margen del 1S26 es el nuevo normal: los analistas esperan un margen EBITDA del 12-13 % en 2027e y un BPA de 8,90 CNY en 2028e, con un objetivo medio de 150,79 CNY. El precio, en cambio, solo descuenta un crecimiento del 10,5 % anual en 2027-2031e.</w:t>
      </w:r>
    </w:p>
    <w:p>
      <w:pPr>
        <w:keepNext/>
        <w:spacing w:after="100"/>
      </w:pPr>
      <w:r>
        <w:rPr>
          <w:b/>
          <w:bCs/>
        </w:rPr>
        <w:t xml:space="preserve">Lo que creemos nosotros.</w:t>
      </w:r>
    </w:p>
    <w:p>
      <w:pPr>
        <w:spacing w:after="100"/>
      </w:pPr>
      <w:r>
        <w:t xml:space="preserve">El margen recurrente es el de 2023-2025 (9-10 % de EBITDA) y el crecimiento sigue fuerte (+20 % y +15 % en 2027e-2028e): basta para una rentabilidad del 24 % en el base sin que suba el múltiplo, pero el valor intrínseco (114,72) da poco margen.</w:t>
      </w:r>
    </w:p>
    <w:p>
      <w:pPr>
        <w:keepNext/>
        <w:spacing w:after="100"/>
      </w:pPr>
      <w:r>
        <w:rPr>
          <w:b/>
          <w:bCs/>
        </w:rPr>
        <w:t xml:space="preserve">Por qué podemos tener razón.</w:t>
      </w:r>
    </w:p>
    <w:p>
      <w:pPr>
        <w:spacing w:after="100"/>
      </w:pPr>
      <w:r>
        <w:t xml:space="preserve">El salto del 2T26 se explica por la devolución de ≈ 700 M de aranceles; sin ella, el margen EBIT del 1S26 fue del 7,4 % frente al 7,8 % del 1S25. Somos más prudentes que el consenso en margen y aun así la cuenta sale.</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NY) · precio actual 110,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ROIC del 34 %</w:t>
      </w:r>
      <w:r>
        <w:t xml:space="preserve"> en 2025 frente a un WACC del 8,0 %, sin fábricas ni compras [1].</w:t>
      </w:r>
    </w:p>
    <w:p>
      <w:pPr>
        <w:pStyle w:val="ListParagraph"/>
        <w:numPr>
          <w:ilvl w:val="0"/>
          <w:numId w:val="2"/>
        </w:numPr>
        <w:spacing w:after="60"/>
      </w:pPr>
      <w:r>
        <w:rPr>
          <w:b/>
        </w:rPr>
        <w:t xml:space="preserve">Ventas +24,8 % anual</w:t>
      </w:r>
      <w:r>
        <w:t xml:space="preserve"> en 2021-2025 y +29,1 % en el 1S26 [1, 6].</w:t>
      </w:r>
    </w:p>
    <w:p>
      <w:pPr>
        <w:pStyle w:val="ListParagraph"/>
        <w:numPr>
          <w:ilvl w:val="0"/>
          <w:numId w:val="2"/>
        </w:numPr>
        <w:spacing w:after="60"/>
      </w:pPr>
      <w:r>
        <w:rPr>
          <w:b/>
        </w:rPr>
        <w:t xml:space="preserve">Líder mundial en carga móvil</w:t>
      </w:r>
      <w:r>
        <w:t xml:space="preserve"> (4,8 %) y en almacenamiento de balcón (14,6 %) [10].</w:t>
      </w:r>
    </w:p>
    <w:p>
      <w:pPr>
        <w:pStyle w:val="ListParagraph"/>
        <w:numPr>
          <w:ilvl w:val="0"/>
          <w:numId w:val="2"/>
        </w:numPr>
        <w:spacing w:after="60"/>
      </w:pPr>
      <w:r>
        <w:rPr>
          <w:b/>
        </w:rPr>
        <w:t xml:space="preserve">Caja neta de unos 10.000 M</w:t>
      </w:r>
      <w:r>
        <w:t xml:space="preserve"> con la salida a Hong Kong y reparto del 50 % del beneficio [6, 16].</w:t>
      </w:r>
    </w:p>
    <w:p>
      <w:pPr>
        <w:pStyle w:val="ListParagraph"/>
        <w:numPr>
          <w:ilvl w:val="0"/>
          <w:numId w:val="2"/>
        </w:numPr>
        <w:spacing w:after="60"/>
      </w:pPr>
      <w:r>
        <w:rPr>
          <w:b/>
        </w:rPr>
        <w:t xml:space="preserve">Amazon pesa menos cada año</w:t>
      </w:r>
      <w:r>
        <w:t xml:space="preserve">: 57 % en 2023, 46 % en el 1S26 [6, 10].</w:t>
      </w:r>
    </w:p>
    <w:p>
      <w:pPr>
        <w:pStyle w:val="Heading2"/>
      </w:pPr>
      <w:r>
        <w:t xml:space="preserve">En contra</w:t>
      </w:r>
    </w:p>
    <w:p>
      <w:pPr>
        <w:pStyle w:val="ListParagraph"/>
        <w:numPr>
          <w:ilvl w:val="0"/>
          <w:numId w:val="2"/>
        </w:numPr>
        <w:spacing w:after="60"/>
      </w:pPr>
      <w:r>
        <w:rPr>
          <w:b/>
        </w:rPr>
        <w:t xml:space="preserve">Aranceles de EE. UU.</w:t>
      </w:r>
      <w:r>
        <w:t xml:space="preserve">: 3,4 % de las ventas en 2025 y decisiones pendientes el 10-nov-2026 [10].</w:t>
      </w:r>
    </w:p>
    <w:p>
      <w:pPr>
        <w:pStyle w:val="ListParagraph"/>
        <w:numPr>
          <w:ilvl w:val="0"/>
          <w:numId w:val="2"/>
        </w:numPr>
        <w:spacing w:after="60"/>
      </w:pPr>
      <w:r>
        <w:rPr>
          <w:b/>
        </w:rPr>
        <w:t xml:space="preserve">Amazon</w:t>
      </w:r>
      <w:r>
        <w:t xml:space="preserve">: la mitad de las ventas con un contrato que se rescinde con 30 días [10].</w:t>
      </w:r>
    </w:p>
    <w:p>
      <w:pPr>
        <w:pStyle w:val="ListParagraph"/>
        <w:numPr>
          <w:ilvl w:val="0"/>
          <w:numId w:val="2"/>
        </w:numPr>
        <w:spacing w:after="60"/>
      </w:pPr>
      <w:r>
        <w:rPr>
          <w:b/>
        </w:rPr>
        <w:t xml:space="preserve">Existencias de 6.734 M</w:t>
      </w:r>
      <w:r>
        <w:t xml:space="preserve"> (+108 % en año y medio) y conversión de caja del 19 % en 2025 [1, 6].</w:t>
      </w:r>
    </w:p>
    <w:p>
      <w:pPr>
        <w:pStyle w:val="ListParagraph"/>
        <w:numPr>
          <w:ilvl w:val="0"/>
          <w:numId w:val="2"/>
        </w:numPr>
        <w:spacing w:after="60"/>
      </w:pPr>
      <w:r>
        <w:rPr>
          <w:b/>
        </w:rPr>
        <w:t xml:space="preserve">Margen del 1S26 inflado</w:t>
      </w:r>
      <w:r>
        <w:t xml:space="preserve"> por ≈ 700 M de devolución de aranceles [14, 15].</w:t>
      </w:r>
    </w:p>
    <w:p>
      <w:pPr>
        <w:pStyle w:val="ListParagraph"/>
        <w:numPr>
          <w:ilvl w:val="0"/>
          <w:numId w:val="2"/>
        </w:numPr>
        <w:spacing w:after="60"/>
      </w:pPr>
      <w:r>
        <w:rPr>
          <w:b/>
        </w:rPr>
        <w:t xml:space="preserve">Retiradas de 2,9 millones de baterías</w:t>
      </w:r>
      <w:r>
        <w:t xml:space="preserve"> en 2025 y pleitos por privacidad y patentes en EE. UU. [10].</w:t>
      </w:r>
    </w:p>
    <w:p>
      <w:pPr>
        <w:pStyle w:val="Heading2"/>
      </w:pPr>
      <w:r>
        <w:t xml:space="preserve">Qué tiene que pasar para que la tesis funcione</w:t>
      </w:r>
    </w:p>
    <w:p>
      <w:pPr>
        <w:spacing w:after="100"/>
      </w:pPr>
      <w:r>
        <w:t xml:space="preserve">La tesis depende de que el margen EBITDA se quede en el 9,5-10 % sin ayudas mientras las ventas crecen un 15-20 %. La señal está en el margen bruto trimestral sin devoluciones (≥ 45 %), en las existencias (que no pasen del 22 % de las ventas LTM) y en la decisión arancelaria del 10-nov-2026: si llega un arancel nuevo de más del 10 %, el bajista pasa a ser el central.</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trimestral (sin devoluciones de aranceles)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47 % en el 2T26 (55,1 % publicado)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Poder de precios frente a aranceles y competencia.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Amazon en las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55 % o cambio de tarifas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Dependencia de un canal.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sobre ventas LTM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descuentos y deterioros.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pagados en EE. UU. sobre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directo sobre el 46 % de las ventas.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 las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12 % en un semestre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tesis pide +15-20 % en 2027e-2028e.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18,5x / 10,2x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19,5x / 15,4x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 · -2,7x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Anker nació en 2011 cuando Yang Meng (阳萌), ingeniero de Google en EE. UU., volvió a China y empezó a vender en Amazon baterías de repuesto para portátiles; la sociedad operativa (海翼) se fundó en Changsha y se transformó en sociedad anónima en 2016 [1]. Con Zhao Dongping (ex-Google China) y Zhang Shanfeng construyó una marca de carga que hoy es la primera del mundo en carga móvil (4,8 % del mercado en 2025) [1, 10]. Salió a bolsa en el ChiNext de Shenzhen en agosto de 2020 y en Hong Kong en julio de 2026 [1, 10]. Pasó de un producto a tres líneas (carga y almacenamiento, hogar inteligente eufy, audio Soundcore) y de Amazon a todos los canales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Yang Meng deja Google y funda Anker; primeras ventas en Amazon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Transformación en sociedad anónima (Anker Innovations)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ChiNext de Shenzhen (300866)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Anker SOLIX: almacenamiento doméstico y de balcón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30.514 M (+23,5 %); retiradas voluntarias de &lt; 2,9 millones de baterías portátiles por fugas térmicas de las celdas de un proveedor [1, 10]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a bolsa en Hong Kong (00668) el 2-jul a 99,32 HKD [10]</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Anker Innovations (安克创新), con sede en Changsha (Hunan) y oficinas en Shenzhen, diseña y vende electrónica de consumo con marcas propias: cargadores, baterías portátiles y almacenamiento doméstico (Anker y Anker SOLIX), cámaras de seguridad, robots aspiradores y cortacésped, sacaleches e impresoras UV (eufy y eufyMake), auriculares y altavoces (Soundcore) y proyectores (Nebula) [1]. No fabrica: subcontrata la producción y se queda con el diseño, la I+D, la marca y la venta [1]. Vende en más de 140 países, el 97 % fuera de China, sobre todo por Amazon, su web y grandes cadenas [1]. 6.304 empleados, el 56 % en I+D [1].</w:t>
      </w:r>
    </w:p>
    <w:p>
      <w:pPr>
        <w:pStyle w:val="Heading2"/>
      </w:pPr>
      <w:r>
        <w:t xml:space="preserve">Cómo gana dinero</w:t>
      </w:r>
    </w:p>
    <w:p>
      <w:pPr>
        <w:spacing w:after="100"/>
      </w:pPr>
      <w:r>
        <w:t xml:space="preserve">Vende productos a precio de marca (margen bruto del 45 %) sobre todo a través de Amazon, que se queda con comisión, logística y publicidad: por eso los gastos de venta son el 22 % de las ventas [1]. Nada es recurrente: cada año tiene que acertar con productos nuevos; la I+D (9,5-11 % de las ventas) es la inversión que decide el crecimiento. El margen depende de la mezcla (almacenamiento y audio con IA dan más), de los aranceles de EE. UU. que paga Anker y del dólar (vende en dólares y euros y compra en dólares y yuanes) [1, 10]. Estacionalidad: el 4T trae el 30 % de las ventas (Black Friday, Navidad) y el Prime Day mueve ventas entre el 2T y el 3T.</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Carga y almacenamiento (充电储能类)</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Smart Innovation (智能创新类)</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Audio y vídeo (智能影音类)</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27"/>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Carga y almacenamiento (充电储能类)</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12.667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Smart Innovation (智能创新类)</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Audio y vídeo (智能影音类)</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Anker vende sobre todo al consumidor final por plataformas: Amazon fue el 52,3 % de las ventas de 2025 (15.955 M), con un contrato estándar de vendedor que Amazon puede rescindir con 30 días de aviso [10]. Otras plataformas (Walmart, TikTok Shop, Rakuten, JD) el 7,7 %, la web propia el 10,3 % y la venta física (Walmart, Best Buy, Costco, Target, MediaMarkt y distribuidores) el 29,8 % [1, 10]. Los cinco primeros clientes directos suman el 8,6 % y el primero el 1,9 %: Amazon es un canal, no un cliente [1]. Poder de precios demostrado: el margen bruto subió 9 puntos en cuatro años y aguantó los aranceles de 2025 (−0,5 puntos en carga y almacenamiento), pero Anker paga los aranceles en EE. UU. (venta con derechos pagados) [1, 10].</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Amazon en las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57,1 % en 2023; 46,4 % en el 1S26 (7.699 M, +19,8 %) [6,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Web propia (M CNY)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3.135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10,3 % de las ventas; 1.837 M en el 1S26 (+39,2 %)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del grupo (CAS)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49,8 % en el 1S26 con la devolución de aranceles; ≈ 47 % sin ella en el 2T26 según Sinolink [1, 6,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I+D (M CNY)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9,5 % de las ventas; 11,3 % en el 1S26. 3.549 personas de I+D, el 56,3 % de la plantilla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(M CNY)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3.234 (dic-2024)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4.997 (dic-2025)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6.734 M a 30-jun-2026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pagados por exportar a EE. UU.</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1,5 % de las ventas (2023-2024)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 (2025, 143,0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Arancel máximo aplicado hoy del 50 %; vende en EE. UU. con derechos pagados por la empresa [10]</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Electrónica de consumo de categorías medianas y pequeñas («aguas poco profundas»): los nueve mercados mundiales en los que vende Anker según Frost &amp; Sullivan (cargadores y accesorios, baterías portátiles, almacenamiento de consumo, limpieza inteligente, seguridad doméstica, altavoces, proyectores, auriculares inalámbricos e impresoras 3D de consumo) [10]. Se usa la suma de esos nueve y no el total de dispositivos inteligentes (9,3 billones de CNY), que incluye teléfonos, ordenadores y televisores donde Anker no compite.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1.375.900 M CNY en 2025 (los nueve mercados de Anker), dentro de 2.739.100 M de mercados medianos y pequeños de dispositivos inteligentes [10]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CNY (los nueve mercados de Anker, Frost &amp; Sullivan))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Almacenamiento de consumo (balcón, doméstico, portátil)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de 229.000 M CNY en 2025 con una TCAC prevista del 19,6 % hasta 2030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sobre productos chinos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del 3,4 % de las ventas de Anker en 2025 (&lt; 1,5 % antes); IEEPA anulado el 20-feb-2026, sección 122 y 301 siguen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Más dispositivos por persona y carga rápida (USB-C, GaN)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Carga móvil +12,1 % anual en 2020-2025 y +9,7 % previsto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en el dispositivo (audio, cámaras, robots)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Anker lanza auriculares con chip propio y grabadoras con IA; los gigantes (Apple, Xiaomi, Samsung) integran más funciones [1,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Normas de seguridad de baterías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 norma china de baterías portátiles (2026) y retiradas en la industria: suben las barreras y los costes [10]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Miles de marcas chinas en Amazon (Baseus, Ugreen, EcoFlow, Jackery), los cinco primeros de carga móvil solo suman el 15,2 % [10]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consumidor compara precios en Amazon con un clic; Amazon controla la visibilidad y cobra comisiones y logística [10]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subcontratada en muchos talleres; dependencia de celdas de batería (el fallo de un proveedor causó la retirada de 2025) [10]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bajas para vender en Amazon; las altas son la marca, las certificaciones y la escala [10]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Cargadores y baterías integrados por los fabricantes de móviles (Apple, Samsung) y carga inalámbrica [10]</w:t>
            </w:r>
          </w:p>
        </w:tc>
      </w:tr>
    </w:tbl>
    <w:p>
      <w:pPr>
        <w:spacing w:after="160" w:before="0"/>
      </w:pPr>
    </w:p>
    <w:p>
      <w:pPr>
        <w:pStyle w:val="Heading2"/>
      </w:pPr>
      <w:r>
        <w:t xml:space="preserve">Ciclo</w:t>
      </w:r>
    </w:p>
    <w:p>
      <w:pPr>
        <w:spacing w:after="100"/>
      </w:pPr>
      <w:r>
        <w:t xml:space="preserve">Gasto discrecional en electrónica que crece al 10-12 % anual en las categorías de Anker, sin una caída fuerte en 2020-2025 [10]. El ciclo propio es el de producto: un éxito (cargadores GaN, almacenamiento de balcón) dura dos o tres años. El riesgo cíclico está en una recesión en EE. UU. y Europa (73 % de las ventas) y en las existencias del canal [1].</w:t>
      </w:r>
    </w:p>
    <w:p>
      <w:pPr>
        <w:pStyle w:val="Heading2"/>
      </w:pPr>
      <w:r>
        <w:t xml:space="preserve">Regulación</w:t>
      </w:r>
    </w:p>
    <w:p>
      <w:pPr>
        <w:spacing w:after="100"/>
      </w:pPr>
      <w:r>
        <w:t xml:space="preserve">Lo que más pesa son los aranceles de EE. UU.: el Tribunal Supremo anuló el 20-feb-2026 los aranceles IEEPA (recíproco y «fentanilo»), y el Gobierno empezó a devolverlos; en su lugar entró un arancel global del 10 % de la sección 122 por 150 días (hasta el 24-jul-2026), y siguen los de la sección 301 con exclusiones que vencen el 10-nov-2026 [10]. Anker vende en EE. UU. con los derechos pagados, así que el arancel es coste suyo [10]. En seguridad de producto, la CPSC en EE. UU., la UE (reglamento de baterías de 2023) y China (nueva norma nacional de baterías portátiles de 2026) endurecen las exigencias; Anker fue la primera marca en certificar la norma china [1, 10].</w:t>
      </w:r>
    </w:p>
    <w:p>
      <w:pPr>
        <w:pStyle w:val="Heading2"/>
      </w:pPr>
      <w:r>
        <w:t xml:space="preserve">Tendencias y disrupción</w:t>
      </w:r>
    </w:p>
    <w:p>
      <w:pPr>
        <w:spacing w:after="100"/>
      </w:pPr>
      <w:r>
        <w:t xml:space="preserve">Tres cambios: el almacenamiento de consumo (balcón en Europa, doméstico en Australia), que crece al 19,6 % y ya tira de la línea de carga; la IA en el dispositivo (auriculares con chip propio, grabadoras), donde Anker invierte el 11 % de las ventas en I+D; y la venta fuera de Amazon (web propia +39 % y otras plataformas +96 % en el 1S26) [1, 10, 20]. Gana con las dos primeras si su I+D se traduce en productos; pierde si los fabricantes de teléfonos integran la función.</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1.ª del mundo en carga móvil (4,8 %, por delante de Apple con el 4,6 %), 3.ª en almacenamiento portátil (10,2 %), 1.ª en almacenamiento de balcón (14,6 %) y 6.ª en auriculares inalámbricos (1,7 %) según Frost &amp; Sullivan; ≈ 2,2 % de los nueve mercados en los que vende (30.514 M sobre 1.375.900 M en 2025, estimación propia) [10]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Ugreen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301606.SZ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cargadores y accesorios, 5.º en carga móvil; más peso en China [10,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Xiaomi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1810.HK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438.100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Ecosistema propio con baterías, robots y auriculares baratos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Ecovacs Robotics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603486.SS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20.704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Robots aspiradores y cortacésped, rival de eufy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Roborock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688169.SS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20.876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robots aspiradores de gama alta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Logitech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LOGI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32.816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Periféricos y audio; referencia de marca de accesorios con márgenes altos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SharkNinja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46.086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Pequeño electrodoméstico y limpieza; marca y distribución física en EE. UU.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EcoFlow y Jackery (no cotizan)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Rivales en almacenamiento portátil y de balcón; los cinco primeros suman el 66 % [10]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producto físico sin plataforma [B2]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Bajos: el consumidor cambia de cargador o auricular sin coste; algo mayores en almacenamiento y cámaras con aplicación [B2]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n.º 1 de carga en Amazon, margen bruto del 45 % frente al 35-40 % de los rivales chinos; I+D del 9,5-11 % de las ventas [B1, B2]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en compras y logística; pero fabricación subcontratada y sin activos propios [B2]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Mercados fragmentados (los cinco primeros de carga móvil, 15,2 %) [B1]</w:t>
            </w:r>
          </w:p>
        </w:tc>
      </w:tr>
    </w:tbl>
    <w:p>
      <w:pPr>
        <w:spacing w:after="160" w:before="0"/>
      </w:pPr>
    </w:p>
    <w:p>
      <w:pPr>
        <w:pStyle w:val="Heading2"/>
      </w:pPr>
      <w:r>
        <w:t xml:space="preserve">Amenazas</w:t>
      </w:r>
    </w:p>
    <w:p>
      <w:pPr>
        <w:spacing w:after="100"/>
      </w:pPr>
      <w:r>
        <w:t xml:space="preserve">Tres amenazas. La primera, la política comercial de EE. UU.: Norteamérica es el 46 % de las ventas y Anker paga los aranceles; si las exclusiones de la sección 301 vencen el 10-nov-2026 o llega un arancel nuevo, el margen bruto puede perder 2-4 puntos como en 2025 [10]. Probabilidad media. La segunda, Amazon: la mitad de las ventas depende de un contrato estándar que se rescinde con 30 días de aviso y de un algoritmo que cambia; Amazon también vende marcas propias [10]. Probabilidad baja de ruptura, alta de presión en comisiones. La tercera, la competencia china en almacenamiento (EcoFlow, Jackery, Bluetti) y en carga (Ugreen, Baseus), que imita rápido [10].</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bl>
    <w:p>
      <w:pPr>
        <w:spacing w:after="160" w:before="0"/>
      </w:pPr>
    </w:p>
    <w:p>
      <w:pPr>
        <w:spacing w:after="100"/>
      </w:pPr>
      <w:r>
        <w:t xml:space="preserve">Crecimiento anual compuesto 2021-2025: ingresos </w:t>
      </w:r>
      <w:r>
        <w:rPr>
          <w:b/>
          <w:bCs/>
        </w:rPr>
        <w:t xml:space="preserve">24,8 %</w:t>
      </w:r>
      <w:r>
        <w:t xml:space="preserve">, EBITDA </w:t>
      </w:r>
      <w:r>
        <w:rPr>
          <w:b/>
          <w:bCs/>
        </w:rPr>
        <w:t xml:space="preserve">32,0 %</w:t>
      </w:r>
      <w:r>
        <w:t xml:space="preserve">, BPA </w:t>
      </w:r>
      <w:r>
        <w:rPr>
          <w:b/>
          <w:bCs/>
        </w:rPr>
        <w:t xml:space="preserve">26,2 %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CN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12.574 M CNY en 2021 a 30.514 M en 2025 (+24,8 % anual) y el beneficio atribuido de 982 M a 2.545 M (+26,9 %), todo orgánico [1, 5]. El margen EBITDA (sin rendimientos de la tesorería, valor razonable ni diferencias de cambio) bajó del 7,2 % de 2021-2022 a un 9-10 % estable en 2023-2025: el margen bruto subió del 35,7 % al 45,1 %, pero los gastos de venta (22,4 %) y la I+D (9,5 %) se comieron casi toda la mejora [1]. El 1S26 dio ventas de 16.605 M (+29,1 %) y un beneficio atribuido de 1.702 M (+45,9 %), pero con dos ayudas que no se repiten: la devolución de parte de los aranceles IEEPA pagados en 2025, que la empresa restó del coste de ventas sin dar la cifra (≈ 700 M según Sinolink y ≈ 100 M USD según Soochow), y 271 M de ganancias de valor razonable [6, 9, 14, 15]. Sin la devolución, el margen bruto del 2T26 sería ≈ 47 % (55,1 % publicado) y el beneficio del semestre habría crecido poco: la I+D subió al 11,3 % de las ventas, el deterioro de existencias a 444 M y el tipo impositivo al 15,9 % por el Pilar Dos [6, 14, 15]. Esa devolución va como no recurrente con signo negativo (ingreso) en el LTM.</w:t>
      </w:r>
    </w:p>
    <w:p>
      <w:pPr>
        <w:pStyle w:val="Heading2"/>
      </w:pPr>
      <w:r>
        <w:t xml:space="preserve">Ajustes y partidas no recurrentes</w:t>
      </w:r>
    </w:p>
    <w:p>
      <w:pPr>
        <w:spacing w:after="100"/>
      </w:pPr>
      <w:r>
        <w:t xml:space="preserve">Cifras reportadas en normas chinas (CAS); la empresa publica también en NIIF en Hong Kong desde 2026 con diferencias de clasificación (margen bruto del 1S26 del 47,2 % en NIIF frente al 49,8 % en CAS) [6, 9]. El EBIT y el EBITDA de este informe excluyen los gastos financieros netos (diferencias de cambio incluidas), los ingresos de inversiones (asociadas, productos bancarios) y los cambios de valor razonable de las participaciones cotizadas y fondos: van al resultado financiero. Las subvenciones (其他收益, 55 M en 2025) y los deterioros de existencias (365 M en 2025, 444 M en el 1S26) se quedan en el EBIT porque se repiten cada año en un fabricante de electrónica de consumo [1, 6]. La devolución de aranceles IEEPA del 1S26 (≈ 700 M, estimación de los analistas: la empresa no la cuantifica) se trata como no recurrente en el LTM [14, 15]. BPA y dividendos de 2021-2022 divididos entre 1,3 por la ampliación gratuita de 3 por 10 de 2024 [2].</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Anker no publica transcripciones; lo que dijo la dirección sale del semestral y de las notas de los analistas que asistieron a la presentación del 1S26 (finales de agosto) [6, 14, 15]. Explicó el salto del margen bruto del 2T26 (55,1 %, +9,1 puntos) por la mezcla (almacenamiento y audio con IA) y por la devolución de parte de los aranceles IEEPA de años anteriores, sin dar la cifra [6, 9]. Los analistas preguntaron por la I+D (11,8 % de las ventas en el 2T26, +2,5 puntos), por las pérdidas de cambio y por el tipo impositivo (16,0 %, +9,6 puntos, por el Pilar Dos) [14]. La dirección insistió en el almacenamiento doméstico y de balcón (acuerdo de 3 GWh con el distribuidor australiano OSW en julio) y en los productos de audio con chip propio [14]. Frente a la presentación del 1T26 (abril), cuando el discurso era de margen bruto récord por producto, el foco pasó a la sostenibilidad del margen sin la devolución: Sinolink lo estima en ≈ 47 % [15]. Soochow avisó de una posible pérdida de valor razonable en el 3T [14].</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10.528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es de caja neta: unos 4.700 M a junio de 2026 sin contar el convertible y ≈ 8.400 M tras la caja de la salida a Hong Kong [6, 16, 17]. El problema son las existencias: 6.734 M a junio de 2026 frente a 3.234 M a finales de 2024 (+108 %, con ventas +39 % en el mismo periodo), por el acopio ante los aranceles de EE. UU. y el almacenamiento doméstico; el deterioro de existencias subió a 365 M en 2025 y a 444 M en el 1S26 [1, 6]. El circulante comercial (existencias y clientes menos proveedores y efectos) pasó del 9,4 % de las ventas en 2024 al 14,9 % en 2025 y al 16,8 % en el LTM de junio [1, 6]. El fondo de comercio es cero.</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3.809</w:t>
      </w:r>
      <w:r>
        <w:t xml:space="preserve">, conversión </w:t>
      </w:r>
      <w:r>
        <w:rPr>
          <w:b/>
          <w:bCs/>
        </w:rPr>
        <w:t xml:space="preserve">45 %</w:t>
      </w:r>
      <w:r>
        <w:t xml:space="preserve"> del beneficio neto; adquisiciones 0, dividendos 3.483, recompras 0.</w:t>
      </w:r>
    </w:p>
    <w:p>
      <w:pPr>
        <w:spacing w:after="100"/>
      </w:pPr>
      <w:r>
        <w:t xml:space="preserve">La conversión en caja es irregular: el flujo operativo fue del 145 % del beneficio en 2023 y del 130 % en 2024, pero solo del 19 % en 2025 (481 M) porque las existencias crecieron en 1.764 M y los anticipos y proveedores no lo compensaron [1, 2]. En el 1S26 volvió a positivo (722,5 M frente a −1.132 M en el 1S25) con la ayuda de la devolución de aranceles [9]. El capex es bajo (1-2 % de las ventas: 365 M en 2025), salvo 2022, cuando se pagó el edificio de oficinas nuevo (1.144 M), en uso desde 2025 [1, 4]. Anker no fabrica: subcontrata la producción y su inversión es I+D, que va a gastos. Reparte en torno a la mitad del beneficio (2,40 CNY por acción de 2025, el 51 %) y no recompra [1, 12]. Estimación propia: el mantenimiento ronda la amortización (0,6-0,8 % de las ventas).</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Huazhen (毕马威华振会计师事务所)</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2021-2025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Auditor de las cuatro grandes desde 2020, con rotación de socios (dos años y un año los actuales) y 3,4 M de honorarios en 2025 [1]. La I+D se lleva a gastos entera (2.893 M en 2025, el 9,5 % de las ventas) [1]. El riesgo contable está en las existencias (deterioro de 365 M en 2025 y 444 M en el 1S26, que la empresa no detalla por causa: retiradas de baterías, obsolescencia o acopio ante aranceles) y en las devoluciones de ventas (317 M de pasivo) [1, 9]. La devolución de aranceles de 2026 se restó del coste de ventas sin cuantificarla y entra en el beneficio «sin no recurrentes» (扣非) del 1S26, lo que hace parecer recurrente una ayuda única [6, 14]. Los cambios de valor razonable de participaciones cotizadas (271 M en el 1S26) mueven el beneficio publicado, pero la empresa los marca como no recurrentes [6]. Tipo efectivo del 10,4 % en 2025 y del 15,9 % en el 1S26 por el Pilar Dos [1, 6].</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que crecen más que las ventas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Existencias +108 % entre dic-2024 y jun-2026 con ventas +39 %; deterioro de 444 M en el 1S26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Ayuda única dentro del margen bruto sin cuantificar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Devolución de aranceles IEEPA restada del coste de ventas del 1S26; los analistas la estiman en ≈ 700 M [6, 14, 15].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Conversión de caja de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Flujo operativo del 19 % del beneficio en 2025 (481 M)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4.120</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4.691</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5.488</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5.817</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0 M en 2025 (el 0 % del capital invertido medio); ha subido más de un 5 % en 0 de 4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58,2 % · </w:t>
      </w:r>
      <w:r>
        <w:rPr>
          <w:b/>
          <w:bCs/>
        </w:rPr>
        <w:t xml:space="preserve">WACC</w:t>
      </w:r>
      <w:r>
        <w:t xml:space="preserve">: 8,0 %.</w:t>
      </w:r>
    </w:p>
    <w:p>
      <w:pPr>
        <w:spacing w:after="100"/>
      </w:pPr>
      <w:r>
        <w:t xml:space="preserve">Crea valor con holgura. El ROIC del motor subió del 19 % de 2021-2022 al 34 % de 2024-2025, frente a un WACC del 8,0 %: el margen EBIT pasó del 6,6 % al 8,4-9,4 % y el capital invertido es pequeño porque Anker no fabrica (inmovilizado de 1.789 M, casi todo el edificio de oficinas) y los proveedores financian parte de las existencias [1, 4]. El ROE (26 % en 2025) es menor porque el patrimonio lleva unos 7.000 M de caja e inversiones que rinden poco. El riesgo es el circulante: las existencias pasaron del 13 % al 20 % de las ventas LTM en año y medio, y si no se venden a precio lleno el ROIC baja por las dos vías (margen y capital) [6]. Sin fondo de comercio, el ROIC sin compras es el mismo.</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-4.515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-3.667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-8.181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30-jun-2026: tesorería de 3.804 M, renta fija y fondos a valor razonable de 1.455 M, certificados de depósito de 1.214 M (en otros activos corrientes) y participaciones cotizadas de 826 M, frente a 1.678 M de deuda bancaria, 1.109 M del bono convertible y 280 M de arrendamientos [6]. Después del cierre entraron ≈ 4.137 M CNY netos de la salida a Hong Kong (4.861 M HKD con la sobreasignación) y salieron 470 M de dividendo a cuenta en septiembre [11, 16, 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AA+ (rating local de China Chengxin para el bono convertible y el emisor; sin rating internacional)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Sin pensiones de prestación definida ni covenants relevantes publicados. Provisión por pleitos de 198,5 M a diciembre de 2025 (privacidad de las cámaras eufy en Illinois, patentes de Fundamental Innovation con un veredicto de 13,6 M USD en marzo de 2025; Powermat, cerrado con acuerdo) [10]. Pasivos por devoluciones de ventas de 317 M a junio de 2026 [9]. El bono convertible «安克转债» (1.104,6 M, vence el 15-jun-2031) tiene un precio de conversión de 105,96 CNY, por debajo de la cotización: se trata como convertido (10,4 M de acciones más) y no como deuda [18]. Efectos comerciales a pagar de 651 M [6].</w:t>
      </w:r>
    </w:p>
    <w:p>
      <w:pPr>
        <w:pStyle w:val="Heading1"/>
      </w:pPr>
      <w:r>
        <w:t xml:space="preserve">12. Asignación de capital</w:t>
      </w:r>
    </w:p>
    <w:p>
      <w:pPr>
        <w:pStyle w:val="Confianza"/>
        <w:spacing w:after="100"/>
      </w:pPr>
      <w:r>
        <w:t xml:space="preserve">Confianza: Alta</w:t>
      </w:r>
    </w:p>
    <w:p>
      <w:pPr>
        <w:spacing w:after="100"/>
      </w:pPr>
      <w:r>
        <w:t xml:space="preserve">Dividendo en efectivo dos veces al año: 0,70 CNY a cuenta y 1,70 CNY final de 2025 (2,40 CNY, el 51 % del beneficio), y 0,80 CNY a cuenta del 1S26 (470 M, el 28 % del beneficio del semestre), pagado en septiembre de 2026 [1, 11, 12]. No recompra acciones. En 2025 emitió un bono convertible de 1.105 M y en julio de 2026 salió a bolsa en Hong Kong con 50,1 M de acciones H nuevas a 99,32 HKD (≈ 4.137 M CNY netos), una ampliación del 9,3 % que no necesitaba para su caja: la destina a I+D, marca y capacidad fuera de China [10, 16, 17]. Reparte acciones restringidas al equipo cada año (1,7 M de acciones en agosto de 2026)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t xml:space="preserve">Asignación aceptable pero diluyente: el crecimiento es orgánico, sin compras, con un ROIC alto, y la mitad del beneficio vuelve al accionista en dividendos [1]. En contra: dos emisiones en un año con 4.700 M de caja neta (convertible en 2025 y acciones H en 2026), que diluyen un 11 % entre las H y el convertible, y unas existencias que absorbieron casi toda la caja de 2025 [6, 17, 18]. Las inversiones en participaciones (826 M cotizadas y 666 M no cotizadas) son una cartera de capital riesgo propia sin estrategia publicada [6].</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Yang Meng (阳萌)</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(fundador)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de Google en EE. UU. (2006-2011); fundó Anker en 2011 y la preside desde 2016. Con He Li controla el 42,89 % tras la salida a Hong Kong. Cobró 76.400 CNY en 2025: su incentivo es su participación [1,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Zhao Dongping (赵东平)</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director general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Dell China y director de ventas en línea de Google China; presidente de la sociedad operativa desde 2012 y director general desde 2016. Bajo su mando las ventas pasaron de 9.353 M (2020) a 30.514 M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Zhu Fanghao (祝芳浩)</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de Smart Innovation (eufy)</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 presidente de Coolpad Internet y de 360 Mobile; dirige eufy, que pasó de 3.825 M en 2022 a 8.271 M en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Xiong Kang (熊康)</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de la división de carga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de Huawei para Europa occidental; desde 2022 dirige carga y almacenamiento (15.402 M de ventas en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Yang Fan (杨帆)</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 y consultor de fusiones en PwC; director financiero desde febrero de 2021 [1].</w:t>
            </w:r>
          </w:p>
        </w:tc>
      </w:tr>
    </w:tbl>
    <w:p>
      <w:pPr>
        <w:spacing w:after="160" w:before="0"/>
      </w:pPr>
    </w:p>
    <w:p>
      <w:pPr>
        <w:spacing w:after="100"/>
      </w:pPr>
      <w:r>
        <w:t xml:space="preserve">Equipo fundador estable desde 2011-2012, con experiencia de Google, Huawei y Dell, y sin cambios en los puestos ejecutivos clave en 24 meses: solo relevos por fin de mandato (secretario del consejo en 2025, un independiente) [1]. Los fundadores cobran un sueldo simbólico (≈ 76.000 CNY) y no han vendido ni una acción en 12 meses; la dilución del control (del 47 % al 42,9 % con He Li) es pasiva, por la salida a Hong Kong y el convertible [22, 23]. La empresa no publica objetivos de ventas ni de beneficio, así que no hay historial que comprobar [1]. Riesgo de persona clave: Yang Meng marca la estrategia de producto.</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Yang Meng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Zhao Dongping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director general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Zhang Shanfeng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(representante de los trabajadores; cofundador)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Zhu Fanghao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de eufy)</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Xiong Kang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de carga)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Lian Meng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(socio de capital riesgo, 天津宸辉)</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 Congliang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(ex-McKinsey, General Atlantic, Hillhouse)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Yi Xuan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(profesora de contabilidad, Universidad Central del Sur)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Han Xi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independiente (vicepresidente de asuntos públicos de Alibaba)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2021-2025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operaciones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Yang Meng (presidente, 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accionista de 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43,39 % de las A antes de la salida a Hong Kong; sin ventas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Zhao Dongping (director general)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ventas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Hong Kong Securities Clearing (Stock Connect)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Nominatario de inversores extranjeros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47,8 M acciones A a jun-2026 (8,92 % de las A)</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Wu Wenlong (antiguo director técnico)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Particular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 Li (concertada con Yang Meng)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control (en concierto)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Fondo de la seguridad social 114 y Gates Foundation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2,76 % y 0,99 % de las A a jun-2026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0,08 M</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director general (Zhao Dongping) cobró 75.800 CNY en 2025 y el presidente 76.400: los fundadores no tienen sueldo de mercado [1]. Los consejeros que dirigen negocio sí: Xiong Kang 3,28 M y Zhu Fanghao 2,44 M; el conjunto del consejo y la alta dirección, 7,95 M [1]. El variable depende de una evaluación interna de resultados sin indicadores publicados; el largo plazo son acciones restringidas (planes de 2022-2025) con objetivos de crecimiento de ventas o beneficio, no de ROIC [1]. La junta de 2025 aprobó la política de remuneración con el 99,99 % y un 0,0015 % en contra [21].</w:t>
      </w:r>
    </w:p>
    <w:p>
      <w:pPr>
        <w:pStyle w:val="Heading2"/>
      </w:pPr>
      <w:r>
        <w:t xml:space="preserve">Operaciones vinculadas, estructura de control y defensas</w:t>
      </w:r>
    </w:p>
    <w:p>
      <w:pPr>
        <w:spacing w:after="100"/>
      </w:pPr>
      <w:r>
        <w:t xml:space="preserve">Yang Meng y He Li controlan el 42,89 % del capital total tras la salida a Hong Kong, y con Zhao Dongping los fundadores superan el 53 % [1, 22]. Una acción, un voto; las H y las A votan juntas. Sin uso de fondos por el accionista de control. Operaciones vinculadas pequeñas: la compra de los minoritarios de una filial en octubre de 2025 [25]. Las votaciones de la junta de 2025 con más votos en contra fueron los avales a filiales (90,6 % a favor; 58,5 % entre los minoritarios) y la inversión de la tesorería en productos financieros (94,0 %) [21].</w:t>
      </w:r>
    </w:p>
    <w:p>
      <w:pPr>
        <w:pStyle w:val="Heading2"/>
      </w:pPr>
      <w:r>
        <w:t xml:space="preserve">Señales de alerta</w:t>
      </w:r>
    </w:p>
    <w:p>
      <w:pPr>
        <w:pStyle w:val="ListParagraph"/>
        <w:numPr>
          <w:ilvl w:val="0"/>
          <w:numId w:val="2"/>
        </w:numPr>
        <w:spacing w:after="60"/>
      </w:pPr>
      <w:r>
        <w:t xml:space="preserve">Accionista de control con el 42,9 % y presidente ejecutivo; sin consejero coordinador [1, 22].</w:t>
      </w:r>
    </w:p>
    <w:p>
      <w:pPr>
        <w:pStyle w:val="ListParagraph"/>
        <w:numPr>
          <w:ilvl w:val="0"/>
          <w:numId w:val="2"/>
        </w:numPr>
        <w:spacing w:after="60"/>
      </w:pPr>
      <w:r>
        <w:t xml:space="preserve">Solo tres independientes en un consejo de nueve, con seis ejecutivos o dominicales [1].</w:t>
      </w:r>
    </w:p>
    <w:p>
      <w:pPr>
        <w:pStyle w:val="ListParagraph"/>
        <w:numPr>
          <w:ilvl w:val="0"/>
          <w:numId w:val="2"/>
        </w:numPr>
        <w:spacing w:after="60"/>
      </w:pPr>
      <w:r>
        <w:t xml:space="preserve">Votación débil de los minoritarios en los avales a filiales (58,5 % a favor) [21].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Anker no publica objetivos de ventas ni de beneficio [1]. En el semestral solo habla de seguir invirtiendo en I+D, ampliar el almacenamiento doméstico y de balcón, y diversificar canales y regiones para reducir la dependencia de un mercado [6]. El consejo aprueba el 3T26 el 29-oct-2026 [35].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2"/>
        <w:gridCol w:w="1302"/>
        <w:gridCol w:w="1302"/>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 de las notas de Soochow, Guosen, Kaiyuan y Sinolink (ventas, EBIT, EBITDA) y de seis casas (BPA), ago-sep 2026 [14, 28,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48.326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Íd. [14, 28,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57.322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5.991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Íd. [14, 28, 29]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38.753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39.562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46.504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48.326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53.480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57.322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5.348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 0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150,79</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Revisiones de estimaciones</w:t>
      </w:r>
    </w:p>
    <w:p>
      <w:pPr>
        <w:spacing w:after="100"/>
      </w:pPr>
      <w:r>
        <w:t xml:space="preserve">Estables: el BPA de 2026e de las seis casas que publicaron tras el 1S26 va de 5,56 (Soochow) a 7,02 (Sinolink), con media de 6,24, frente a 5,6-6,2 en abril; el de 2027e, de 7,05 a 7,66 (media 7,43) [28]. Yahoo (9 analistas) da 6,10 para 2026e y 7,29 para 2027e, frente a 5,79 y 7,01 hace 90 días [32]. Todas las notas son de compra o sobreponderar; el objetivo medio de Yahoo es 150,79 CNY [32]. Ojo: el BPA de 2026e de los analistas incluye la devolución de aranceles (≈ 700 M) y las ganancias de valor razonable del 1S26 [14, 29].</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-60,6 %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Anker salió a bolsa en agosto de 2020 en plena euforia del ChiNext y perdió un 60 % hasta abril de 2022 aunque el beneficio siguió creciendo [26]. Desde entonces se ha recuperado con el beneficio: +52 % en 2023, +49 % en 2024 y +20 % en 2025 [26]. En 2026 va −2,8 % (CSI 300 −8,6 %), con un recorrido amplio: mínimo de 91,21 CNY en marzo, máximo de 139,17 el 3-sep tras el semestral, y −20,6 % desde entonces [26]. A tres años rinde un 17,3 % anual frente al 8,0 % del índice [26]. Beta de cinco años de 0,99 y volatilidad del 45 %. Vía H (00668, Hong Kong): es la única que puede comprar un particular desde IBKR (el ChiNext por Stock Connect es solo para institucionales) [34]. Cerró el 16-oct a 105,90 HKD (≈ 90,1 CNY al cambio de hoy, 0,8511), un 17 % por debajo de la A el mismo día; desde la salida la H ha cotizado entre un 3 % y un 29 % por debajo de la A (mediana ≈ 19 %), el descuento habitual entre acciones A y H, con una liquidez unas 40 veces menor (≈ 13 M HKD al día en 20 sesiones frente a ≈ 466 M CNY de la A) [27, 38]. Como el objetivo a 12 meses sale de la historia de múltiplos de la A, aplicarlo a la H solo vale si el descuento se cierra; con el descuento constante, la H rinde lo mismo que la A. Además, el 2-ene-2027 termina el bloqueo de los inversores ancla de la salida (23,27 M acciones H, el 46 % de las H), una fecha que puede pesar sobre la H [10].</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-15,0 % / +1,1 % / +4,1 % / -15,6 %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-20,6 % / +17,2 %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lateral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30-oct-2025: el 3T25 decepcionó en beneficio (pérdidas de cambio y gastos financieros) [8]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mar-abr-2026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mínimo de 91,21 (9-mar) a 125,44 al cierre de abril: +12,9 % el 20-mar con el mercado y +11,4 % el 10-abr con los resultados de 2025 (margen bruto del 4T25 récord) [1,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del 11 y 13-may (+8 % y +7,9 %) sin anuncio de la empresa, con la anulación de los aranceles IEEPA y la expectativa de devolución [10,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y durante la salida a Hong Kong: las H debutaron el 2-jul por debajo del precio de salida (−6,8 % la A ese día) y la ampliación diluyó un 9 % [17]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 máximo de 139,17 (3-sep, tras el semestral) a 108,91: venta de hardware y electrónica tras el festivo de octubre, con −8,0 % el 8-oct (ChiNext −3,15 %) sin noticia de la empresa; dudas sobre el margen sin la devolución de aranceles [26, 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585"/>
        <w:gridCol w:w="3904"/>
        <w:gridCol w:w="1220"/>
        <w:gridCol w:w="1831"/>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8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consejo aprueba el 3T26 el 29-oct-2026; Soochow avisa de una posible pérdida de valor razonable en el trimestre [14,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2026-11-10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Vencen las exclusiones de la sección 301 para productos chinos y la tregua comercial EE. UU.-China de noviembre de 2025 [10]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arancel nuevo de más del 10 % sobre la electrónica china llevaría el escenario bajista a central</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2026-07-02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Hong Kong: 50,1 M acciones H a 99,32 HKD (≈ 4.137 M CNY netos); la H cotiza hoy a 105,90 HKD (≈ 90,1 CNY), un 18 % por debajo de la A [17,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convertible (1.104,6 M, precio de conversión 105,96 CNY) está por debajo de la cotización: puede convertirse en 10,4 M de acciones, ya contadas en las diluidas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2026-06-23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Retiradas de 2025 cerradas (&lt; 2,9 millones de baterías) y provisión por pleitos de 198,5 M; sin sanciones publicadas [10]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La caída del 20,6 % desde el máximo del 3-sep tiene dos causas con fecha y ninguna es de la empresa: la venta de hardware y electrónica tras el festivo de octubre (−8,0 % el 8-oct, con el ChiNext −3,15 %) y las dudas sobre el margen sin la devolución de aranceles, que el caso base ya excluye [14, 36]. No hay colocaciones, ventas de directivos, sanciones ni litigios nuevos; la dilución de Hong Kong y del convertible está contada en las acciones. El 3T26 (consejo del 29-oct) puede mover el precio, pero los resultados cercanos no retrasan una decisión (regla 11). La H cotiza un 18 % por debajo de la A: para un inversor extranjero es la vía natural [27, 34].</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precio de cierre de cada año y el BPA real del año siguiente (ajustado por la ampliación de 3 por 10), Anker cotizó a 36,4 veces en 2021, 15,0 en 2022, 17,2 en 2023 y 20,7 en 2024; con nuestro BPA de 2026e, a 19,1 al cierre de 2025 [26]. 2020 (67,9 veces, año de la salida a bolsa) queda fuera. A 110,40 CNY cotiza a 18,7 veces nuestro BPA de 2027e y a 14,9 veces el del consenso: cerca de su mediana adelantada (19,1). El tipo chino a 10 años en el 1,65 % sostiene múltiplos altos, pero la acción H cotiza un 18 % más barata [27, 30].</w:t>
      </w:r>
    </w:p>
    <w:p>
      <w:pPr>
        <w:pStyle w:val="Heading1"/>
      </w:pPr>
      <w:r>
        <w:t xml:space="preserve">18. Comparables cotizados</w:t>
      </w:r>
    </w:p>
    <w:p>
      <w:pPr>
        <w:pStyle w:val="Confianza"/>
        <w:spacing w:after="100"/>
      </w:pPr>
      <w:r>
        <w:t xml:space="preserve">Confianza: Media</w:t>
      </w:r>
    </w:p>
    <w:p>
      <w:pPr>
        <w:spacing w:after="100"/>
      </w:pPr>
      <w:r>
        <w:t xml:space="preserve">Marcas de electrónica de consumo y pequeño electrodoméstico que venden por plataformas y tiendas: cuatro chinas que compiten en las mismas categorías (Ugreen en carga, Ecovacs y Roborock en robots, Edifier en audio), Xiaomi (ecosistema), y cuatro occidentales de accesorios y hogar (Logitech, Garmin, SharkNinja). Fuera Sonos y Arlo: márgenes EBITDA del 1-2 % y ROIC negativo o casi nulo que dan EV/EBITDA sin sentido (15,6 y 51,6 veces). Cifras de Yahoo al 19-oct-2026 en millones de CNY al cambio del día; EV/EBITDA NTM sin dato gratuito [32].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Anker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Ugreen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19.268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Ecovacs Robotics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26.879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Roborock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27.496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Xiaomi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584.159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Edifier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Logitech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Garmin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366.949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SharkNinja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178.552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 / 14,0x / 18,6x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 / 17,2x / 20,1x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144,92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34.253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 / 2,2x / 3,2x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92,58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199,92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Anker cotiza a 1,9 veces ventas y 16 veces el EBITDA LTM de Yahoo (que incluye el valor razonable y la devolución de aranceles), con un PER NTM de 15,6 veces el consenso [32]. Los chinos de su tamaño cotizan a 11-17 veces el BPA NTM (Ecovacs y Roborock, más baratos, con guerra de precios en robots; Ugreen y Edifier en línea); los occidentales de marca (Garmin, SharkNinja) a 25-26 veces con márgenes del 17-28 % [32]. Anker está en la mediana de los chinos con un ROIC del 20 % según Yahoo y un margen EBITDA del 10 %, la mitad de los occidentales: la prima de las marcas occidentales no le corresponde mientras dependa de Amazon y pague aranceles en EE. UU.</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queda medio cerrado (+27 %): ventas del 1S26 de 16.605 M (+29,1 %) y un segundo semestre algo más lento por la comparación con el acopio de 2025 [6]. Después +20 % en 2027e y +15 % en 2028e, por debajo del consenso (+22 % y +19 %), y del 11 % al 6 % hasta 2031e, cerca del mercado de Frost &amp; Sullivan (+12,6 % anual en 2025-2030) [10, 14, 29].</w:t>
      </w:r>
    </w:p>
    <w:p>
      <w:pPr>
        <w:keepNext/>
        <w:spacing w:after="100"/>
      </w:pPr>
      <w:r>
        <w:rPr>
          <w:b/>
          <w:bCs/>
        </w:rPr>
        <w:t xml:space="preserve">Márgenes.</w:t>
      </w:r>
    </w:p>
    <w:p>
      <w:pPr>
        <w:spacing w:after="100"/>
      </w:pPr>
      <w:r>
        <w:t xml:space="preserve">Margen EBITDA con nuestra definición (sin tesorería, valor razonable ni cambio): 7,2 % en 2021, 7,4 % en 2022, 10,1 % en 2023 y 9,0 % en 2024 y 2025; 8,9 % en el LTM de junio sin la devolución de aranceles [1, 6]. Lo dejo en el 9,0 % en 2026e (sin la devolución, que ya está en la caja de junio), 9,5 % en 2027e y 10 % desde 2028e: la mezcla (almacenamiento, audio con IA) y la I+D que deja de crecer más que las ventas compensan aranceles y competencia [6, 14].</w:t>
      </w:r>
    </w:p>
    <w:p>
      <w:pPr>
        <w:keepNext/>
        <w:spacing w:after="100"/>
      </w:pPr>
      <w:r>
        <w:rPr>
          <w:b/>
          <w:bCs/>
        </w:rPr>
        <w:t xml:space="preserve">Inversión y circulante.</w:t>
      </w:r>
    </w:p>
    <w:p>
      <w:pPr>
        <w:spacing w:after="100"/>
      </w:pPr>
      <w:r>
        <w:t xml:space="preserve">Capex del 1,2 % de las ventas (365 M en 2025), sin fábricas, que baja al 1,0 % en 2030e, por encima de la amortización (0,8 %) [1]. El circulante comercial se queda en el 15 % de las ventas, como en 2025 (14,9 %), y no vuelve al 9-11 % de 2023-2024: las existencias altas siguen [1, 6].</w:t>
      </w:r>
    </w:p>
    <w:p>
      <w:pPr>
        <w:keepNext/>
        <w:spacing w:after="100"/>
      </w:pPr>
      <w:r>
        <w:rPr>
          <w:b/>
          <w:bCs/>
        </w:rPr>
        <w:t xml:space="preserve">Coste del capital.</w:t>
      </w:r>
    </w:p>
    <w:p>
      <w:pPr>
        <w:spacing w:after="100"/>
      </w:pPr>
      <w:r>
        <w:t xml:space="preserve">Tasa libre del 1,6497 % (bono chino a 10 años, ChinaBond, 19-oct-2026) en CNY, la divisa de las cuentas [30]. Beta de 1,0: la mensual de cinco años frente al CSI 300 es de 0,99 y la semanal de dos años de 1,0 [26]. Prima de mercado del 5,5 % y prima adicional del 1,0 %: medio punto por China (sede, divisa, controles de capital) aunque vende el 97 % fuera, y medio punto por riesgo específico (Amazon, aranceles de EE. UU.). Coste de la deuda del 2,5 % y peso del 3 % (1.958 M de deuda y arrendamientos frente a 66.229 M de capital); el convertible se trata como acciones.</w:t>
      </w:r>
    </w:p>
    <w:p>
      <w:pPr>
        <w:keepNext/>
        <w:spacing w:after="100"/>
      </w:pPr>
      <w:r>
        <w:rPr>
          <w:b/>
          <w:bCs/>
        </w:rPr>
        <w:t xml:space="preserve">Valor terminal.</w:t>
      </w:r>
    </w:p>
    <w:p>
      <w:pPr>
        <w:spacing w:after="100"/>
      </w:pPr>
      <w:r>
        <w:t xml:space="preserve">Crecimiento a perpetuidad del 1,0 % en CNY: con el bono a 10 años al 1,65 %, el techo de la regla (tasa libre menos medio punto) es el 1,15 % [30]. Gordon con un WACC del 7,97 %; el valor terminal pesa el 76 %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67.958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44.161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68.065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113,46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110,11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144,63</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6.653 M (27 %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 (ROIC 34,2 %)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 frente al 14,5 %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 (histórico: 58,2 %)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2031e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 (hoy: 2,2 %)</w:t>
            </w:r>
          </w:p>
        </w:tc>
      </w:tr>
    </w:tbl>
    <w:p>
      <w:pPr>
        <w:spacing w:after="160" w:before="0"/>
      </w:pPr>
    </w:p>
    <w:p>
      <w:pPr>
        <w:spacing w:after="100"/>
      </w:pPr>
      <w:r>
        <w:t xml:space="preserve">La proyección reinvierte el 27 % del NOPAT. Con el ROIC del último ejercicio (34,2 %), eso financia un crecimiento del 9,1 % anual, frente al 14,5 % de ingresos proyectado. Supone que el capital nuevo rinde un 44,5 %, frente a un ROIC incremental histórico del 58,2 %; la cuota de mercado pasaría al 2,5 % desde el 2,2 %.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ventas del 1S26 +29,1 % con carga y almacenamiento +31 %, eufy +29 % y audio +24 %; precio medio al alza por la mezcla (almacenamiento, audio con IA) [6, 14].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volumen en almacenamiento doméstico y de balcón (Europa, Australia) y en canales fuera de Amazon; algo de precio por productos con IA [14, 20].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por encima del mercado (+12,6 %) con ganancia de cuota pequeña; precio estable [10].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Convergencia hacia el crecimiento de sus mercados [10].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debajo del mercado: madurez de la carga móvil (+9,7 % anual previsto) [10].</w:t>
            </w:r>
          </w:p>
        </w:tc>
      </w:tr>
    </w:tbl>
    <w:p>
      <w:pPr>
        <w:spacing w:after="160" w:before="0"/>
      </w:pPr>
    </w:p>
    <w:p>
      <w:pPr>
        <w:spacing w:after="100"/>
      </w:pPr>
      <w:r>
        <w:t xml:space="preserve">Sí. El crecimiento proyectado (14,5 % anual) reinvierte el 27 % del NOPAT; con el ROIC de 2025 (34,2 %) eso financia un 9,1 % anual, y el resto exige que el capital nuevo rinda un 44,5 %: por debajo del rendimiento incremental histórico (58,2 %), porque Anker crece sin fábricas y con poco capital, aunque por encima del ROIC medio. La cuota implícita pasa del 2,2 % al 2,5 % de sus nueve mercados en 2031e, 1,1 veces la actual: el crecimiento sale del mercado, no de quitar cuota. Lo más exigente es el circulante: si las existencias siguen subiendo, la reinversión será mayor.</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(2027e-2031e)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10,5 % (base: 12,0 %)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 (base: 10,0 %)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 (WACC: 8,0 %)</w:t>
            </w:r>
          </w:p>
        </w:tc>
      </w:tr>
    </w:tbl>
    <w:p>
      <w:pPr>
        <w:spacing w:after="160" w:before="0"/>
      </w:pPr>
    </w:p>
    <w:p>
      <w:pPr>
        <w:spacing w:after="100"/>
      </w:pPr>
      <w:r>
        <w:t xml:space="preserve">El DCF da 113,46 CNY por acción, un 2,8 % más que el precio, con un WACC del 7,97 % y un crecimiento terminal del 1 %; el valor terminal pesa el 76 %. El DCF inverso dice que el precio de 110,40 CNY descuenta un crecimiento del 10,5 % anual en 2027-2031e frente a nuestro 12,0 %, y una rentabilidad implícita del 8,2 %, casi igual al WACC: el mercado paga lo justo por nuestro caso base, sin descuento. Frente a la historia, nuestro base no es optimista: Anker creció un 24,8 % anual en 2021-2025 y proyectamos un 14,5 %, con el margen de 2023-2025.</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impone un arancel nuevo a la electrónica china tras el 10-nov-2026 y Amazon sube tarifas; la competencia china baja los precios del almacenamiento: el crecimiento queda 6 puntos por debajo del base cada año (+14 % en 2027e) y el margen EBITDA 2 puntos más bajo, como en 2021-2022 [1, 10].</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almacenamiento y los canales fuera de Amazon mantienen el crecimiento: ventas +20 % en 2027e y +15 % en 2028e, margen EBITDA del 10 % desde 2028e, con aranceles como los de hoy.</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138,82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margen bruto del 47 % sin ayudas se sostiene, la I+D se apalanca y los aranceles bajan: crecimiento 5 puntos mayor cada año y margen 1 punto más alto, cerca de lo que espera el consenso [14, 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CNY) · precio actual 110,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110,83 CNY (+0,4 %).</w:t>
      </w:r>
    </w:p>
    <w:p>
      <w:pPr>
        <w:spacing w:after="100"/>
      </w:pPr>
      <w:r>
        <w:t xml:space="preserve">La asimetría es desfavorable con nuestro WACC: el alcista (138,82 CNY, +25,7 %) gana algo menos de lo que pierde el bajista (77,56 CNY, −29,7 %), con probabilidades de 25/50/25. El bajista no es extremo: crecimiento 6 puntos menor y margen 2 puntos más bajo, como en 2021-2022 [1]. El alcista supone un margen cercano al del consenso. El valor ponderado de los escenarios (≈ 110,8 CNY) queda en el precio; con la prima implícita del mercado la asimetría pasa a 2,9 veces.</w:t>
      </w:r>
    </w:p>
    <w:p>
      <w:pPr>
        <w:pStyle w:val="Heading1"/>
      </w:pPr>
      <w:r>
        <w:t xml:space="preserve">22. Suma de partes</w:t>
      </w:r>
    </w:p>
    <w:p>
      <w:pPr>
        <w:pStyle w:val="Confianza"/>
        <w:spacing w:after="100"/>
      </w:pPr>
      <w:r>
        <w:t xml:space="preserve">Confianza: Media</w:t>
      </w:r>
    </w:p>
    <w:p>
      <w:pPr>
        <w:spacing w:after="100"/>
      </w:pPr>
      <w:r>
        <w:t xml:space="preserve">No aplica: las tres líneas comparten marca, canales (Amazon, web, tiendas), I+D y cadena de suministro, y la empresa solo publica ventas y margen bruto por línea, sin resultado operativo [1]. No hay una parte con valor de mercado separable.</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CNY) · precio actual 110,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144,92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110,95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114,72 CNY (+3,9 % sobre 110,40).</w:t>
      </w:r>
    </w:p>
    <w:p>
      <w:pPr>
        <w:spacing w:after="100"/>
      </w:pPr>
      <w:r>
        <w:t xml:space="preserve">Pesos: DCF 50 %, escenarios 30 % y comparables 20 %. El DCF y los escenarios recogen el crecimiento, el margen y la caja; los comparables pesan menos porque mezclan marcas chinas con márgenes de la mitad y guerra de precios (Ecovacs, Roborock) y marcas occidentales con márgenes del 17-28 % (Garmin, SharkNinja) [32]. Sin transacciones con múltiplo publicado y sin suma de partes. El PER de los próximos doce meses de los comparables da 123,71 CNY con el BPA del consenso y el EV/EBITDA de los últimos doce meses 87,70 CNY con nuestro EBITDA sin la devolución. El puente parte del balance de junio de 2026: caja de 6.473 M (tesorería, renta fija y certificados), participaciones de 2.048 M (asociadas, cotizadas y no cotizadas), menos 1.678 M de deuda bancaria, 280 M de arrendamientos y 161 M de minoritarios; suma 4.137 M netos de la salida a Hong Kong (julio) y resta el dividendo de septiembre (470 M) [6, 11, 16, 17]. El convertible (1.104,6 M, conversión a 105,96 CNY) va como 10,4 M de acciones más, no como deuda [18].</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(18.7x) a mitad de camino hacia la mediana de 5 años (19.1x)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185,97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+70,7 %</w:t>
            </w:r>
          </w:p>
        </w:tc>
      </w:tr>
    </w:tbl>
    <w:p>
      <w:pPr>
        <w:spacing w:after="160" w:before="0"/>
      </w:pPr>
    </w:p>
    <w:p>
      <w:pPr>
        <w:spacing w:after="100"/>
      </w:pPr>
      <w:r>
        <w:rPr>
          <w:b/>
          <w:bCs/>
        </w:rPr>
        <w:t xml:space="preserve">Objetivo a 12 meses (ponderado):</w:t>
      </w:r>
      <w:r>
        <w:t xml:space="preserve"> 132,89 CNY · rentabilidad +22,6 % (base +24,3 %) · señal Comprar.</w:t>
      </w:r>
    </w:p>
    <w:p>
      <w:pPr>
        <w:spacing w:after="100"/>
      </w:pPr>
      <w:r>
        <w:t xml:space="preserve">Para comparar, con la regla v2 (historia al cierre, mismo precio): 15,9x / 18,7x / 24,3x, 28,1 % Comprar.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2027e (5,91) queda un 20 % por debajo del consenso (7,43) y el de 2028e (7,13), un 20 % por debajo (8,90) [28]. La diferencia es de margen, no de ventas: el consenso espera un margen EBITDA del 11,8 % en 2027e-2028e y nosotros el 9,5-10 %, porque el salto del 1S26 se apoyó en la devolución de aranceles (≈ 700 M) y sin ella el margen del semestre no mejoró [6, 14, 15]. Nuestro base (134,76) queda un 11 % por debajo del objetivo medio de los analistas (150,79) [32].</w:t>
      </w:r>
    </w:p>
    <w:p>
      <w:pPr>
        <w:keepNext/>
        <w:spacing w:after="100"/>
      </w:pPr>
      <w:r>
        <w:rPr>
          <w:b/>
          <w:bCs/>
        </w:rPr>
        <w:t xml:space="preserve">Del valor intrínseco al objetivo a 12 meses.</w:t>
      </w:r>
    </w:p>
    <w:p>
      <w:pPr>
        <w:spacing w:after="100"/>
      </w:pPr>
      <w:r>
        <w:t xml:space="preserve">El objetivo a 12 meses (ponderado 132,89 CNY; base 134,76) da una rentabilidad del 22,6 % ponderada y del 24,3 % en el base, con el dividendo. No sale de un múltiplo más alto: el PER base (18,9 veces) apenas se mueve desde el actual (18,7 veces nuestro BPA de 2027e) hacia la mediana adelantada (19,1). Sale del crecimiento del beneficio de 2027e a 2028e (+21 %: ventas +15 % y medio punto más de margen) y del dividendo (2,3 %). El valor intrínseco (114,72 CNY) queda solo un 3,9 % por encima del precio: cumple el requisito, sin margen de seguridad. El control v2 (PER al cierre, mediana de 24,2 veces) daría un objetivo más alto; el selector se queda con la v3.</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(consejo del 29-oct)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sin la devolución de aranceles, existencias y posible pérdida de valor razonable que anticipa Soochow [14, 35]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Vencen las exclusiones de la sección 301 y la tregua comercial EE. UU.-China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Define los aranceles de 2027 sobre el 46 % de las ventas [10]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 Friday y Navidad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4T trae ≈ 30 % de las ventas; medida de la rotación de las existencias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devoluciones de aranceles IEEPA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Cobro pendiente posible de lo pagado en 2025 (143 M USD en total de aranceles) no contabilizado [10]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2026 y dividendo final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año completo con NIIF y acciones H; reparto del 50 % del beneficio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sobre la electrónica china (vencen las exclusiones de la sección 301 y la tregua el 10-nov-2026)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a −30 % (escenario bajista: 77,56 CNY en 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IEEPA fue anulado y se devuelve; Anker produce parte fuera de China y subió precios en 2025 sin perder volumen; Norteamérica es el 46 % de las ventas [1, 10].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arancel nuevo de más del 10 % sobre los cargadores, baterías y audio chinos, o el margen bruto trimestral (sin devoluciones) por debajo del 43 %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 Amazon (52 % de las ventas en 2025)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por cada 2 puntos de comisión o publicidad adicional; la rescisión sería −40 % o más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peso baja (57 % en 2023, 46 % en el 1S26) con la web propia (+39 %), otras plataformas (+96 %) y la venta física (30 %); Anker es la marca de carga más vendida de Amazon [6, 10].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Cambios en las tarifas de logística o publicidad de Amazon, o bloqueo de fichas de producto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Seguridad de las baterías: nuevas retiradas o demandas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−8 % (una retirada como la de 2025, ≤ 1 % de las ventas, más el daño de marca)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Ruptura con el proveedor de celdas fallido, más control de celdas y primera marca en certificar la norma china de 2026 [10].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Avisos de la CPSC o de la UE sobre productos Anker; provisión de garantías por encima de 300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y descuentos (6.734 M a jun-2026)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 de rotación en canales propios; el deterioro ya va por la cuenta (444 M en el 1S26)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Existencias por encima del 22 % de las ventas LTM o deterioro anual de más de 800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china en almacenamiento y carga (EcoFlow, Jackery, Ugreen, Baseus)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I+D del 9-11 % de las ventas y cuota de líder en carga móvil y balcón [10].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 carga y almacenamiento por debajo del 40 % (41,3 % en 2025)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Yuan fuerte y pérdidas de cambio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 en dólares, euros y yenes y compra parte en dólares; coberturas a plazo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Pérdidas de cambio de más de 200 M en un semestre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Dilución y gobierno: control del fundador, emisiones sin necesidad de caja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Reparto del 50 % del beneficio; minoritarios votan en junta (dividendo a cuenta aprobado con el 99,999 % en septiembre) [12, 24].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 emisión de acciones o de convertible</w:t>
            </w:r>
          </w:p>
        </w:tc>
      </w:tr>
    </w:tbl>
    <w:p>
      <w:pPr>
        <w:spacing w:after="160" w:before="0"/>
      </w:pPr>
    </w:p>
    <w:p>
      <w:pPr>
        <w:pStyle w:val="Heading2"/>
      </w:pPr>
      <w:r>
        <w:t xml:space="preserve">Pre-mortem</w:t>
      </w:r>
    </w:p>
    <w:p>
      <w:pPr>
        <w:spacing w:after="100"/>
      </w:pPr>
      <w:r>
        <w:t xml:space="preserve">Octubre de 2029: Anker vale un 40 % menos. Lo que pasó: en noviembre de 2026 vencieron las exclusiones de la sección 301 y EE. UU. impuso un arancel nuevo a la electrónica china con otra base legal; Anker pagó un 6-8 % de sus ventas en aranceles y solo trasladó la mitad al precio. A la vez, Amazon subió las tarifas de logística y publicidad, y EcoFlow y las marcas de Shenzhen hundieron los precios del almacenamiento de balcón en Europa. Las existencias acumuladas en 2025-2026 se liquidaron con descuento y el margen EBITDA volvió al 7 % de 2021-2022. El mercado pasó a pagar 13-15 veces un beneficio que no crecía, como en 2022.</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−5 % a +5 %</w:t>
      </w:r>
    </w:p>
    <w:p>
      <w:pPr>
        <w:spacing w:after="100"/>
      </w:pPr>
      <w:r>
        <w:t xml:space="preserve">Anker vende objetos físicos (cargadores, baterías, cámaras, auriculares) y la IA no los sustituye. Le favorece en producto: auriculares con chip propio de IA, grabadoras con transcripción y cámaras y robots que reconocen objetos, que suben el precio medio, y los centros de datos no le afectan [6, 14]. Le perjudica por tres vías menores: los asistentes de compra con IA (en Amazon y en buscadores) pueden quitar valor a la marca y al posicionamiento que Anker compra con publicidad; la IA abarata el diseño y el marketing de los rivales chinos, que copian más rápido; y los grandes de los teléfonos (Apple, Samsung, Xiaomi) integran funciones de IA que quitan sentido a algunos accesorios. Señal: el peso de la publicidad en los gastos de venta (22 % de las ventas en 2025) y el precio medio de los productos de audio [1].</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dato publicado verificable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r>
    </w:tbl>
    <w:p>
      <w:pPr>
        <w:spacing w:after="160" w:before="0"/>
      </w:pPr>
    </w:p>
    <w:p>
      <w:pPr>
        <w:pStyle w:val="Heading2"/>
      </w:pPr>
      <w:r>
        <w:t xml:space="preserve">Asuntos materiales</w:t>
      </w:r>
    </w:p>
    <w:p>
      <w:pPr>
        <w:spacing w:after="100"/>
      </w:pPr>
      <w:r>
        <w:t xml:space="preserve">Lo más material es la seguridad del producto: baterías de litio que pueden incendiarse. En junio y octubre de 2025 retiró voluntariamente menos de 2,9 millones de baterías portátiles (modelos A1257, A1680, A1681, A1689, A1642, A1647, A1652 y A1263) por fugas térmicas en celdas de un proveedor, rompió con ese proveedor y estima una pérdida no superior al 1 % de las ventas de 2025 [10]. Le siguen la cadena de suministro subcontratada en China y el Sudeste Asiático (condiciones laborales) y la privacidad de las cámaras eufy (demanda colectiva en Illinois desde 2022) [1, 10].</w:t>
      </w:r>
    </w:p>
    <w:p>
      <w:pPr>
        <w:pStyle w:val="Heading2"/>
      </w:pPr>
      <w:r>
        <w:t xml:space="preserve">Controversias</w:t>
      </w:r>
    </w:p>
    <w:p>
      <w:pPr>
        <w:spacing w:after="100"/>
      </w:pPr>
      <w:r>
        <w:t xml:space="preserve">Retiradas de baterías de 2025 (≈ 2,9 millones de unidades, pérdida esperada ≤ 1 % de las ventas) [10]. Demanda colectiva por la privacidad de las cámaras eufy (Sloan, Illinois, en fase de prueba, más de 5 M USD reclamados) y pleitos de patentes (Fundamental Innovation: 13,6 M USD de veredicto en marzo de 2025; Powermat: cerrado con acuerdo); provisión de 198,5 M a diciembre de 2025 [10]. Sin sanciones de reguladores publicadas en el folleto.</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fue exactamente la devolución de aranceles IEEPA del 1S26 y cuánto queda por cobrar de lo pagado en 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margen recurrente del puntual; el consenso lo mezcla.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fue el margen bruto del 2T26 sin la devolución y cuánto del aumento es mezcla de producto y cuánto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nuestro base (10 %) y el consenso (12 %).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6.734 M de existencias es acopio ante aranceles, cuánto es almacenamiento y qué antigüedad tienen?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descuentos y deterioros en 2027.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Amazon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evolucionan las comisiones y la publicidad en Amazon como porcentaje de las ventas de ese canal?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mitad del negocio depende de un contrato que se rescinde con 30 días.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Baterías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fue el coste total de las retiradas de 2025 y qué controles hay sobre los nuevos proveedores de celdas?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folleto solo da un tope (≤ 1 % de las ventas).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Hong Kong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 qué se usarán los ≈ 4.100 M de la salida a Hong Kong si la empresa ya tenía caja neta?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Dilución del 9 % sin necesidad aparente de caja.</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Guba de Eastmoney (foro de 300866)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Particulares que compraron por encima de 120 CNY tras el semestral; hablan de «doble techo», de cortos en el margen y de que el 2T26 fue inflado por la devolución de aranceles. Algunos esperan el 3T26 para comprar más barato [39].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Guba de Eastmoney (hilos de debate)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Debate sobre las existencias de 6.700 M, los pleitos de patentes en EE. UU., una nueva sociedad de semiconductores (13-oct) y si Ugreen le quita cuota; los alcistas citan el almacenamiento de balcón y el consenso de compra [40].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inflado por la devolución de aranceles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en parte: la empresa restó la devolución del coste de ventas del 1S26; sin ella el margen bruto del 2T26 sería ≈ 47 %, aún +1-2 puntos sobre el 2T25 según Sinolink (semestral e informe de Sinolink).</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altas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6.734 M a junio (+35 % desde diciembre) y 444 M de deterioro en el semestre.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Almacenamiento de balcón y doméstico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línea de carga y almacenamiento creció un 31 % en el 1S26; Frost &amp; Sullivan prevé +19,6 % anual para el almacenamiento de consumo.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tras la caída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110,40 CNY cotiza a 18,7 veces nuestro BPA de 2027e, cerca de su mediana adelantada; la sección de valoración lo comprueba.</w:t>
            </w:r>
          </w:p>
        </w:tc>
      </w:tr>
    </w:tbl>
    <w:p>
      <w:pPr>
        <w:spacing w:after="160" w:before="0"/>
      </w:pPr>
    </w:p>
    <w:p>
      <w:pPr>
        <w:spacing w:after="100"/>
      </w:pPr>
      <w:r>
        <w:t xml:space="preserve">El minorista chino está decepcionado tras comprar en el máximo de septiembre y lee el 2T26 como inflado por la devolución de aranceles, mientras los nueve analistas siguen en compra con un objetivo medio de 150,79 CNY [32, 39]. Esa distancia es habitual tras un rebote fuerte y no es una señal por sí sola. Los foros aciertan en lo esencial (la ayuda de los aranceles no se repite y las existencias son altas) y el informe ya lo recoge; no aportan un riesgo nuevo.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22 de 29 controles correctos y 7 explicados. Fuentes: 40 (24 primarias); citas distintas en el texto: 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6,5 %: explica la causa (créditos fiscales, regularizaciones, mezcla de países) y no lo proyectes en el DCF. Explicación: El tipo bajo sale de la conciliación de los informes anuales: la sociedad tributa al 15 % (alta tecnología) y la deducción adicional de la I+D resta 7-9 puntos cada año (267 M en 2025 y 235 M en 2024) [1, 3]. No se proyecta: desde 2026 el Pilar Dos (impuesto mínimo del 15 %) subió el tipo al 15,9 % en el 1S26, y el DCF usa el 16 % [6, 14].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5,8 %: explica la causa (créditos fiscales, regularizaciones, mezcla de países) y no lo proyectes en el DCF. Explicación: 5,8 % en 2024: impuesto teórico de 352 M al 15 %, menos 235 M de la deducción adicional de la I+D y 41 M de ajustes de años anteriores [1]. El DCF usa el 16 % por el Pilar Dos [6].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10,4 %: explica la causa (créditos fiscales, regularizaciones, mezcla de países) y no lo proyectes en el DCF. Explicación: 10,4 % en 2025: impuesto teórico de 438 M al 15 %, más 96 M por filiales con tipos distintos y la provisión del Pilar Dos, menos 267 M de la deducción adicional de la I+D [1]. El DCF usa el 16 %, el tipo del 1S26 [6].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44,5 % frente a un ROIC de 34,2 % y un incremental histórico de 58,2 %: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2,5 % en 2031e frente al 2,2 %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15,0 % frente a 14,9 % real: genera una variación de circulante de 1.257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Anker (18,5x → 10,2x): el salto implica un crecimiento del EBITDA que no cuadra con el de las ventas. ¿EBITDA de proveedores distintos, o un cambio de perímetro? Explicación: La fila de Anker mezcla nuestro EBITDA LTM (3.039 M: sin valor razonable, tesorería, cambio ni la devolución de aranceles de ≈ 700 M) con el EBITDA NTM del consenso (≈ 5.500 M), que lleva la devolución en 2026e, en algunas casas los ingresos de inversiones, y un margen EBITDA del 12-13 % en 2027e frente al 9,0 % de 2025 [14, 29]. No es un cambio de perímetro: es la diferencia de margen que se explica en el control siguiente.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(2026e)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-26,8 % frente al consenso: justifica la diferencia en el DCF. Explicación: Diferencia deliberada. En 2026e el consenso (4.765 M de EBITDA) incluye la devolución de aranceles IEEPA (≈ 700 M, el 1,8 % de las ventas) que nosotros tratamos como no recurrente [14, 15]; sin ella, la diferencia baja al 15 %. El resto es margen: el semestre sin la devolución dio un margen EBIT del 7,4 % frente al 7,8 % del 1S25, con la I+D al 11,3 % de las ventas, un deterioro de existencias de 444 M y aranceles de EE. UU. todavía en vigor [6, 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(2027e)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-22,8 % frente al consenso: justifica la diferencia en el DCF. Explicación: Las ventas coinciden casi (46.504 M frente a 48.326 M); la diferencia es de margen: el consenso espera un EBITDA del 11,8 % de las ventas (Soochow 13,1 %, Kaiyuan 10,8 %) y nosotros el 9,5 % [14, 29]. Anker nunca ha pasado del 10,1 % con nuestra definición (2023) y entre 2023 y 2025 la mejora del margen bruto (+1,6 puntos) se fue en I+D y venta [1]. Si el margen bruto de ≈ 47 % sin la devolución se sostiene y la I+D deja de crecer más que las ventas, el alcista (11 %) recoge esa posibilidad.</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(2028e)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-21,1 % frente al consenso: justifica la diferencia en el DCF. Explicación: Misma razón: margen EBITDA del 10,0 % frente al 11,8 % del consenso (6.778 M sobre 57.322 M) y ventas un 7 % más bajas (53.480 M) porque el crecimiento de 2025-2026 se apoyó en el acopio del canal ante los aranceles y en el almacenamiento, que tiene más competencia [10, 14, 29]. Nuestro BPA de 2028e (7,13) queda un 20 % por debajo del consenso (8,90).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40 fuentes (24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trimestral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trimestrales CAS (sin amortización trimestral); 2) semestral CAS y NIIF (amortización solo semestral); 3) derivarlo prorrateando: descartado por las diferencias de cambio y el valor razonable trimestrales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exacto de la devolución de aranceles IEEPA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Semestral CAS (solo dice que se restó del coste de ventas); 2) resultados NIIF de HKEX (lo mismo, sin cifra); 3) notas de analistas (estimaciones de ≈ 100 M USD y ≈ 700 M CNY)</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Estimado: 700 M, con la cifra de los analistas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Fichas de Yahoo (solo margen EBITDA, en los comparables de la nota D); 2) informes anuales de los rivales (definiciones distintas); 3) los rivales privados (EcoFlow, Jackery, Baseus) no publican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margen EBITDA de los cotizados va en los comparables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calificación ESG de una agencia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ESG 2025 (no cita la calificación de MSCI o Sustainalytics); 2) web de MSCI ESG Ratings (requiere sesión); 3) prensa (sin cifra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historial_guidance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2021-2025 (no publican objetivos anuales de ventas ni beneficio); 2) folleto de Hong Kong (sin previsiones); 3) presentaciones de resultados (sin cifras de objetivo)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la empresa no da objetivos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desglose fijo/variable de la remuneración y voto a la cúpula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(solo total); 2) acta de la junta de 2025 (sin elección de consejeros: el mandato vence en 2028); 3) folleto de Hong Kong (total por persona)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Compras en electrónica de consumo 2020-2026 (Logitech, Garmin: pequeñas, sin EBITDA del perímetro); 2) compras chinas de marcas de Amazon (Aukey, Mpow: sin cifras publicadas); 3) prensa: múltiplos no comprobables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 de Shenzhen (solo saldo de préstamo de valores); 2) Eastmoney (saldo de financiación ≈ 315 M, no cortos); 3) HKEX (cortos de las H, no de las 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plataformas internacionales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Seeking Alpha (sin cobertura de 300866 ni de 00668); 2) Reddit y Stocktwits (sin hilos sobre la acción; los de r/anker son de producto); 3) Xueqiu (requiere sesión)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en EE. UU. separadas de Norteamérica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(solo Norteamérica, 46,3 %); 2) folleto de Hong Kong (aranceles pagados en EE. UU., no ventas); 3) notas de analistas (sin cifra de EE. UU.)</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 Norteamérica como aproximación de la exposición a los aranceles de EE. UU.</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2025年年度报告 (informe anual 2025, CAS: estados consolidados, notas, ventas por línea, región y canal, I+D, plantilla)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Anker Innovations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http://static.cninfo.com.cn/finalpage/2026-04-10/1225090973.PDF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2024年年度报告 (informe anual 2024: estados de 2024, ampliación gratuita 3x10, dividendos)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Anker Innovations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http://static.cninfo.com.cn/finalpage/2025-04-29/1223379891.PDF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2023年年度报告 (informe anual 2023: estados de 2023, nueva segmentación por línea)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Anker Innovations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http://static.cninfo.com.cn/finalpage/2024-04-25/1219800919.PDF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2022年年度报告 (informe anual 2022: estados de 2022, pago del edificio de oficinas)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Anker Innovations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http://static.cninfo.com.cn/finalpage/2023-04-19/1216460035.PDF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2021年年度报告 (informe anual 2021: estados de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Anker Innovations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http://static.cninfo.com.cn/finalpage/2022-04-12/1212886831.PDF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2026年半年度报告 (informe semestral 2026: balance a 30-jun-2026, cuenta y flujos del 1S26, devolución de aranceles IEEPA, otros activos corrientes,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Anker Innovations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http://static.cninfo.com.cn/finalpage/2026-08-31/1225533054.PDF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2026年一季度报告 (informe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Anker Innovations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http://static.cninfo.com.cn/finalpage/2026-04-30/1225260221.PDF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2025年三季度报告 (informe del 3T25)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Anker Innovations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http://static.cninfo.com.cn/finalpage/2025-10-30/1224768089.PDF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Results Announcement for the six months ended June 30, 2026 (NIIF: coste de ventas compensado en parte por la devolución de aranceles IEEPA de años anteriores)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Anker Innovations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https://www1.hkexnews.hk/listedco/listconews/sehk/2026/0830/2026083000385.pdf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Prospectus (Global Offering) de las acciones H: ventas por Amazon 2023-2025, aranceles pagados en 2025 (143,0 M USD), retiradas de baterías, pleitos y provisiones, canales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Anker Innovations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https://www1.hkexnews.hk/listedco/listconews/sehk/2026/0623/2026062300037.pdf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2026年半年度利润分配方案 / 权益分派实施公告 (dividendo a cuenta de 0,80 CNY por acción, 470 M, pagado en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Anker Innovations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http://static.cninfo.com.cn/finalpage/2026-09-23/1225579080.PDF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2025年年度权益分派实施公告 (dividendo final de 2025: 1,70 CNY por acción)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Anker Innovations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http://static.cninfo.com.cn/finalpage/2026-05-20/1225316090.PDF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Estados financieros F10 de 300866 (cuenta, balance y flujos 2019-2026 en la base de Eastmoney; transcripción comprobada contra los informes)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https://emweb.securities.eastmoney.com/PC_HSF10/NewFinanceAnalysis/Index?code=SZ300866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Soochow Securities (东吴证券): punto de vista del 1S26 (devolución de aranceles ≈ 100 M USD; previsiones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Soochow Securities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https://pdf.dfcfw.com/pdf/H3_AP202609021828907754_1.pdf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Sinolink Securities (国金证券): «26Q2业绩超预期» (margen bruto del 2T26 sin la devolución ≈ 47 %; devoluciones de impuestos +≈ 700 M en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Sinolink Securities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https://pdf.dfcfw.com/pdf/H3_AP202608311828813452_1.pdf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关于H股超额配股权部分行使的公告 (sobreasignación parcial: 3.443.300 acciones H y 337,86 M HKD netos adicionales)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Anker Innovations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http://static.cninfo.com.cn/finalpage/2026-07-27/1225442252.PDF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关于H股挂牌并上市交易的公告 (46.632.800 acciones H a 99,32 HKD; 4.523 M HKD netos; cotiza desde el 2-jul-2026)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Anker Innovations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http://static.cninfo.com.cn/finalpage/2026-07-02/1225406962.PDF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可转换公司债券2026年第三季度转股情况公告 (bono convertible 123257: 1.104,62 M pendientes a 30-sep-2026, precio de conversión 105,96 CNY)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Anker Innovations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http://static.cninfo.com.cn/finalpage/2026-10-09/1225599278.PDF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Yahoo Finance de Ugreen, Ecovacs, Roborock, Xiaomi, Edifier, Logitech, Garmin, SharkNinja (ventas y margen del último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Kaiyuan Securities (开源证券): nota del 1S26 (almacenamiento de balcón en Europa, distribuidor australiano)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Kaiyuan Securities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https://pdf.dfcfw.com/pdf/H3_AP202609011828867218_1.pdf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2025年年度股东会决议公告 (votaciones de la junta de 2025, mayo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Anker Innovations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http://static.cninfo.com.cn/finalpage/2026-05-12/1225302130.PDF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关于控股股东、实际控制人持股比例被动稀释触及1%整数倍的提示性公告 (Yang Meng y He Li: del 43,27 % al 42,89 %)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Anker Innovations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http://static.cninfo.com.cn/finalpage/2026-08-06/1225462252.PDF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Búsqueda de anuncios de ventas de accionistas y directivos (减持) en CNINFO, oct-2025 a oct-2026: ninguno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https://www.cninfo.com.cn/new/disclosure/stock?stockCode=300866&amp;orgId=gfbj0839473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2026年第三次临时股东会决议公告 (junta extraordinaria de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Anker Innovations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http://static.cninfo.com.cn/finalpage/2026-09-17/1225570658.PDF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关于收购控股子公司少数股东股权暨关联交易的公告 (compra de minoritarios de una filial, operación vinculada)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Anker Innovations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http://static.cninfo.com.cn/finalpage/2025-10-30/1224768084.PDF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300866.SZ, 510300.SS (CSI 300) y 159732.SZ (ETF de electrónica de consumo), hasta el 16-oct-2026 (herramientas/bolsa.mjs y movimiento.mjs)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https://finance.yahoo.com/quote/300866.SZ/history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Cotización de 300866 (cierre del 19-oct-2026: 110,40 CNY, dato de las 15:35 de Pekín) y de 00668 (105,90 HKD, cierre del 16-oct)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Sina Finance (hq.sinajs.cn)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https://hq.sinajs.cn/list=sz300866,hk00668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Listado de informes de analistas de 300866 con BPA previsto 2026-2028 (oct-2025 a 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(东方财富研报中心)</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https://data.eastmoney.com/report/stock.jshtml?code=300866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Guosen, Kaiyuan y Sinolink: notas del 1S26 (ventas, EBIT, EBITDA y BPA 2026-2028e)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Guosen / Kaiyuan / Sinolink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https://pdf.dfcfw.com/pdf/H3_AP202609021828906670_1.pdf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Curva de la deuda pública china (中债国债收益率曲线), 19-oct-2026: 10 años 1,6497 %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ChinaBond (中央国债登记结算)</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https://yield.chinabond.com.cn/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y estimaciones (earningsTrend) de Anker y los comparables, 19-oct-2026 (9 analistas, objetivo medio 150,79 CNY)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https://finance.yahoo.com/quote/300866.SZ/analysis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 of SZSE Securities / China Connect Securities (eligible for both buy and sell), actualizado el 16-oct-2026: 300866, n.º 1750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https://www.hkex.com.hk/-/media/HKEX-Market/Mutual-Market/Stock-Connect/Eligible-Stocks/View-All-Eligible-Securities_xls/SZSE_Securities.xls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Connect FAQ: la negociación de acciones del ChiNext por el Northbound se limita a inversores profesionales institucionales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https://www.hkex.com.hk/-/media/HKEX-Market/Mutual-Market/Stock-Connect/Getting-Started/Information-Booklet-and-FAQ/FAQ/FAQ_En.pdf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H股公告-董事会会议召开日期 (consejo del 29-oct-2026 para aprobar los resultados del 3T26)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Anker Innovations (CNINFO / 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http://static.cninfo.com.cn/finalpage/2026-10-19/1225610056.PDF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10月8日全球大跌：AI行情还有没有下一段？ (venta de hardware de IA tras un informe de Morgan Stanley; ChiNext −3,15 % el 8-oct)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网易 (163.com) / 躺平指数</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https://www.163.com/dy/article/L8PRFIKP0552UNKW.html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H股月报表 (acciones a 30-sep-2026: 539.356.046 A y 50.076.100 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Anker Innovations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https://www1.hkexnews.hk/listedco/listconews/sehk/2026/1007/2026100700758.pdf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00668 (cierre, volumen e importe negociado) desde el 2-jul-2026 y cambio HKD/CNY del 19-oct-2026 (0,8511)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Finance (gtimg) /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https://web.ifzq.gtimg.cn/appstock/app/hkfqkline/get?param=hk00668,day,,,320,qfq</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Guba de Eastmoney, foro de 300866 (安克创新吧): unos 160 mensajes del 8 al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Guba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https://guba.eastmoney.com/list,300866.html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Guba de Eastmoney, foro de 300866: hilos con debate sobre márgenes, existencias y pleitos (sep-oct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Guba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https://guba.eastmoney.com/list,300866_2.html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82,2 %</w:t>
      </w:r>
      <w:r>
        <w:t xml:space="preserve"> · Secciones con menos del 60 % de campos cubiertos: </w:t>
      </w:r>
      <w:r>
        <w:rPr>
          <w:b/>
          <w:bCs/>
        </w:rPr>
        <w:t xml:space="preserve">capital, directivos, gobierno, transacciones</w:t>
      </w:r>
      <w:r>
        <w:t xml:space="preserve"> · Generado el 19 oct 2026.</w:t>
      </w:r>
    </w:p>
    <w:p>
      <w:pPr>
        <w:pStyle w:val="Nota"/>
        <w:spacing w:after="100"/>
      </w:pPr>
      <w:r>
        <w:t xml:space="preserve">Dos líneas cotizadas: acciones A en el ChiNext de Shenzhen (300866, CNY), que es la que se analiza, y acciones H en Hong Kong (00668, HKD) desde el 2-jul-2026; las H cotizaban el 16-oct a 105,90 HKD (≈ 90,1 CNY), un 18 % por debajo de la A [17, 27]. La A está en la lista de HKEX de valores de Shenzhen que se pueden comprar y vender por Stock Connect (n.º 1750, 16-oct-2026), pero las acciones del ChiNext solo las pueden negociar por el Northbound los inversores profesionales institucionales: un particular no puede comprar la A desde IBKR por Stock Connect; sí puede comprar la H en Hong Kong [33, 34]. Cuentas en normas chinas (CAS) de los informes de CNINFO, transcritas de la base F10 de Eastmoney y comprobadas contra los informes [13]; las NIIF de Hong Kong solo existen desde 2026. Precio: cierre del 19-oct-2026 en Shenzhen (110,40 CNY, dato de Sina de las 15:35 de Pekín); los históricos de Yahoo llegan al 16-oct (108,91) [26, 27]. Acciones: 539,36 M A y 50,08 M H a 30-sep-2026, más 10,4 M del convertible en el dinero = 599,9 M [18, 37]. La devolución de aranceles IEEPA del 1S26 no tiene cifra oficial; se usa la estimación de los analistas (≈ 700 M) [14, 15].</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Anker Innovations Technology Co., Ltd. (300866)</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(CNY) · precio actual 110,40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(91,21 – 139,17)</c:v>
                </c:pt>
                <c:pt idx="1">
                  <c:v>Comparables: PER NTM (107,70 – 144,92)</c:v>
                </c:pt>
                <c:pt idx="2">
                  <c:v>DCF (WACC y g ± 0,5) (102,08 – 128,64)</c:v>
                </c:pt>
                <c:pt idx="3">
                  <c:v>Escenarios (bajista – alcista) (77,56 – 138,82)</c:v>
                </c:pt>
                <c:pt idx="4">
                  <c:v>DCF con la prima implícita del mercado (4,2 %)</c:v>
                </c:pt>
                <c:pt idx="5">
                  <c:v>Precio actual (110,40)</c:v>
                </c:pt>
              </c:strCache>
            </c:strRef>
          </c:cat>
          <c:val>
            <c:numRef>
              <c:f>Hoja1!$B$2:$B$7</c:f>
              <c:numCache>
                <c:formatCode>#,##0</c:formatCode>
                <c:ptCount val="6"/>
                <c:pt idx="0">
                  <c:v>91.21</c:v>
                </c:pt>
                <c:pt idx="1">
                  <c:v>107.7</c:v>
                </c:pt>
                <c:pt idx="2">
                  <c:v>102.08</c:v>
                </c:pt>
                <c:pt idx="3">
                  <c:v>77.56</c:v>
                </c:pt>
                <c:pt idx="4">
                  <c:v>126.06</c:v>
                </c:pt>
                <c:pt idx="5">
                  <c:v>109.85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(91,21 – 139,17)</c:v>
                </c:pt>
                <c:pt idx="1">
                  <c:v>Comparables: PER NTM (107,70 – 144,92)</c:v>
                </c:pt>
                <c:pt idx="2">
                  <c:v>DCF (WACC y g ± 0,5) (102,08 – 128,64)</c:v>
                </c:pt>
                <c:pt idx="3">
                  <c:v>Escenarios (bajista – alcista) (77,56 – 138,82)</c:v>
                </c:pt>
                <c:pt idx="4">
                  <c:v>DCF con la prima implícita del mercado (4,2 %)</c:v>
                </c:pt>
                <c:pt idx="5">
                  <c:v>Precio actual (110,40)</c:v>
                </c:pt>
              </c:strCache>
            </c:strRef>
          </c:cat>
          <c:val>
            <c:numRef>
              <c:f>Hoja1!$C$2:$C$7</c:f>
              <c:numCache>
                <c:formatCode>#,##0</c:formatCode>
                <c:ptCount val="6"/>
                <c:pt idx="0">
                  <c:v>47.959999999999994</c:v>
                </c:pt>
                <c:pt idx="1">
                  <c:v>37.219999999999985</c:v>
                </c:pt>
                <c:pt idx="2">
                  <c:v>26.559999999999988</c:v>
                </c:pt>
                <c:pt idx="3">
                  <c:v>61.25999999999999</c:v>
                </c:pt>
                <c:pt idx="4">
                  <c:v>22.210000000000008</c:v>
                </c:pt>
                <c:pt idx="5">
                  <c:v>1.1000000000000085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7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(CNY, millones)</a:t>
            </a:r>
          </a:p>
        </c:rich>
      </c:tx>
      <c:overlay val="0"/>
    </c:title>
    <c:autoTitleDeleted val="0"/>
    <c:plotArea>
      <c:layout/>
      <c:barChart>
        <c:barDir val="col"/>
        <c:grouping val="stacked"/>
        <c:varyColors val="0"/>
        <c:ser>
          <c:idx val="0"/>
          <c:order val="0"/>
          <c:tx>
            <c:strRef>
              <c:f>Hoja1!$B$1</c:f>
              <c:strCache>
                <c:ptCount val="1"/>
                <c:pt idx="0">
                  <c:v>Carga y almacenamiento (充电储能类)</c:v>
                </c:pt>
              </c:strCache>
            </c:strRef>
          </c:tx>
          <c:spPr>
            <a:solidFill>
              <a:srgbClr val="2A78D6"/>
            </a:solidFill>
            <a:ln w="12700">
              <a:solidFill>
                <a:srgbClr val="FFFFFF"/>
              </a:solid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6876.3</c:v>
                </c:pt>
                <c:pt idx="1">
                  <c:v>8603.6</c:v>
                </c:pt>
                <c:pt idx="2">
                  <c:v>12667</c:v>
                </c:pt>
                <c:pt idx="3">
                  <c:v>15401.8</c:v>
                </c:pt>
              </c:numCache>
            </c:numRef>
          </c:val>
        </c:ser>
        <c:ser>
          <c:idx val="1"/>
          <c:order val="1"/>
          <c:tx>
            <c:strRef>
              <c:f>Hoja1!$C$1</c:f>
              <c:strCache>
                <c:ptCount val="1"/>
                <c:pt idx="0">
                  <c:v>Smart Innovation (智能创新类)</c:v>
                </c:pt>
              </c:strCache>
            </c:strRef>
          </c:tx>
          <c:spPr>
            <a:solidFill>
              <a:srgbClr val="EB6834"/>
            </a:solidFill>
            <a:ln w="12700">
              <a:solidFill>
                <a:srgbClr val="FFFFFF"/>
              </a:solidFill>
            </a:ln>
          </c:spPr>
          <c:invertIfNegative val="0"/>
          <c:cat>
            <c:strRef>
              <c:f>Hoja1!$A$2:$A$5</c:f>
              <c:strCache>
                <c:ptCount val="4"/>
                <c:pt idx="0">
                  <c:v>2022</c:v>
                </c:pt>
                <c:pt idx="1">
                  <c:v>2023</c:v>
                </c:pt>
                <c:pt idx="2">
                  <c:v>2024</c:v>
                </c:pt>
                <c:pt idx="3">
                  <c:v>2025</c:v>
                </c:pt>
              </c:strCache>
            </c:strRef>
          </c:cat>
          <c:val>
            <c:numRef>
              <c:f>Hoja1!$C$2:$C$5</c:f>
              <c:numCache>
                <c:formatCode>#,##0</c:formatCode>
                <c:ptCount val="4"/>
                <c:pt idx="0">
                  <c:v>3825.1</c:v>
                </c:pt>
                <c:pt idx="1">
                  <c:v>4541.3</c:v>
                </c:pt>
                <c:pt idx="2">
                  <c:v>6336.5</c:v>
                </c:pt>
                <c:pt idx="3">
                  <c:v>8271.3</c:v>
                </c:pt>
              </c:numCache>
            </c:numRef>
          </c:val>
        </c:ser>
        <c:ser>
          <c:idx val="2"/>
          <c:order val="2"/>
          <c:tx>
            <c:strRef>
              <c:f>Hoja1!$D$1</c:f>
              <c:strCache>
                <c:ptCount val="1"/>
                <c:pt idx="0">
                  <c:v>Audio y vídeo (智能影音类)</c:v>
                </c:pt>
              </c:strCache>
            </c:strRef>
          </c:tx>
          <c:spPr>
            <a:solidFill>
              <a:srgbClr val="1BAF7A"/>
            </a:solidFill>
            <a:ln w="12700">
              <a:solidFill>
                <a:srgbClr val="FFFFFF"/>
              </a:solidFill>
            </a:ln>
          </c:spPr>
          <c:invertIfNegative val="0"/>
          <c:cat>
            <c:strRef>
              <c:f>Hoja1!$A$2:$A$5</c:f>
              <c:strCache>
                <c:ptCount val="4"/>
                <c:pt idx="0">
                  <c:v>2022</c:v>
                </c:pt>
                <c:pt idx="1">
                  <c:v>2023</c:v>
                </c:pt>
                <c:pt idx="2">
                  <c:v>2024</c:v>
                </c:pt>
                <c:pt idx="3">
                  <c:v>2025</c:v>
                </c:pt>
              </c:strCache>
            </c:strRef>
          </c:cat>
          <c:val>
            <c:numRef>
              <c:f>Hoja1!$D$2:$D$5</c:f>
              <c:numCache>
                <c:formatCode>#,##0</c:formatCode>
                <c:ptCount val="4"/>
                <c:pt idx="0">
                  <c:v>3388.3</c:v>
                </c:pt>
                <c:pt idx="1">
                  <c:v>4285.3</c:v>
                </c:pt>
                <c:pt idx="2">
                  <c:v>5692.4</c:v>
                </c:pt>
                <c:pt idx="3">
                  <c:v>6833.5</c:v>
                </c:pt>
              </c:numCache>
            </c:numRef>
          </c:val>
        </c:ser>
        <c:ser>
          <c:idx val="3"/>
          <c:order val="3"/>
          <c:tx>
            <c:strRef>
              <c:f>Hoja1!$E$1</c:f>
              <c:strCache>
                <c:ptCount val="1"/>
                <c:pt idx="0">
                  <c:v>Otros</c:v>
                </c:pt>
              </c:strCache>
            </c:strRef>
          </c:tx>
          <c:spPr>
            <a:solidFill>
              <a:srgbClr val="EDA100"/>
            </a:solidFill>
            <a:ln w="12700">
              <a:solidFill>
                <a:srgbClr val="FFFFFF"/>
              </a:solidFill>
            </a:ln>
          </c:spPr>
          <c:invertIfNegative val="0"/>
          <c:cat>
            <c:strRef>
              <c:f>Hoja1!$A$2:$A$5</c:f>
              <c:strCache>
                <c:ptCount val="4"/>
                <c:pt idx="0">
                  <c:v>2022</c:v>
                </c:pt>
                <c:pt idx="1">
                  <c:v>2023</c:v>
                </c:pt>
                <c:pt idx="2">
                  <c:v>2024</c:v>
                </c:pt>
                <c:pt idx="3">
                  <c:v>2025</c:v>
                </c:pt>
              </c:strCache>
            </c:strRef>
          </c:cat>
          <c:val>
            <c:numRef>
              <c:f>Hoja1!$E$2:$E$5</c:f>
              <c:numCache>
                <c:formatCode>#,##0</c:formatCode>
                <c:ptCount val="4"/>
                <c:pt idx="0">
                  <c:v>160.9</c:v>
                </c:pt>
                <c:pt idx="1">
                  <c:v>77.1</c:v>
                </c:pt>
                <c:pt idx="2">
                  <c:v>14.2</c:v>
                </c:pt>
                <c:pt idx="3">
                  <c:v>7.9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Carga y almacenamiento (充电储能类)</c:v>
                </c:pt>
                <c:pt idx="1">
                  <c:v>Smart Innovation (智能创新类)</c:v>
                </c:pt>
                <c:pt idx="2">
                  <c:v>Audio y vídeo (智能影音类)</c:v>
                </c:pt>
                <c:pt idx="3">
                  <c:v>Otros</c:v>
                </c:pt>
              </c:strCache>
            </c:strRef>
          </c:cat>
          <c:val>
            <c:numRef>
              <c:f>Hoja1!$B$2:$B$5</c:f>
              <c:numCache>
                <c:formatCode>General</c:formatCode>
                <c:ptCount val="4"/>
                <c:pt idx="0">
                  <c:v>50.5</c:v>
                </c:pt>
                <c:pt idx="1">
                  <c:v>27.1</c:v>
                </c:pt>
                <c:pt idx="2">
                  <c:v>22.4</c:v>
                </c:pt>
                <c:pt idx="3">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Norteamérica</c:v>
                </c:pt>
                <c:pt idx="1">
                  <c:v>Europa</c:v>
                </c:pt>
                <c:pt idx="2">
                  <c:v>China</c:v>
                </c:pt>
                <c:pt idx="3">
                  <c:v>Resto (Japón, Oriente Medio, Australia, otros)</c:v>
                </c:pt>
              </c:strCache>
            </c:strRef>
          </c:cat>
          <c:val>
            <c:numRef>
              <c:f>Hoja1!$B$2:$B$5</c:f>
              <c:numCache>
                <c:formatCode>0"%"</c:formatCode>
                <c:ptCount val="4"/>
                <c:pt idx="0">
                  <c:v>46.31</c:v>
                </c:pt>
                <c:pt idx="1">
                  <c:v>26.71</c:v>
                </c:pt>
                <c:pt idx="2">
                  <c:v>3.38</c:v>
                </c:pt>
                <c:pt idx="3">
                  <c:v>23.59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CNY (los nueve mercados de Anker, Frost &amp; Sullivan))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1376</c:v>
                </c:pt>
                <c:pt idx="1">
                  <c:v>1549</c:v>
                </c:pt>
                <c:pt idx="2">
                  <c:v>1745</c:v>
                </c:pt>
                <c:pt idx="3">
                  <c:v>1965</c:v>
                </c:pt>
                <c:pt idx="4">
                  <c:v>2213</c:v>
                </c:pt>
                <c:pt idx="5">
                  <c:v>2496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2</c:v>
                </c:pt>
                <c:pt idx="3">
                  <c:v>4</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Anker</c:v>
                </c:pt>
                <c:pt idx="1">
                  <c:v>Ugreen Group</c:v>
                </c:pt>
                <c:pt idx="2">
                  <c:v>Xiaomi</c:v>
                </c:pt>
                <c:pt idx="3">
                  <c:v>Ecovacs Robotics</c:v>
                </c:pt>
                <c:pt idx="4">
                  <c:v>Roborock</c:v>
                </c:pt>
                <c:pt idx="5">
                  <c:v>Logitech</c:v>
                </c:pt>
                <c:pt idx="6">
                  <c:v>SharkNinja</c:v>
                </c:pt>
                <c:pt idx="7">
                  <c:v>EcoFlow y Jackery (no cotizan)</c:v>
                </c:pt>
              </c:strCache>
            </c:strRef>
          </c:cat>
          <c:val>
            <c:numRef>
              <c:f>Hoja1!$B$2:$B$9</c:f>
              <c:numCache>
                <c:formatCode>0.0"%"</c:formatCode>
                <c:ptCount val="8"/>
                <c:pt idx="0">
                  <c:v>8.4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1</c:v>
                </c:pt>
                <c:pt idx="2">
                  <c:v>3</c:v>
                </c:pt>
                <c:pt idx="3">
                  <c:v>2</c:v>
                </c:pt>
                <c:pt idx="4">
                  <c:v>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(CNY,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Hoja1!$A$2:$A$12</c:f>
              <c:strCache>
                <c:ptCount val="11"/>
                <c:pt idx="0">
                  <c:v>2021</c:v>
                </c:pt>
                <c:pt idx="1">
                  <c:v>2022</c:v>
                </c:pt>
                <c:pt idx="2">
                  <c:v>2023</c:v>
                </c:pt>
                <c:pt idx="3">
                  <c:v>2024</c:v>
                </c:pt>
                <c:pt idx="4">
                  <c:v>2025</c:v>
                </c:pt>
                <c:pt idx="5">
                  <c:v>2026e</c:v>
                </c:pt>
                <c:pt idx="6">
                  <c:v>2027e</c:v>
                </c:pt>
                <c:pt idx="7">
                  <c:v>2028e</c:v>
                </c:pt>
                <c:pt idx="8">
                  <c:v>2029e</c:v>
                </c:pt>
                <c:pt idx="9">
                  <c:v>2030e</c:v>
                </c:pt>
                <c:pt idx="10">
                  <c:v>2031e</c:v>
                </c:pt>
              </c:strCache>
            </c:strRef>
          </c:cat>
          <c:val>
            <c:numRef>
              <c:f>Hoja1!$B$2:$B$12</c:f>
              <c:numCache>
                <c:formatCode>#,##0</c:formatCode>
                <c:ptCount val="11"/>
                <c:pt idx="0">
                  <c:v>12574.2</c:v>
                </c:pt>
                <c:pt idx="1">
                  <c:v>14250.52</c:v>
                </c:pt>
                <c:pt idx="2">
                  <c:v>17507.2</c:v>
                </c:pt>
                <c:pt idx="3">
                  <c:v>24710.08</c:v>
                </c:pt>
                <c:pt idx="4">
                  <c:v>30514.4</c:v>
                </c:pt>
                <c:pt idx="5">
                  <c:v>38753</c:v>
                </c:pt>
                <c:pt idx="6">
                  <c:v>46504</c:v>
                </c:pt>
                <c:pt idx="7">
                  <c:v>53480</c:v>
                </c:pt>
                <c:pt idx="8">
                  <c:v>59362</c:v>
                </c:pt>
                <c:pt idx="9">
                  <c:v>64111</c:v>
                </c:pt>
                <c:pt idx="10">
                  <c:v>67958</c:v>
                </c:pt>
              </c:numCache>
            </c:numRef>
          </c:val>
        </c:ser>
        <c:ser>
          <c:idx val="1"/>
          <c:order val="1"/>
          <c:tx>
            <c:strRef>
              <c:f>Hoja1!$C$1</c:f>
              <c:strCache>
                <c:ptCount val="1"/>
                <c:pt idx="0">
                  <c:v>EBITDA</c:v>
                </c:pt>
              </c:strCache>
            </c:strRef>
          </c:tx>
          <c:spPr>
            <a:solidFill>
              <a:srgbClr val="EB6834"/>
            </a:solidFill>
            <a:ln w="9525">
              <a:noFill/>
            </a:ln>
          </c:spPr>
          <c:invertIfNegative val="0"/>
          <c:cat>
            <c:strRef>
              <c:f>Hoja1!$A$2:$A$12</c:f>
              <c:strCache>
                <c:ptCount val="11"/>
                <c:pt idx="0">
                  <c:v>2021</c:v>
                </c:pt>
                <c:pt idx="1">
                  <c:v>2022</c:v>
                </c:pt>
                <c:pt idx="2">
                  <c:v>2023</c:v>
                </c:pt>
                <c:pt idx="3">
                  <c:v>2024</c:v>
                </c:pt>
                <c:pt idx="4">
                  <c:v>2025</c:v>
                </c:pt>
                <c:pt idx="5">
                  <c:v>2026e</c:v>
                </c:pt>
                <c:pt idx="6">
                  <c:v>2027e</c:v>
                </c:pt>
                <c:pt idx="7">
                  <c:v>2028e</c:v>
                </c:pt>
                <c:pt idx="8">
                  <c:v>2029e</c:v>
                </c:pt>
                <c:pt idx="9">
                  <c:v>2030e</c:v>
                </c:pt>
                <c:pt idx="10">
                  <c:v>2031e</c:v>
                </c:pt>
              </c:strCache>
            </c:strRef>
          </c:cat>
          <c:val>
            <c:numRef>
              <c:f>Hoja1!$C$2:$C$12</c:f>
              <c:numCache>
                <c:formatCode>#,##0</c:formatCode>
                <c:ptCount val="11"/>
                <c:pt idx="0">
                  <c:v>907.55</c:v>
                </c:pt>
                <c:pt idx="1">
                  <c:v>1050.12</c:v>
                </c:pt>
                <c:pt idx="2">
                  <c:v>1774.8</c:v>
                </c:pt>
                <c:pt idx="3">
                  <c:v>2225.4</c:v>
                </c:pt>
                <c:pt idx="4">
                  <c:v>2758.9</c:v>
                </c:pt>
                <c:pt idx="5">
                  <c:v>3488</c:v>
                </c:pt>
                <c:pt idx="6">
                  <c:v>4418</c:v>
                </c:pt>
                <c:pt idx="7">
                  <c:v>5348</c:v>
                </c:pt>
                <c:pt idx="8">
                  <c:v>5936</c:v>
                </c:pt>
                <c:pt idx="9">
                  <c:v>6411</c:v>
                </c:pt>
                <c:pt idx="10">
                  <c:v>6796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35.7</c:v>
                </c:pt>
                <c:pt idx="1">
                  <c:v>38.7</c:v>
                </c:pt>
                <c:pt idx="2">
                  <c:v>43.5</c:v>
                </c:pt>
                <c:pt idx="3">
                  <c:v>43.6</c:v>
                </c:pt>
                <c:pt idx="4">
                  <c:v>45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7.2</c:v>
                </c:pt>
                <c:pt idx="1">
                  <c:v>7.4</c:v>
                </c:pt>
                <c:pt idx="2">
                  <c:v>10.1</c:v>
                </c:pt>
                <c:pt idx="3">
                  <c:v>9</c:v>
                </c:pt>
                <c:pt idx="4">
                  <c:v>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6.6</c:v>
                </c:pt>
                <c:pt idx="1">
                  <c:v>6.6</c:v>
                </c:pt>
                <c:pt idx="2">
                  <c:v>9.4</c:v>
                </c:pt>
                <c:pt idx="3">
                  <c:v>8.5</c:v>
                </c:pt>
                <c:pt idx="4">
                  <c:v>8.4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7.8</c:v>
                </c:pt>
                <c:pt idx="1">
                  <c:v>8</c:v>
                </c:pt>
                <c:pt idx="2">
                  <c:v>9.2</c:v>
                </c:pt>
                <c:pt idx="3">
                  <c:v>8.6</c:v>
                </c:pt>
                <c:pt idx="4">
                  <c:v>8.3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2">
                  <c:v>36.9</c:v>
                </c:pt>
                <c:pt idx="3">
                  <c:v>30.4</c:v>
                </c:pt>
                <c:pt idx="4">
                  <c:v>19.9</c:v>
                </c:pt>
                <c:pt idx="5">
                  <c:v>14.9</c:v>
                </c:pt>
                <c:pt idx="6">
                  <c:v>26.9</c:v>
                </c:pt>
                <c:pt idx="7">
                  <c:v>30.9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32</c:v>
                </c:pt>
                <c:pt idx="1">
                  <c:v>31</c:v>
                </c:pt>
                <c:pt idx="2">
                  <c:v>32</c:v>
                </c:pt>
                <c:pt idx="3">
                  <c:v>24</c:v>
                </c:pt>
                <c:pt idx="4">
                  <c:v>22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93</c:v>
                </c:pt>
                <c:pt idx="1">
                  <c:v>62</c:v>
                </c:pt>
                <c:pt idx="2">
                  <c:v>89</c:v>
                </c:pt>
                <c:pt idx="3">
                  <c:v>85</c:v>
                </c:pt>
                <c:pt idx="4">
                  <c:v>109</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40</c:v>
                </c:pt>
                <c:pt idx="1">
                  <c:v>33</c:v>
                </c:pt>
                <c:pt idx="2">
                  <c:v>57</c:v>
                </c:pt>
                <c:pt idx="3">
                  <c:v>59</c:v>
                </c:pt>
                <c:pt idx="4">
                  <c:v>50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(CNY,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177.26000000000005</c:v>
                </c:pt>
                <c:pt idx="1">
                  <c:v>194.05999999999997</c:v>
                </c:pt>
                <c:pt idx="2">
                  <c:v>1255.73</c:v>
                </c:pt>
                <c:pt idx="3">
                  <c:v>2212.6</c:v>
                </c:pt>
                <c:pt idx="4">
                  <c:v>-30.700000000000003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981.73</c:v>
                </c:pt>
                <c:pt idx="1">
                  <c:v>1143.49</c:v>
                </c:pt>
                <c:pt idx="2">
                  <c:v>1614.87</c:v>
                </c:pt>
                <c:pt idx="3">
                  <c:v>2114.43</c:v>
                </c:pt>
                <c:pt idx="4">
                  <c:v>2545.13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19</c:v>
                </c:pt>
                <c:pt idx="1">
                  <c:v>18.7</c:v>
                </c:pt>
                <c:pt idx="2">
                  <c:v>28</c:v>
                </c:pt>
                <c:pt idx="3">
                  <c:v>33.8</c:v>
                </c:pt>
                <c:pt idx="4">
                  <c:v>34.2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c:v>
                </c:pt>
                <c:pt idx="1">
                  <c:v>8</c:v>
                </c:pt>
                <c:pt idx="2">
                  <c:v>8</c:v>
                </c:pt>
                <c:pt idx="3">
                  <c:v>8</c:v>
                </c:pt>
                <c:pt idx="4">
                  <c:v>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16.2</c:v>
                </c:pt>
                <c:pt idx="1">
                  <c:v>17.7</c:v>
                </c:pt>
                <c:pt idx="2">
                  <c:v>21.8</c:v>
                </c:pt>
                <c:pt idx="3">
                  <c:v>24.9</c:v>
                </c:pt>
                <c:pt idx="4">
                  <c:v>26.1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-2.23</c:v>
                </c:pt>
                <c:pt idx="1">
                  <c:v>-1.6</c:v>
                </c:pt>
                <c:pt idx="2">
                  <c:v>-1.38</c:v>
                </c:pt>
                <c:pt idx="3">
                  <c:v>-1.45</c:v>
                </c:pt>
                <c:pt idx="4">
                  <c:v>-1.16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(CNY,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2026-2027</c:v>
                </c:pt>
                <c:pt idx="1">
                  <c:v>2028+</c:v>
                </c:pt>
                <c:pt idx="2">
                  <c:v>2031 (convertible)</c:v>
                </c:pt>
              </c:strCache>
            </c:strRef>
          </c:cat>
          <c:val>
            <c:numRef>
              <c:f>Hoja1!$B$2:$B$4</c:f>
              <c:numCache>
                <c:formatCode>#,##0</c:formatCode>
                <c:ptCount val="3"/>
                <c:pt idx="0">
                  <c:v>964.2</c:v>
                </c:pt>
                <c:pt idx="1">
                  <c:v>714.2</c:v>
                </c:pt>
                <c:pt idx="2">
                  <c:v>1104.6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(CNY,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335.77</c:v>
                </c:pt>
                <c:pt idx="1">
                  <c:v>335.18</c:v>
                </c:pt>
                <c:pt idx="2">
                  <c:v>511.62</c:v>
                </c:pt>
                <c:pt idx="3">
                  <c:v>1140.35</c:v>
                </c:pt>
                <c:pt idx="4">
                  <c:v>1160.01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Dominical</c:v>
                </c:pt>
                <c:pt idx="2">
                  <c:v>Independiente</c:v>
                </c:pt>
              </c:strCache>
            </c:strRef>
          </c:cat>
          <c:val>
            <c:numRef>
              <c:f>Hoja1!$B$2:$B$4</c:f>
              <c:numCache>
                <c:formatCode>0</c:formatCode>
                <c:ptCount val="3"/>
                <c:pt idx="0">
                  <c:v>5</c:v>
                </c:pt>
                <c:pt idx="1">
                  <c:v>1</c:v>
                </c:pt>
                <c:pt idx="2">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Yang Meng (presidente, fundador)</c:v>
                </c:pt>
                <c:pt idx="1">
                  <c:v>Zhao Dongping (director general)</c:v>
                </c:pt>
                <c:pt idx="2">
                  <c:v>Hong Kong Securities Clearing (Stock Connect)</c:v>
                </c:pt>
                <c:pt idx="3">
                  <c:v>Wu Wenlong (antiguo director técnico)</c:v>
                </c:pt>
                <c:pt idx="4">
                  <c:v>He Li (concertada con Yang Meng)</c:v>
                </c:pt>
                <c:pt idx="5">
                  <c:v>Fondo de la seguridad social 114 y Gates Foundation</c:v>
                </c:pt>
              </c:strCache>
            </c:strRef>
          </c:cat>
          <c:val>
            <c:numRef>
              <c:f>Hoja1!$B$2:$B$7</c:f>
              <c:numCache>
                <c:formatCode>0.0"%"</c:formatCode>
                <c:ptCount val="6"/>
                <c:pt idx="0">
                  <c:v>39.47</c:v>
                </c:pt>
                <c:pt idx="1">
                  <c:v>10.74</c:v>
                </c:pt>
                <c:pt idx="2">
                  <c:v>8.11</c:v>
                </c:pt>
                <c:pt idx="3">
                  <c:v>3.77</c:v>
                </c:pt>
                <c:pt idx="4">
                  <c:v>3.31</c:v>
                </c:pt>
                <c:pt idx="5">
                  <c:v>3.4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-37.3</c:v>
                </c:pt>
                <c:pt idx="1">
                  <c:v>-41.4</c:v>
                </c:pt>
                <c:pt idx="2">
                  <c:v>52.1</c:v>
                </c:pt>
                <c:pt idx="3">
                  <c:v>48.7</c:v>
                </c:pt>
                <c:pt idx="4">
                  <c:v>19.6</c:v>
                </c:pt>
              </c:numCache>
            </c:numRef>
          </c:val>
        </c:ser>
        <c:ser>
          <c:idx val="1"/>
          <c:order val="1"/>
          <c:tx>
            <c:strRef>
              <c:f>Hoja1!$C$1</c:f>
              <c:strCache>
                <c:ptCount val="1"/>
                <c:pt idx="0">
                  <c:v>Índice</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c:v>
                </c:pt>
                <c:pt idx="1">
                  <c:v>-20.1</c:v>
                </c:pt>
                <c:pt idx="2">
                  <c:v>-9.8</c:v>
                </c:pt>
                <c:pt idx="3">
                  <c:v>17.4</c:v>
                </c:pt>
                <c:pt idx="4">
                  <c:v>20.8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43.7</c:v>
                </c:pt>
                <c:pt idx="1">
                  <c:v>21.4</c:v>
                </c:pt>
                <c:pt idx="2">
                  <c:v>19</c:v>
                </c:pt>
                <c:pt idx="3">
                  <c:v>22</c:v>
                </c:pt>
                <c:pt idx="4">
                  <c:v>21.3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21.4</c:v>
                </c:pt>
                <c:pt idx="1">
                  <c:v>21.4</c:v>
                </c:pt>
                <c:pt idx="2">
                  <c:v>21.4</c:v>
                </c:pt>
                <c:pt idx="3">
                  <c:v>21.4</c:v>
                </c:pt>
                <c:pt idx="4">
                  <c:v>21.4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Anker</c:v>
                </c:pt>
                <c:pt idx="1">
                  <c:v>Ugreen Group</c:v>
                </c:pt>
                <c:pt idx="2">
                  <c:v>Ecovacs Robotics</c:v>
                </c:pt>
                <c:pt idx="3">
                  <c:v>Roborock</c:v>
                </c:pt>
                <c:pt idx="4">
                  <c:v>Xiaomi</c:v>
                </c:pt>
                <c:pt idx="5">
                  <c:v>Edifier</c:v>
                </c:pt>
                <c:pt idx="6">
                  <c:v>Logitech</c:v>
                </c:pt>
                <c:pt idx="7">
                  <c:v>Garmin</c:v>
                </c:pt>
                <c:pt idx="8">
                  <c:v>SharkNinja</c:v>
                </c:pt>
              </c:strCache>
            </c:strRef>
          </c:cat>
          <c:val>
            <c:numRef>
              <c:f>Hoja1!$B$2:$B$10</c:f>
              <c:numCache>
                <c:formatCode>0.0"x"</c:formatCode>
                <c:ptCount val="9"/>
                <c:pt idx="0">
                  <c:v>10.2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(CNY,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2026e</c:v>
                </c:pt>
                <c:pt idx="1">
                  <c:v>2027e</c:v>
                </c:pt>
                <c:pt idx="2">
                  <c:v>2028e</c:v>
                </c:pt>
                <c:pt idx="3">
                  <c:v>2029e</c:v>
                </c:pt>
                <c:pt idx="4">
                  <c:v>2030e</c:v>
                </c:pt>
                <c:pt idx="5">
                  <c:v>2031e</c:v>
                </c:pt>
              </c:strCache>
            </c:strRef>
          </c:cat>
          <c:val>
            <c:numRef>
              <c:f>Hoja1!$B$2:$B$7</c:f>
              <c:numCache>
                <c:formatCode>#,##0</c:formatCode>
                <c:ptCount val="6"/>
                <c:pt idx="0">
                  <c:v>1255</c:v>
                </c:pt>
                <c:pt idx="1">
                  <c:v>2050</c:v>
                </c:pt>
                <c:pt idx="2">
                  <c:v>2873</c:v>
                </c:pt>
                <c:pt idx="3">
                  <c:v>3527</c:v>
                </c:pt>
                <c:pt idx="4">
                  <c:v>4114</c:v>
                </c:pt>
                <c:pt idx="5">
                  <c:v>4539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(CNY,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13836</c:v>
                </c:pt>
                <c:pt idx="1">
                  <c:v>44161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(CNY) · precio actual 110,40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77.56</c:v>
                </c:pt>
                <c:pt idx="1">
                  <c:v>113.46</c:v>
                </c:pt>
                <c:pt idx="2">
                  <c:v>138.82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(CNY) · precio actual 110,40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(91,21 – 139,17)</c:v>
                </c:pt>
                <c:pt idx="1">
                  <c:v>Comparables: PER NTM (107,70 – 144,92)</c:v>
                </c:pt>
                <c:pt idx="2">
                  <c:v>DCF (WACC y g ± 0,5) (102,08 – 128,64)</c:v>
                </c:pt>
                <c:pt idx="3">
                  <c:v>Escenarios (bajista – alcista) (77,56 – 138,82)</c:v>
                </c:pt>
                <c:pt idx="4">
                  <c:v>DCF con la prima implícita del mercado (4,2 %)</c:v>
                </c:pt>
                <c:pt idx="5">
                  <c:v>Precio actual (110,40)</c:v>
                </c:pt>
              </c:strCache>
            </c:strRef>
          </c:cat>
          <c:val>
            <c:numRef>
              <c:f>Hoja1!$B$2:$B$7</c:f>
              <c:numCache>
                <c:formatCode>#,##0</c:formatCode>
                <c:ptCount val="6"/>
                <c:pt idx="0">
                  <c:v>91.21</c:v>
                </c:pt>
                <c:pt idx="1">
                  <c:v>107.7</c:v>
                </c:pt>
                <c:pt idx="2">
                  <c:v>102.08</c:v>
                </c:pt>
                <c:pt idx="3">
                  <c:v>77.56</c:v>
                </c:pt>
                <c:pt idx="4">
                  <c:v>126.06</c:v>
                </c:pt>
                <c:pt idx="5">
                  <c:v>109.85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(91,21 – 139,17)</c:v>
                </c:pt>
                <c:pt idx="1">
                  <c:v>Comparables: PER NTM (107,70 – 144,92)</c:v>
                </c:pt>
                <c:pt idx="2">
                  <c:v>DCF (WACC y g ± 0,5) (102,08 – 128,64)</c:v>
                </c:pt>
                <c:pt idx="3">
                  <c:v>Escenarios (bajista – alcista) (77,56 – 138,82)</c:v>
                </c:pt>
                <c:pt idx="4">
                  <c:v>DCF con la prima implícita del mercado (4,2 %)</c:v>
                </c:pt>
                <c:pt idx="5">
                  <c:v>Precio actual (110,40)</c:v>
                </c:pt>
              </c:strCache>
            </c:strRef>
          </c:cat>
          <c:val>
            <c:numRef>
              <c:f>Hoja1!$C$2:$C$7</c:f>
              <c:numCache>
                <c:formatCode>#,##0</c:formatCode>
                <c:ptCount val="6"/>
                <c:pt idx="0">
                  <c:v>47.959999999999994</c:v>
                </c:pt>
                <c:pt idx="1">
                  <c:v>37.219999999999985</c:v>
                </c:pt>
                <c:pt idx="2">
                  <c:v>26.559999999999988</c:v>
                </c:pt>
                <c:pt idx="3">
                  <c:v>61.25999999999999</c:v>
                </c:pt>
                <c:pt idx="4">
                  <c:v>22.210000000000008</c:v>
                </c:pt>
                <c:pt idx="5">
                  <c:v>1.1000000000000085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7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