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ANYCOLOR Inc.</w:t>
      </w:r>
    </w:p>
    <w:p>
      <w:pPr>
        <w:spacing w:after="60"/>
        <w:rPr>
          <w:color w:val="52514E"/>
          <w:sz w:val="22"/>
          <w:szCs w:val="22"/>
        </w:rPr>
      </w:pPr>
      <w:r>
        <w:rPr>
          <w:color w:val="52514E"/>
          <w:sz w:val="22"/>
          <w:szCs w:val="22"/>
        </w:rPr>
        <w:t xml:space="preserve">5032 · Bolsa de Tokio (Prime) · ISIN n.d.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3.050,00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3.477,82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+16,1 % (base +12,0 %)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4.050,74 JPY · mercado 4.626,52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183.915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ANYCOLOR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5032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(agencia de VTubers y productos de personajes)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2017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https://www.anycolor.co.jp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2.007,00 – 6.790,00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183.915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164.277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3.477,82 JPY</w:t>
      </w:r>
      <w:r>
        <w:t xml:space="preserve"> frente a 3.050,00 · Rentabilidad a 12 meses </w:t>
      </w:r>
      <w:r>
        <w:rPr>
          <w:b/>
          <w:bCs/>
        </w:rPr>
        <w:t xml:space="preserve">+16,1 % (base +12,0 %)</w:t>
      </w:r>
      <w:r>
        <w:t xml:space="preserve"> · Valor intrínseco 4.050,74 JPY · con la prima implícita del mercado: 4.626,52 (+51,7 %) · Alcista / bajista +66,7 % / -29,0 %</w:t>
      </w:r>
    </w:p>
    <w:p>
      <w:pPr>
        <w:spacing w:after="100"/>
      </w:pPr>
      <w:r>
        <w:rPr>
          <w:b/>
        </w:rPr>
        <w:t xml:space="preserve">La recomendación y por qué.</w:t>
      </w:r>
      <w:r>
        <w:t xml:space="preserve"> Mantener, con convicción media, en el límite de Comprar. Nuestro objetivo a 12 meses es de 3.477,82 JPY (+16,1 % con dividendo; +12,0 % en el caso base), frente a un precio de 3.050 JPY (6-oct) y un objetivo medio de los analistas de 3.932 JPY [18]. El valor intrínseco es de 4.050,74 JPY, un 32,8 % por encima del precio. ANYCOLOR es barata y tiene caja, pero el beneficio baja este año y el caso base rinde justo el 12 % que pide la regla: compraríamos por debajo de 3.049,91 JPY, prácticamente el precio de hoy. La convicción es media porque las dos reglas coinciden pero los datos son de confianza baja (sin gobierno ni PER histórico fiables) y el bajista pierde más de un 25 %; subiría si el 1S de diciembre confirma un margen por encima del 33 %, y bajaría con salidas de talentos de primera fila.</w:t>
      </w:r>
    </w:p>
    <w:p>
      <w:pPr>
        <w:spacing w:after="100"/>
      </w:pPr>
      <w:r>
        <w:rPr>
          <w:b/>
        </w:rPr>
        <w:t xml:space="preserve">El negocio.</w:t>
      </w:r>
      <w:r>
        <w:t xml:space="preserve"> ANYCOLOR gestiona Nijisanji, la mayor agencia de VTubers de Japón, con 179 talentos [8]. Gana sobre todo vendiendo productos de sus talentos (unas siete de cada diez unidades de ventas [13]), con un margen operativo del 36 % y casi sin capital: el ROIC no tiene sentido práctico (capital operativo de unos 4.900 M JPY), muy por encima del WACC del 10,14 %. La sostenibilidad del crecimiento es </w:t>
      </w:r>
      <w:r>
        <w:rPr>
          <w:b/>
        </w:rPr>
        <w:t xml:space="preserve">sí</w:t>
      </w:r>
      <w:r>
        <w:t xml:space="preserve">: proyectamos un 5,5 % anual, frente al 41 % de FY2022-FY2026 y al 13 % del objetivo de la empresa, y sale de más contenido por talento, no de capital.</w:t>
      </w:r>
    </w:p>
    <w:p>
      <w:pPr>
        <w:spacing w:after="100"/>
      </w:pPr>
      <w:r>
        <w:rPr>
          <w:b/>
        </w:rPr>
        <w:t xml:space="preserve">Finanzas.</w:t>
      </w:r>
      <w:r>
        <w:t xml:space="preserve"> En FY2026 las ventas crecieron un 29,9 % hasta 55.681 M JPY y el beneficio operativo un 23,9 % hasta 20.173 M JPY, con unos 1.800 M JPY de pérdidas de existencias en el 4T [1, 2]. Para FY2027 la empresa espera ventas de 56.000-60.000 M JPY y menos beneficio (18.000-20.000 M JPY) por el gasto de personal; el 1T (+5,4 % en ventas, −8,8 % en beneficio) superó su propia guía [3]. Caja de 22.050 M JPY, sin deuda.</w:t>
      </w:r>
    </w:p>
    <w:p>
      <w:pPr>
        <w:spacing w:after="100"/>
      </w:pPr>
      <w:r>
        <w:rPr>
          <w:b/>
        </w:rPr>
        <w:t xml:space="preserve">Equipo y gobierno.</w:t>
      </w:r>
      <w:r>
        <w:t xml:space="preserve"> Dirige la empresa su fundador, Riku Tazumi. No hemos podido verificar el consejo, la remuneración ni los accionistas (hueco). En marzo de 2026 hizo la primera rebaja de previsiones desde la salida a bolsa [13].</w:t>
      </w:r>
    </w:p>
    <w:p>
      <w:pPr>
        <w:spacing w:after="100"/>
      </w:pPr>
      <w:r>
        <w:rPr>
          <w:b/>
        </w:rPr>
        <w:t xml:space="preserve">Valoración.</w:t>
      </w:r>
      <w:r>
        <w:t xml:space="preserve"> El DCF da 3.727,76 JPY con un WACC del 10,14 % (bono japonés al 3,089 % y un punto de prima por los talentos); el DCF inverso dice que el precio descuenta un crecimiento del 2,4 % anual durante diez años, frente a nuestro 5,5 %. A 12 meses aplicamos 13,7 veces nuestro BPA de FY2028e (244,81 JPY). Nuestro BPA de FY2027e (222,0 JPY) está un 15 % por debajo del consenso (261,5 JPY), que creemos que no recoge la guía de junio.</w:t>
      </w:r>
    </w:p>
    <w:p>
      <w:pPr>
        <w:spacing w:after="100"/>
      </w:pPr>
      <w:r>
        <w:rPr>
          <w:b/>
        </w:rPr>
        <w:t xml:space="preserve">Riesgos y catalizadores.</w:t>
      </w:r>
      <w:r>
        <w:t xml:space="preserve"> El riesgo principal es la salida de talentos populares o una polémica, como la de la rama en inglés en 2024: en el bajista el valor cae a 2.166,68 JPY (−29,0 %). Catalizadores: resultados del 1S a mediados de diciembre y guía de FY2028 en junio de 2027. El sentimiento tocó fondo en junio y mejora con el rebote; los particulares están comprados con crédito, lo que añade volatilidad.</w:t>
      </w:r>
    </w:p>
    <w:p>
      <w:pPr>
        <w:spacing w:after="100"/>
      </w:pPr>
      <w:r>
        <w:rPr>
          <w:b/>
        </w:rPr>
        <w:t xml:space="preserve">Qué cambiaría la decisión.</w:t>
      </w:r>
      <w:r>
        <w:t xml:space="preserve"> Por debajo de 3.049,91 JPY la regla pasa a Comprar; venderíamos por encima de 3.933,13 JPY. Un margen operativo trimestral por debajo del 30 % o la salida de talentos de primera fila nos harían revisar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3.477,82 JPY</w:t>
      </w:r>
      <w:r>
        <w:t xml:space="preserve"> (rentabilidad +16,1 % (base +12,0 %)) · Valor intrínseco: 4.050,74 JPY (+32,8 % sobre 3.050,00) · con la prima implícita del mercado: 4.626,52 (+51,7 %)</w:t>
      </w:r>
    </w:p>
    <w:p>
      <w:pPr>
        <w:spacing w:after="100"/>
      </w:pPr>
      <w:r>
        <w:t xml:space="preserve">ANYCOLOR (Nijisanji) es la agencia de VTubers más rentable de Japón: margen operativo del 36 %, caja de 22.050 M JPY sin deuda y casi ninguna necesidad de capital [2, 5].</w:t>
      </w:r>
    </w:p>
    <w:p>
      <w:pPr>
        <w:spacing w:after="100"/>
      </w:pPr>
      <w:r>
        <w:t xml:space="preserve">El precio de 3.050 JPY, un 55 % por debajo del máximo de noviembre de 2025, descuenta un crecimiento de ventas del 2,4 % anual durante diez años, menos de la mitad de nuestro 5,5 %. Cotiza a 8,2 veces el EBITDA y a 13,7 veces nuestro beneficio del próximo ejercicio.</w:t>
      </w:r>
    </w:p>
    <w:p>
      <w:pPr>
        <w:spacing w:after="100"/>
      </w:pPr>
      <w:r>
        <w:t xml:space="preserve">El mercado castiga un año de menos beneficio por el gasto de personal y el riesgo de talentos. Si FY2028 vuelve a crecer, el valor intrínseco (4.050,74 JPY) está un 33 % arriba; a 12 meses el recorrido es más corto (+16,1 %) y el caso base queda justo en el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3.477,82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192,12 = 2.305,44 · 13,7x × 244,81 = 3.353,90 · 17,8x × 275,17 = 4.898,03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 /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3.932,00 (nuestro base -14,7 %)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4.050,74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frente a 10,1 %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3.049,91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3.049,91 y 3.933,13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3.933,13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3.049,91 JPY con el beneficio intacto: pasaríamos a Comprar.</w:t>
      </w:r>
    </w:p>
    <w:p>
      <w:pPr>
        <w:pStyle w:val="ListParagraph"/>
        <w:numPr>
          <w:ilvl w:val="0"/>
          <w:numId w:val="2"/>
        </w:numPr>
        <w:spacing w:after="60"/>
      </w:pPr>
      <w:r>
        <w:t xml:space="preserve">Precio por encima de 3.933,13 JPY: pasaríamos a Vender.</w:t>
      </w:r>
    </w:p>
    <w:p>
      <w:pPr>
        <w:pStyle w:val="ListParagraph"/>
        <w:numPr>
          <w:ilvl w:val="0"/>
          <w:numId w:val="2"/>
        </w:numPr>
        <w:spacing w:after="60"/>
      </w:pPr>
      <w:r>
        <w:t xml:space="preserve">Margen operativo trimestral por debajo del 30 %: revisaríamos el caso base.</w:t>
      </w:r>
    </w:p>
    <w:p>
      <w:pPr>
        <w:pStyle w:val="ListParagraph"/>
        <w:numPr>
          <w:ilvl w:val="0"/>
          <w:numId w:val="2"/>
        </w:numPr>
        <w:spacing w:after="60"/>
      </w:pPr>
      <w:r>
        <w:t xml:space="preserve">Salida de varios talentos de primera fila.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 moda que se apaga: crecimiento del 2,4 % anual o un margen EBITDA del 25,8 %.</w:t>
      </w:r>
    </w:p>
    <w:p>
      <w:pPr>
        <w:keepNext/>
        <w:spacing w:after="100"/>
      </w:pPr>
      <w:r>
        <w:rPr>
          <w:b/>
          <w:bCs/>
        </w:rPr>
        <w:t xml:space="preserve">Lo que creemos nosotros.</w:t>
      </w:r>
    </w:p>
    <w:p>
      <w:pPr>
        <w:spacing w:after="100"/>
      </w:pPr>
      <w:r>
        <w:t xml:space="preserve">Un negocio maduro que crece al 5-9 % con un margen del 32-34 %, y que tiene un 12 % de su capitalización en caja.</w:t>
      </w:r>
    </w:p>
    <w:p>
      <w:pPr>
        <w:keepNext/>
        <w:spacing w:after="100"/>
      </w:pPr>
      <w:r>
        <w:rPr>
          <w:b/>
          <w:bCs/>
        </w:rPr>
        <w:t xml:space="preserve">Por qué podemos tener razón.</w:t>
      </w:r>
    </w:p>
    <w:p>
      <w:pPr>
        <w:spacing w:after="100"/>
      </w:pPr>
      <w:r>
        <w:t xml:space="preserve">La caída del 70 % mezcla el fin de la burbuja de 2025 con un año de transición; el 1T de FY2027 ya superó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w:t>
      </w:r>
      <w:r>
        <w:t xml:space="preserve">: 8,2 veces el EBITDA y 13,7 veces nuestro BPA de FY2027e.</w:t>
      </w:r>
    </w:p>
    <w:p>
      <w:pPr>
        <w:pStyle w:val="ListParagraph"/>
        <w:numPr>
          <w:ilvl w:val="0"/>
          <w:numId w:val="2"/>
        </w:numPr>
        <w:spacing w:after="60"/>
      </w:pPr>
      <w:r>
        <w:rPr>
          <w:b/>
        </w:rPr>
        <w:t xml:space="preserve">Caja neta</w:t>
      </w:r>
      <w:r>
        <w:t xml:space="preserve"> de 22.050 M JPY, un 12 % de la capitalización, y dividendo de 62 JPY [2].</w:t>
      </w:r>
    </w:p>
    <w:p>
      <w:pPr>
        <w:pStyle w:val="ListParagraph"/>
        <w:numPr>
          <w:ilvl w:val="0"/>
          <w:numId w:val="2"/>
        </w:numPr>
        <w:spacing w:after="60"/>
      </w:pPr>
      <w:r>
        <w:rPr>
          <w:b/>
        </w:rPr>
        <w:t xml:space="preserve">Margen operativo del 36 %</w:t>
      </w:r>
      <w:r>
        <w:t xml:space="preserve"> frente al 14 % de COVER [22].</w:t>
      </w:r>
    </w:p>
    <w:p>
      <w:pPr>
        <w:pStyle w:val="ListParagraph"/>
        <w:numPr>
          <w:ilvl w:val="0"/>
          <w:numId w:val="2"/>
        </w:numPr>
        <w:spacing w:after="60"/>
      </w:pPr>
      <w:r>
        <w:rPr>
          <w:b/>
        </w:rPr>
        <w:t xml:space="preserve">1T de FY2027 mejor que la guía</w:t>
      </w:r>
      <w:r>
        <w:t xml:space="preserve"> [3].</w:t>
      </w:r>
    </w:p>
    <w:p>
      <w:pPr>
        <w:pStyle w:val="Heading2"/>
      </w:pPr>
      <w:r>
        <w:t xml:space="preserve">En contra</w:t>
      </w:r>
    </w:p>
    <w:p>
      <w:pPr>
        <w:pStyle w:val="ListParagraph"/>
        <w:numPr>
          <w:ilvl w:val="0"/>
          <w:numId w:val="2"/>
        </w:numPr>
        <w:spacing w:after="60"/>
      </w:pPr>
      <w:r>
        <w:rPr>
          <w:b/>
        </w:rPr>
        <w:t xml:space="preserve">Riesgo de talentos</w:t>
      </w:r>
      <w:r>
        <w:t xml:space="preserve">: el activo son personas que pueden irse.</w:t>
      </w:r>
    </w:p>
    <w:p>
      <w:pPr>
        <w:pStyle w:val="ListParagraph"/>
        <w:numPr>
          <w:ilvl w:val="0"/>
          <w:numId w:val="2"/>
        </w:numPr>
        <w:spacing w:after="60"/>
      </w:pPr>
      <w:r>
        <w:rPr>
          <w:b/>
        </w:rPr>
        <w:t xml:space="preserve">Beneficio a la baja en FY2027</w:t>
      </w:r>
      <w:r>
        <w:t xml:space="preserve"> por el gasto de personal [1].</w:t>
      </w:r>
    </w:p>
    <w:p>
      <w:pPr>
        <w:pStyle w:val="ListParagraph"/>
        <w:numPr>
          <w:ilvl w:val="0"/>
          <w:numId w:val="2"/>
        </w:numPr>
        <w:spacing w:after="60"/>
      </w:pPr>
      <w:r>
        <w:rPr>
          <w:b/>
        </w:rPr>
        <w:t xml:space="preserve">Existencias</w:t>
      </w:r>
      <w:r>
        <w:t xml:space="preserve">: 1.800 M JPY de pérdidas en el 4T de FY2026 [1].</w:t>
      </w:r>
    </w:p>
    <w:p>
      <w:pPr>
        <w:pStyle w:val="ListParagraph"/>
        <w:numPr>
          <w:ilvl w:val="0"/>
          <w:numId w:val="2"/>
        </w:numPr>
        <w:spacing w:after="60"/>
      </w:pPr>
      <w:r>
        <w:rPr>
          <w:b/>
        </w:rPr>
        <w:t xml:space="preserve">Datos de baja confianza</w:t>
      </w:r>
      <w:r>
        <w:t xml:space="preserve">: sin gobierno ni PER histórico fiables.</w:t>
      </w:r>
    </w:p>
    <w:p>
      <w:pPr>
        <w:pStyle w:val="Heading2"/>
      </w:pPr>
      <w:r>
        <w:t xml:space="preserve">Qué tiene que pasar para que la tesis funcione</w:t>
      </w:r>
    </w:p>
    <w:p>
      <w:pPr>
        <w:spacing w:after="100"/>
      </w:pPr>
      <w:r>
        <w:t xml:space="preserve">Que el margen operativo trimestral se quede por encima del 32 % y que las ventas crezcan en el 1S (mediados de diciembre); las salidas de talentos de primera fila.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gasto de personal se traduce en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transición de declive.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por 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1.800 M JPY (4T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1.000 M JPY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Número de talentos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Salidas de talentos de primera fila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ANYCOLOR nació en 2017 como Ichikara Inc., fundada por Riku Tazumi, y lanzó Nijisanji en 2018 como una aplicación para que cualquiera emitiera con un avatar. Pronto se convirtió en agencia de talentos y creció con la rama en inglés NIJISANJI EN desde 2021. Cambió de nombre a ANYCOLOR en 2021, salió a bolsa en junio de 2022 y pasó al mercado Prime [A9]. En 2024 la rama en inglés sufrió una polémica por la salida de una talento que dañó su imagen en Occidente; en 2025-2026 la empresa creció con el comercio de productos hasta 55.681 M JPY de ventas [A8].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Ichikara Inc. en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Nijisanji.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Tokio (junio).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1:2 (agosto) [A15].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Polémica de NIJISANJI EN y freno del crecimiento (+26 %) [A14].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rebaja de previsiones (marzo), récord de ventas en FY2026 y guía de menos beneficio en FY2027; la acción cae un 70 % desde el máximo [A13, A8].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ANYCOLOR es la empresa japonesa que gestiona «Nijisanji», la mayor agencia de VTubers (creadores de vídeo en directo con un avatar animado) de Japón, y su rama en inglés «NIJISANJI EN» [8]. A cierre de FY2026 tenía 179 talentos, 9 más que un año antes [8]. Ingresa por cuatro vías: </w:t>
      </w:r>
      <w:r>
        <w:rPr>
          <w:b/>
        </w:rPr>
        <w:t xml:space="preserve">comercio</w:t>
      </w:r>
      <w:r>
        <w:t xml:space="preserve"> (productos de los talentos: figuras, acrílicos, voces, artículos de cumpleaños, vendidos en su tienda en línea y en tiendas físicas), </w:t>
      </w:r>
      <w:r>
        <w:rPr>
          <w:b/>
        </w:rPr>
        <w:t xml:space="preserve">directos</w:t>
      </w:r>
      <w:r>
        <w:t xml:space="preserve"> (suscripciones y donativos en YouTube, de los que se queda una parte), </w:t>
      </w:r>
      <w:r>
        <w:rPr>
          <w:b/>
        </w:rPr>
        <w:t xml:space="preserve">promociones</w:t>
      </w:r>
      <w:r>
        <w:t xml:space="preserve"> (publicidad de marcas con los talentos) y </w:t>
      </w:r>
      <w:r>
        <w:rPr>
          <w:b/>
        </w:rPr>
        <w:t xml:space="preserve">eventos</w:t>
      </w:r>
      <w:r>
        <w:t xml:space="preserve"> (conciertos y la Nijisanji Fes) [8, 11]. El comercio es el núcleo: en el trimestre nov-25 a ene-26 vendió 10.700 M JPY en productos, unas siete de cada diez unidades de ventas [13].</w:t>
      </w:r>
    </w:p>
    <w:p>
      <w:pPr>
        <w:pStyle w:val="Heading2"/>
      </w:pPr>
      <w:r>
        <w:t xml:space="preserve">Cómo gana dinero</w:t>
      </w:r>
    </w:p>
    <w:p>
      <w:pPr>
        <w:spacing w:after="100"/>
      </w:pPr>
      <w:r>
        <w:t xml:space="preserve">El modelo es de propiedad intelectual con talentos: la empresa crea y promociona a los personajes, se queda con los derechos de la marca y reparte con el talento una parte de lo que generan. El margen sale de la escala de los productos (pedidos anticipados, poco inventario por artículo) y de que los costes fijos de la plantilla de gestores crecen menos que las ventas: el margen operativo pasó del 29,6 % en FY2022 al 36,2 % en FY2026 [2, 9]. El riesgo propio del modelo es la dependencia de los talentos más populares, que pueden marcharse («graduarse») o verse envueltos en polémicas, como en 2024 con la rama en inglés [8]. En FY2027 la empresa contrata personal para producir más contenido y espera menos beneficio con más ventas [8, 11].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r>
    </w:tbl>
    <w:p>
      <w:pPr>
        <w:spacing w:after="160" w:before="0"/>
      </w:pPr>
    </w:p>
    <w:p>
      <w:pPr>
        <w:pStyle w:val="Heading2"/>
      </w:pPr>
      <w:r>
        <w:t xml:space="preserve">Clientes, recurrencia y poder de precios</w:t>
      </w:r>
    </w:p>
    <w:p>
      <w:pPr>
        <w:spacing w:after="100"/>
      </w:pPr>
      <w:r>
        <w:t xml:space="preserve">Los clientes finales son los fans, en su mayoría en Japón; la empresa no publica la concentración. La concentración que importa es la de talentos: no hay cifras públicas de cuánto aporta cada uno, pero los productos de cumpleaños y aniversario de los más populares mueven los trimestres. YouTube es el canal de directos y de captación.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talentos (Nijisanji + NIJISANJI 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(abr-25)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(abr-26)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más contenido por talento más que más talentos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lleva unos 1.800 M JPY de pérdidas por valoración de existencias en el 4T, con un criterio nuevo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personal; el trimestre superó la guía de la empresa [3,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de los VTubers: creadores que emiten en directo con un avatar animado y monetizan con donativos, suscripciones, productos, publicidad y conciertos. En Japón lo dominan dos agencias cotizadas, ANYCOLOR (Nijisanji) y COVER (hololive), junto a cientos de independientes y agencias pequeñas. No hemos encontrado dos fuentes fiables del tamaño del mercado; las cifras de los informes de mercado que aparecen en la búsqueda no son comparables entre sí y no las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los fans en productos de personajes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comercio es unas siete de cada diez unidades de ventas de ANYCOLOR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fuera de Japón (inglés)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NIJISANJI EN creció hasta 2023 y se frenó tras la polémica de 2024 [A14].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Popularidad de talentos concretos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salidas de talentos y las polémicas mueven las ventas trimestrales.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Plataformas (YouTube) y algoritmos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captación depende de un tercero que fija las comisiones de los donativos.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COVER es un rival de tamaño similar (49.330 M JPY de ventas) [D7] y compiten por la atención del mismo público.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Fans atomizados, fieles a talentos concretos.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talentos son el activo: los populares pueden pedir más reparto o irse; YouTube controla la distribución.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Crear un VTuber es barato; crear una marca con cientos de talentos y una cadena de productos 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por el tiempo y el dinero de los fans con el anime, los ídolos y los videojuegos.</w:t>
            </w:r>
          </w:p>
        </w:tc>
      </w:tr>
    </w:tbl>
    <w:p>
      <w:pPr>
        <w:spacing w:after="160" w:before="0"/>
      </w:pPr>
    </w:p>
    <w:p>
      <w:pPr>
        <w:pStyle w:val="Heading2"/>
      </w:pPr>
      <w:r>
        <w:t xml:space="preserve">Ciclo</w:t>
      </w:r>
    </w:p>
    <w:p>
      <w:pPr>
        <w:spacing w:after="100"/>
      </w:pPr>
      <w:r>
        <w:t xml:space="preserve">Tras crecer al 40 % anual en 2022-2026, la empresa espera un FY2027 casi plano en beneficio; el mercado japonés de VTubers muestra señales de madurez y COVER también ganó menos en FY2026 [A8, D7].</w:t>
      </w:r>
    </w:p>
    <w:p>
      <w:pPr>
        <w:pStyle w:val="Heading2"/>
      </w:pPr>
      <w:r>
        <w:t xml:space="preserve">Regulación</w:t>
      </w:r>
    </w:p>
    <w:p>
      <w:pPr>
        <w:spacing w:after="100"/>
      </w:pPr>
      <w:r>
        <w:t xml:space="preserve">Sin regulación específica; derechos de propiedad intelectual de los avatares, contratos con los talentos y normas de las plataformas.</w:t>
      </w:r>
    </w:p>
    <w:p>
      <w:pPr>
        <w:pStyle w:val="Heading2"/>
      </w:pPr>
      <w:r>
        <w:t xml:space="preserve">Tendencias y disrupción</w:t>
      </w:r>
    </w:p>
    <w:p>
      <w:pPr>
        <w:spacing w:after="100"/>
      </w:pPr>
      <w:r>
        <w:t xml:space="preserve">Más producción de contenido por talento (la causa del gasto de personal de FY2027), conciertos grandes y productos físicos; expansión en inglés con cautela tras 2024.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dos grandes agencias de VTubers de Japón junto a COVER (hololive); por ventas, ANYCOLOR es mayor (55.681 M JPY frente a 49.330 M) y mucho más rentable (beneficio operativo de 20.173 M frente a 7.056 M) [A2, D7].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COVER (hololive)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marzo: ventas +13,7 %, beneficio operativo −11,8 % y neto −45,7 % por deterioros y existencias lentas [D7].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Agencias pequeñas e independientes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 y otros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Cientos de VTubers independientes y agencias pequeñas (VShojo cerró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colaboraciones entre talentos de la misma agencia atraen público cruzado.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siguen al talento, no a la agencia.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 dueña de los avatares y de la marca Nijisanji.</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productos: margen operativo del 36 % frente al 14 % de COVER [A2, D7].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grandes agencias en un mercado nicho.</w:t>
            </w:r>
          </w:p>
        </w:tc>
      </w:tr>
    </w:tbl>
    <w:p>
      <w:pPr>
        <w:spacing w:after="160" w:before="0"/>
      </w:pPr>
    </w:p>
    <w:p>
      <w:pPr>
        <w:pStyle w:val="Heading2"/>
      </w:pPr>
      <w:r>
        <w:t xml:space="preserve">Amenazas</w:t>
      </w:r>
    </w:p>
    <w:p>
      <w:pPr>
        <w:spacing w:after="100"/>
      </w:pPr>
      <w:r>
        <w:t xml:space="preserve">La amenaza principal es la salida de talentos populares y las polémicas, que en 2024 frenaron la rama en inglés. A largo plazo, que los talentos negocien un reparto mayor o se hagan independientes, y la fatiga de los fans con el formato.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FY2022-FY2026: ingresos </w:t>
      </w:r>
      <w:r>
        <w:rPr>
          <w:b/>
          <w:bCs/>
        </w:rPr>
        <w:t xml:space="preserve">40,8 %</w:t>
      </w:r>
      <w:r>
        <w:t xml:space="preserve">, EBITDA </w:t>
      </w:r>
      <w:r>
        <w:rPr>
          <w:b/>
          <w:bCs/>
        </w:rPr>
        <w:t xml:space="preserve">48,1 %</w:t>
      </w:r>
      <w:r>
        <w:t xml:space="preserve">, BPA </w:t>
      </w:r>
      <w:r>
        <w:rPr>
          <w:b/>
          <w:bCs/>
        </w:rPr>
        <w:t xml:space="preserve">49,1 %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14.164 M JPY en FY2022 a 55.681 M JPY en FY2026, un 41 % anual, y el beneficio operativo de 4.191 M a 20.173 M JPY [2, 9]. El crecimiento se frenó en FY2024 (+26,3 %) tras la polémica de NIJISANJI EN y volvió a acelerar en FY2025 (+34 %) y FY2026 (+29,9 %) con el comercio de productos [4, 8, 14]. El 4T de FY2026 fue el primer trimestre con ventas a la baja (−2,2 %) por unos 1.800 M JPY de pérdidas por valoración de existencias, tras la primera rebaja de previsiones desde la salida a bolsa en marzo de 2026 [1, 13]. En el 1T de FY2027 (may-jul 2026) las ventas crecieron un 5,4 % hasta 16.620 M JPY y el beneficio operativo bajó un 8,8 % hasta 6.390 M JPY por el aumento de plantilla, mejor que la guía trimestral de la empresa (15.600 M y 5.690 M JPY) [3, 11].</w:t>
      </w:r>
    </w:p>
    <w:p>
      <w:pPr>
        <w:pStyle w:val="Heading2"/>
      </w:pPr>
      <w:r>
        <w:t xml:space="preserve">Ajustes y partidas no recurrentes</w:t>
      </w:r>
    </w:p>
    <w:p>
      <w:pPr>
        <w:spacing w:after="100"/>
      </w:pPr>
      <w:r>
        <w:t xml:space="preserve">Normas japonesas (J-GAAP), cuentas no consolidadas. Las amortizaciones no aparecen en los extractos: son una estimación propia pequeña (100-450 M JPY) a partir del capex, por lo que el EBITDA es casi igual al beneficio operativo. El BPA de FY2022-FY2023 está ajustado por el desdoblamiento 1:2 de agosto de 2023 (los agregadores dan 93,3 y 221,6 JPY sin ajustar) [12, 15]. FY2026 diluido 230,76 JPY (básico 231,61) [2]. Las pérdidas por existencias de FY2026 no se tratan como no recurrentes: la empresa cambió el criterio de valoración y es un coste que puede repetirse. LTM jul-26: FY2026 + 1T FY2027 − 1T FY2026 (derivado del crecimiento publicado).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Resultados del 1T de FY2027 el 9-sep-2026: ventas de 16.620 M JPY (+5,4 %) y beneficio operativo de 6.390 M JPY (−8,8 %), por encima de la guía del trimestre (15.600 M y 5.690 M JPY) [3, 10, 11]. La empresa mantuvo la guía anual (ventas de 56.000-60.000 M JPY, beneficio operativo de 18.000-20.000 M y neto de 12.300-13.700 M JPY) y el objetivo de FY2029 (80.000 M JPY de ventas y 26.000 M de beneficio operativo) [1, 10]. Dividendo previsto de 62 JPY (31 + 31) [2]. No hemos podido leer la transcripción de las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Balance de caja neta sin deuda: la caja creció de 5.860 M JPY (FY2022) a 22.050 M JPY (FY2026) pese a 12.520 M JPY de recompras y 6.093 M de dividendos en FY2025-FY2026 [5, 7]. El riesgo del balance son las existencias de productos: en FY2026 hubo que valorarlas a la baja en unos 1.800 M JPY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FY2024-FY2026: FCF </w:t>
      </w:r>
      <w:r>
        <w:rPr>
          <w:b/>
          <w:bCs/>
        </w:rPr>
        <w:t xml:space="preserve">24.507</w:t>
      </w:r>
      <w:r>
        <w:t xml:space="preserve">, conversión </w:t>
      </w:r>
      <w:r>
        <w:rPr>
          <w:b/>
          <w:bCs/>
        </w:rPr>
        <w:t xml:space="preserve">71 %</w:t>
      </w:r>
      <w:r>
        <w:t xml:space="preserve"> del beneficio neto; adquisiciones 0, dividendos 6.093, recompras 15.030.</w:t>
      </w:r>
    </w:p>
    <w:p>
      <w:pPr>
        <w:spacing w:after="100"/>
      </w:pPr>
      <w:r>
        <w:t xml:space="preserve">El flujo operativo fue de 11.184 M JPY en FY2025 y 15.678 M JPY en FY2026, y el capex de 2.150 M y 205 M JPY [6]: la caja libre de FY2026 (≈ 15.470 M JPY) supera el beneficio neto (14.091 M JPY). La empresa casi no necesita inversión fija. En dos años devolvió 18.613 M JPY entre dividendos y recompras [7]. Otro agregador da 15.811 M JPY de flujo operativo en FY2026 [7].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caja libre supera al beneficio neto en FY2026 y el balance no tiene deuda ni fondo de comercio. La señal a vigilar son las existencias: la empresa cambió en el 4T de FY2026 el criterio de valoración y reconoció unos 1.800 M JPY de pérdidas; los analistas avisaron de que el criterio nuevo puede pesar en el beneficio de los próximos años [1, 13].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por valoración de existencias de productos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1.800 M JPY en el 4T de FY2026 con un criterio nuevo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ANYCOLOR crea mucho valor con muy poco capital. El capital operativo de FY2026 es de unos 4.913 M JPY (patrimonio de 26.963 M menos caja de 22.050 M; cálculo propio) frente a un NOPAT de 15.130 M JPY: un ROIC de más del 300 %, sin significado práctico más allá de decir que el negocio no necesita capital. El ROIC que calcula el motor es negativo porque, sin el patrimonio de FY2022-FY2025, el capital invertido sale como la caja con signo menos (hueco). El ROE de FY2026 ronda el 52 % sobre el patrimonio de cierre, aunque la mitad de ese patrimonio es caja. La rentabilidad depende de los talentos, no de los activos: el riesgo no es de capital, es de margen.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abr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22.050 M JPY a 30-abr-2026 y ninguna deuda financiera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pasivo es todo corriente (9.539 M JPY: proveedores, cobros anticipados de productos e impuestos) [5]. El patrimonio de FY2026 (26.963 M JPY) es la diferencia entre activo y pasivo (cálculo propio); cuadra con un PBR de 6,21 veces a 2.794 JPY en agosto [5]. Autocartera de unos 5.000 M JPY en el balance [16].</w:t>
      </w:r>
    </w:p>
    <w:p>
      <w:pPr>
        <w:pStyle w:val="Heading1"/>
      </w:pPr>
      <w:r>
        <w:t xml:space="preserve">12. Asignación de capital</w:t>
      </w:r>
    </w:p>
    <w:p>
      <w:pPr>
        <w:pStyle w:val="Confianza"/>
        <w:spacing w:after="100"/>
      </w:pPr>
      <w:r>
        <w:t xml:space="preserve">Confianza: Media</w:t>
      </w:r>
    </w:p>
    <w:p>
      <w:pPr>
        <w:spacing w:after="100"/>
      </w:pPr>
      <w:r>
        <w:t xml:space="preserve">Dividendo desde FY2025: 75 JPY en FY2026 (35 + 40) y 62 JPY previstos en FY2027 (31 + 31) [2]. Recompras de 2.510 M JPY en FY2024, 7.511 M en FY2025 y 5.009 M en FY2026 [7]. Sin compras de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Asignación prudente: sin deuda, sin compras de empresas y con la caja creciendo de 5.860 M a 22.050 M JPY en cuatro años [5]. En FY2025-FY2026 devolvió 18.613 M JPY entre recompras y dividendos [7]. El dividendo baja de 75 a 62 JPY en FY2027 por el menor beneficio previsto [2]; no hay recompra anunciada para FY2027, y con un 12 % de la capitalización en caja sería la palanca más rápida.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Ichikara en 2017 y creó Nijisanji; dirige la empresa desde entonces [A9]. Con él las ventas pasaron de 14.164 M JPY (FY2022) a 55.681 M JPY (FY2026) [A2].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anual rebajada en marzo de 2026 (primera rebaja desde la salida a bolsa) por pérdidas de existencias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55.681 M JPY (+29,9 %) y beneficio operativo 20.173 M JPY (+23,9 %)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15.600 M JPY y beneficio operativo 5.690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16.620 M y 6.390 M JPY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superado sus guías trimestrales casi siempre, pero en marzo de 2026 tuvo que rebajar la anual por primera vez [A13]. La guía de FY2027 es prudente (rango ancho, menos beneficio) y el 1T la superó [A3]. No hemos podido verificar el resto del equipo ni las participaciones (en Japón no hay registro público de operaciones de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Una sola clase de acciones. El fundador y los primeros socios conservan una parte relevante del capital (sin cifra verificada). Simply Wall St registra un cambio en el consejo el 1-ago-2026 que no hemos podido detallar [17]. No hay registro público de operaciones de directivos en Japón.</w:t>
      </w:r>
    </w:p>
    <w:p>
      <w:pPr>
        <w:pStyle w:val="Heading2"/>
      </w:pPr>
      <w:r>
        <w:t xml:space="preserve">Señales de alerta</w:t>
      </w:r>
    </w:p>
    <w:p>
      <w:pPr>
        <w:pStyle w:val="ListParagraph"/>
        <w:numPr>
          <w:ilvl w:val="0"/>
          <w:numId w:val="2"/>
        </w:numPr>
        <w:spacing w:after="60"/>
      </w:pPr>
      <w:r>
        <w:t xml:space="preserve">Fundador al frente con participación relevante no verificada: alineación, pero también dependencia de una persona.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(may-26 a abr-27) dada en junio y mantenida el 9-sep: ventas de 56.000-60.000 M JPY (+0,6 % a +7,8 %), beneficio operativo de 18.000-20.000 M JPY (−10,8 % a −0,9 %) y neto de 12.300-13.700 M JPY, por el aumento de personal [1, 10]. Dividendo de 62 JPY. Objetivo a medio plazo de FY2029: 80.000 M JPY de ventas y 26.000 M de beneficio operativo [10]. Resultados del 1S: hacia mediados de diciembre de 2026 (fecha estimada).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Monex 銘柄スカウター, consenso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consenso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2.650,00 – 5.500,00</w:t>
            </w:r>
          </w:p>
        </w:tc>
      </w:tr>
    </w:tbl>
    <w:p>
      <w:pPr>
        <w:spacing w:after="160" w:before="0"/>
      </w:pPr>
    </w:p>
    <w:p>
      <w:pPr>
        <w:pStyle w:val="Heading2"/>
      </w:pPr>
      <w:r>
        <w:t xml:space="preserve">Revisiones de estimaciones</w:t>
      </w:r>
    </w:p>
    <w:p>
      <w:pPr>
        <w:spacing w:after="100"/>
      </w:pPr>
      <w:r>
        <w:t xml:space="preserve">El consenso de BPA de Monex (261,5 JPY en FY2027e y 291,2 en FY2028e) queda muy por encima de la guía de la empresa (205,6 JPY en el centro) y probablemente no recoge del todo la rebaja de junio [18]. El objetivo medio es de 3.932 JPY en Monex [18]; Investing da 3.886 JPY con 5 analistas (4 comprar, 1 mantener; rango 2.650-5.500) [19], con fecha incierta. Sin datos de revisiones a 3 y 12 meses.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marcó su máximo histórico (6.790 JPY) en noviembre de 2025 y cayó hasta 2.007-2.093 JPY en junio de 2026, un 70 % menos, tras la primera rebaja de previsiones (marzo) y la guía de menos beneficio para FY2027 (junio) [20, 21]. Desde entonces ha rebotado: 2.794 JPY el 18-ago y 3.050 JPY el 6-oct [18, 20]. En lo que va de año cae ≈ 36 % desde unos 4.770 JPY de inicio de año (estimación por el máximo del 8-ene, 4.900 JPY) [20]. El saldo de compras a crédito es alto (8,1 veces las ventas a crédito en agosto) [20].</w:t>
      </w:r>
    </w:p>
    <w:p>
      <w:pPr>
        <w:pStyle w:val="Heading1"/>
      </w:pPr>
      <w:r>
        <w:t xml:space="preserve">18. Comparables cotizados</w:t>
      </w:r>
    </w:p>
    <w:p>
      <w:pPr>
        <w:pStyle w:val="Confianza"/>
        <w:spacing w:after="100"/>
      </w:pPr>
      <w:r>
        <w:t xml:space="preserve">Confianza: Baja</w:t>
      </w:r>
    </w:p>
    <w:p>
      <w:pPr>
        <w:spacing w:after="100"/>
      </w:pPr>
      <w:r>
        <w:t xml:space="preserve">No hay cotizadas puras de VTubers salvo COVER (hololive, 5253), que no damos por falta de precio y de PER fiables a la fecha (FY2026 a marzo: ventas 49.330 M JPY y beneficio operativo 7.056 M JPY [22]). Usamos empresas que viven de propiedad intelectual de personajes convertida en producto: Sanrio, Bandai Namco y Tomy en Japón, y Hasbro y Asmodee fuera. Cifras del informe de Games Workshop del repo (10-oct-2026) [23]; capitalización omitida (estaba en GBP). Fuera Mattel, Spin Master y Funko (juguete de masas con márgenes bajos).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ANYCOLOR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Sanrio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Tomy (Takara Tomy)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Asmodee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13,5x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19,7x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2,4x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ANYCOLOR cotiza a 8,2 veces el EBITDA de los últimos 12 meses y a 13,7 veces nuestro BPA de FY2027e (11,1x con el consenso), frente a una mediana de 13,5x y 19,7x de las empresas de propiedad intelectual de personajes. La diferencia es razonable en parte: Sanrio y Bandai Namco tienen personajes de décadas, mientras que los VTubers dependen de personas que pueden irse. Aun así, ANYCOLOR tiene más margen (36 % operativo) y crece más que la mayoría. COVER, su único par directo, gana mucho menos (margen operativo del 14 %) [22].</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41 % anual entre FY2022 y FY2026 [2, 9], pero la guía de FY2027 es del +0,6 % al +7,8 % y el 1T creció un 5,4 % [3]. Proyectamos un 6 % en FY2027e, un 9 % en FY2028e (más contenido por talento, conciertos) y una bajada gradual hasta el 2,5 % en FY2036e: media del 5,5 %, muy por debajo del objetivo de la empresa para FY2029 (80.000 M JPY, un 13 % anual) [10].</w:t>
      </w:r>
    </w:p>
    <w:p>
      <w:pPr>
        <w:keepNext/>
        <w:spacing w:after="100"/>
      </w:pPr>
      <w:r>
        <w:rPr>
          <w:b/>
          <w:bCs/>
        </w:rPr>
        <w:t xml:space="preserve">Márgenes.</w:t>
      </w:r>
    </w:p>
    <w:p>
      <w:pPr>
        <w:spacing w:after="100"/>
      </w:pPr>
      <w:r>
        <w:t xml:space="preserve">El margen operativo fue del 29,6 % en FY2022, del 38,0 % en FY2025 y del 36,2 % en FY2026 [2]. La guía de FY2027 implica un 32-33 % por el gasto de personal [1]. Suponemos un margen EBITDA del 33,6-34 % en FY2027e-FY2029e y lo bajamos al 32 % por si los talentos piden más reparto.</w:t>
      </w:r>
    </w:p>
    <w:p>
      <w:pPr>
        <w:keepNext/>
        <w:spacing w:after="100"/>
      </w:pPr>
      <w:r>
        <w:rPr>
          <w:b/>
          <w:bCs/>
        </w:rPr>
        <w:t xml:space="preserve">Inversión y circulante.</w:t>
      </w:r>
    </w:p>
    <w:p>
      <w:pPr>
        <w:spacing w:after="100"/>
      </w:pPr>
      <w:r>
        <w:t xml:space="preserve">Capex del 1,2 % de las ventas (205 M JPY en FY2026 y 2.150 M en FY2025, con un estudio [6]) y amortización del 0,9 %. Circulante sin variación: los cobros anticipados de productos compensan las existencias.</w:t>
      </w:r>
    </w:p>
    <w:p>
      <w:pPr>
        <w:keepNext/>
        <w:spacing w:after="100"/>
      </w:pPr>
      <w:r>
        <w:rPr>
          <w:b/>
          <w:bCs/>
        </w:rPr>
        <w:t xml:space="preserve">Coste del capital.</w:t>
      </w:r>
    </w:p>
    <w:p>
      <w:pPr>
        <w:spacing w:after="100"/>
      </w:pPr>
      <w:r>
        <w:t xml:space="preserve">Tasa libre: bono japonés a 10 años del 3,089 % [25]. Beta de 1,1 (estimación propia: no se pudo calcular; la acción es muy volátil, pero el negocio no es cíclico) y prima de mercado del 5,5 %, más un punto adicional por la dependencia de talentos y de una sola marca. Sin deuda: WACC = coste de los fondos propios = 10,14 %. Con la prima implícita del mercado (4,2 % [26]) baja al 8,71 %.</w:t>
      </w:r>
    </w:p>
    <w:p>
      <w:pPr>
        <w:keepNext/>
        <w:spacing w:after="100"/>
      </w:pPr>
      <w:r>
        <w:rPr>
          <w:b/>
          <w:bCs/>
        </w:rPr>
        <w:t xml:space="preserve">Valor terminal.</w:t>
      </w:r>
    </w:p>
    <w:p>
      <w:pPr>
        <w:spacing w:after="100"/>
      </w:pPr>
      <w:r>
        <w:t xml:space="preserve">Crecimiento terminal del 2 %: por debajo de la inflación esperada en Japón más un crecimiento real pequeño, porque el formato puede envejecer.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3.727,76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4.507,29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 M (1 % del NOPAT)</w:t>
            </w:r>
          </w:p>
        </w:tc>
      </w:tr>
    </w:tbl>
    <w:p>
      <w:pPr>
        <w:spacing w:after="160" w:before="0"/>
      </w:pPr>
    </w:p>
    <w:p>
      <w:pPr>
        <w:spacing w:after="100"/>
      </w:pPr>
      <w:r>
        <w:t xml:space="preserve">La proyección apenas necesita inversión neta de la amortización (reinversión acumulada de 2.380 M, el 1 % del NOPAT, con un capex bruto medio del 1,2 %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(más contenido, eventos) y precio del 1,5 %; el 1T creció un 5,4 %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con la plantilla nueva produciendo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y precio del 2 %; por debajo del objetivo de la empresa.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madurez del mercado japonés.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precio del 2 %.</w:t>
            </w:r>
          </w:p>
        </w:tc>
      </w:tr>
    </w:tbl>
    <w:p>
      <w:pPr>
        <w:spacing w:after="160" w:before="0"/>
      </w:pPr>
    </w:p>
    <w:p>
      <w:pPr>
        <w:spacing w:after="100"/>
      </w:pPr>
      <w:r>
        <w:t xml:space="preserve">La proyección apenas necesita capital (reinversión del 1 % del NOPAT), así que el motor no hace la prueba de financiación y la hacemos a mano. El crecimiento financiable con reinversión propia es casi nulo; el 5,5 % anual tiene que venir, como en FY2022-FY2026 (un 41 % anual con un capex de 200-2.150 M JPY al año), de más productos y eventos por talento y de precio, con la plantilla que la empresa está contratando (un gasto de explotación, no de capital). La prueba es la demanda de los fans: el 1T de FY2027 creció un 5,4 % y superó la guía [3]. Pedimos mucho menos que el objetivo de la empresa (13 % anual hasta FY2029). Veredicto: sí, con el riesgo de talentos como límite.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 (WACC: 10,1 %)</w:t>
            </w:r>
          </w:p>
        </w:tc>
      </w:tr>
    </w:tbl>
    <w:p>
      <w:pPr>
        <w:spacing w:after="160" w:before="0"/>
      </w:pPr>
    </w:p>
    <w:p>
      <w:pPr>
        <w:spacing w:after="100"/>
      </w:pPr>
      <w:r>
        <w:t xml:space="preserve">El DCF da 3.727,76 JPY por acción, un 22,2 % por encima del precio, con el valor terminal en el 49 % del valor. El DCF inverso dice que el precio de 3.050 JPY descuenta un crecimiento de ventas del 2,4 % anual durante diez años (frente a nuestro 5,5 %) o un margen EBITDA del 25,8 % (frente al 32 %), y una rentabilidad implícita del 12,2 %, por encima de nuestro WACC del 10,14 % y del 8,71 % que pide el mercado. El mercado trata a ANYCOLOR como un negocio de moda que se apaga; nosotros, como uno maduro que crece poco. Lo que más mueve el valor es el margen: si los talentos piden más reparto, el valor se acerca al bajista (2.166,68 JPY).</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van dos o tres talentos de los que más venden, una polémica frena la rama en inglés y el gasto de personal no se traduce en ventas: crecimiento 6 puntos menor cada año y margen 4 puntos más bajo, como el paso del 38 % al 33 % que ya anuncia la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6-9 % en dos años con más contenido por talento, margen EBITDA del 34 % y caja devuelta con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conciertos y los productos fuera de Japón aceleran y la empresa se acerca a su objetivo de FY2029: 4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3.676,56 JPY (+20,5 %).</w:t>
      </w:r>
    </w:p>
    <w:p>
      <w:pPr>
        <w:spacing w:after="100"/>
      </w:pPr>
      <w:r>
        <w:t xml:space="preserve">En el DCF el alcista (5.084,04 JPY) gana un 66,7 % y el bajista (2.166,68 JPY) pierde un 29,0 %: asimetría de 2,30 veces. A 12 meses, con PER propio, el alcista sube un 62,6 % y el bajista cae un 22,4 % (asimetría de 2,48 veces). La asimetría es buena; lo que falta es margen en el caso base, que rinde justo el 12 % que pide la regla.</w:t>
      </w:r>
    </w:p>
    <w:p>
      <w:pPr>
        <w:pStyle w:val="Heading1"/>
      </w:pPr>
      <w:r>
        <w:t xml:space="preserve">22. Suma de partes</w:t>
      </w:r>
    </w:p>
    <w:p>
      <w:pPr>
        <w:pStyle w:val="Confianza"/>
        <w:spacing w:after="100"/>
      </w:pPr>
      <w:r>
        <w:t xml:space="preserve">Confianza: Baja</w:t>
      </w:r>
    </w:p>
    <w:p>
      <w:pPr>
        <w:spacing w:after="100"/>
      </w:pPr>
      <w:r>
        <w:t xml:space="preserve">No aplica: un solo negocio.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4.050,74 JPY (+32,8 % sobre 3.050,00).</w:t>
      </w:r>
    </w:p>
    <w:p>
      <w:pPr>
        <w:spacing w:after="100"/>
      </w:pPr>
      <w:r>
        <w:t xml:space="preserve">Pesamos el DCF un 50 %, los escenarios un 30 % y los comparables un 20 %. El DCF (3.727,76 JPY, WACC del 10,14 %) es la referencia porque el negocio no necesita capital y genera caja; la prima adicional de un punto recoge la dependencia de los talentos. Los comparables de propiedad intelectual (Sanrio, Bandai Namco, Tomy, Hasbro, Asmodee) dan valores más altos (5.419,47 JPY con el PER mediano de 19,7x) porque cotizan a múltiplos de marcas duraderas; ANYCOLOR no tiene esa durabilidad y pesan poco. El precio de hoy descuenta un crecimiento de ventas del 2,4 % anual, menos de la mitad de nuestro 5,5 %. Con la prima implícita del mercado el valor sube a 4.626,52 JPY.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r>
    </w:tbl>
    <w:p>
      <w:pPr>
        <w:spacing w:after="160" w:before="0"/>
      </w:pPr>
    </w:p>
    <w:p>
      <w:pPr>
        <w:spacing w:after="100"/>
      </w:pPr>
      <w:r>
        <w:rPr>
          <w:b/>
          <w:bCs/>
        </w:rPr>
        <w:t xml:space="preserve">Objetivo a 12 meses (ponderado):</w:t>
      </w:r>
      <w:r>
        <w:t xml:space="preserve"> 3.477,82 JPY · rentabilidad +16,1 % (base +12,0 %) · señal Mantener.</w:t>
      </w:r>
    </w:p>
    <w:p>
      <w:pPr>
        <w:keepNext/>
        <w:spacing w:after="100"/>
      </w:pPr>
      <w:r>
        <w:rPr>
          <w:b/>
          <w:bCs/>
        </w:rPr>
        <w:t xml:space="preserve">Frente al consenso (solo contraste).</w:t>
      </w:r>
    </w:p>
    <w:p>
      <w:pPr>
        <w:spacing w:after="100"/>
      </w:pPr>
      <w:r>
        <w:t xml:space="preserve">Nuestro BPA de FY2027e (222,0 JPY) está un 15 % por debajo del consenso de Monex (261,5 JPY) y por encima del centro de la guía de la empresa (205,6 JPY) [18]; el de FY2028e (244,81) queda un 16 % por debajo de 291,2 JPY. Creemos que el consenso no recoge del todo la guía de junio, que sube el gasto de personal y baja el margen operativo del 36 % al 33 %. Nuestro precio base (3.353,90 JPY) queda un 14,7 % por debajo del objetivo medio (3.932 JPY): la diferencia es de beneficio, no de múltiplo.</w:t>
      </w:r>
    </w:p>
    <w:p>
      <w:pPr>
        <w:keepNext/>
        <w:spacing w:after="100"/>
      </w:pPr>
      <w:r>
        <w:rPr>
          <w:b/>
          <w:bCs/>
        </w:rPr>
        <w:t xml:space="preserve">Del valor intrínseco al objetivo a 12 meses.</w:t>
      </w:r>
    </w:p>
    <w:p>
      <w:pPr>
        <w:spacing w:after="100"/>
      </w:pPr>
      <w:r>
        <w:t xml:space="preserve">El objetivo a 12 meses (3.477,82 JPY; +16,1 % con dividendo, +12,0 % en el base) queda un 14 % por debajo del valor intrínseco (4.050,74 JPY). La distancia la cerraría que el beneficio vuelva a crecer en FY2028 y que el mercado deje de pagar 12-14 veces a una empresa con un 12 % de su capitalización en caja. Los catalizadores con fecha son los resultados del 1S (mediados de diciembre) y la guía de FY2028 (junio de 2027). La señal queda justo en el límite: el base rinde un 12,0 % y el precio de compra que exige la regla es de 3.049,91 JPY, prácticamente el de hoy.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que el margen se estabiliza en el 33-35 % y que la guía anual se mantiene o sube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(el de los productos de fin de año y aniversarios)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comparable sin el efecto de las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del beneficio; posible recompra con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o polémica de talentos populares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 talentos y propiedad de los avatares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«graduación» de talentos de primera fila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personal sin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(margen 2-3 puntos menor;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prudente y 1T por encima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productos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por cada 1.000 M JPY de pérdidas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pedido anticipado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pérdidas por valoración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bajo persistente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−22,4 % (bajista a 12 meses, PER de 12,0x)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del 12 % de la capitalización y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12x sin cambio en 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Dependencia de YouTube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directos son una parte pequeña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comisiones o en el algoritmo</w:t>
            </w:r>
          </w:p>
        </w:tc>
      </w:tr>
    </w:tbl>
    <w:p>
      <w:pPr>
        <w:spacing w:after="160" w:before="0"/>
      </w:pPr>
    </w:p>
    <w:p>
      <w:pPr>
        <w:pStyle w:val="Heading2"/>
      </w:pPr>
      <w:r>
        <w:t xml:space="preserve">Pre-mortem</w:t>
      </w:r>
    </w:p>
    <w:p>
      <w:pPr>
        <w:spacing w:after="100"/>
      </w:pPr>
      <w:r>
        <w:t xml:space="preserve">Octubre de 2028: la acción vale 2.000 JPY. En 2027 se marcharon dos de los talentos que más productos vendían y otro protagonizó una polémica en redes; la rama en inglés no se recuperó. La plantilla contratada en FY2027 produjo más contenido, pero los fans compraron menos productos y la empresa tuvo que volver a valorar existencias a la baja. El margen operativo bajó al 28 % y el beneficio por acción se quedó en 190 JPY. El mercado, que ya pagaba 12 veces, siguió pagando 10-12. Las señales: las graduaciones, el margen trimestral por debajo del 30 % y las nuevas pérdidas de existencias.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relación con los talentos (salud mental, acoso en redes, condiciones contractuales), la gestión de existencias (productos que no se venden) y el gobierno de una empresa con su fundador al frente.</w:t>
      </w:r>
    </w:p>
    <w:p>
      <w:pPr>
        <w:pStyle w:val="Heading2"/>
      </w:pPr>
      <w:r>
        <w:t xml:space="preserve">Controversias</w:t>
      </w:r>
    </w:p>
    <w:p>
      <w:pPr>
        <w:spacing w:after="100"/>
      </w:pPr>
      <w:r>
        <w:t xml:space="preserve">En 2024 una talento de NIJISANJI EN salió acusando a la empresa de malas prácticas; ANYCOLOR la demandó por difamación y el caso dañó su imagen en Occidente. No hemos verificado su estado actual.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aportan los diez talentos con más ingresos y cuántos contratos vencen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verá en ventas la plantilla contratada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pesará el criterio nuevo de valoración en un año normal?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JPY en el 4T de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recompra con los 22.050 M JPY de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12 % de la capitalización sin uso.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16 % de marzo una narrativa veía la acción infravalorada y otra subrayaba la rebaja de previsiones y el riesgo del criterio nuevo de existencias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«Shares slammed 30% but getting in cheap»: con un PER de 19,7x tras la caída de diciembre, la acción se presentaba como barata frente a su historia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Traders Web (crédito)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compran con apalancamiento: el saldo de compras a crédito es 8,1 veces el de ventas a crédito, señal de que los particulares apuestan por el rebote (y de presión vendedora si cae)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japonesa (dime, gamebiz)</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caída del 70 % por la guía de menos beneficio y la reconstrucción del plan a medio plazo, y recuerda la dependencia del comercio de productos [21,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 beneficio y gasto de personal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baja el beneficio operativo hasta un 11 %, pero el 1T bajó solo un 8,8 % y superó la guía [A3, A11].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3.050 JPY cotiza a unas 13 veces el BPA de FY2026 con 22.050 M JPY de caja (12 % de la capitalización) [A5, D3].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calidad del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1.800 M JPY de pérdidas en el 4T de FY2026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talentos y rama en inglés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de ventas por talento; NIJISANJI EN frenó en 2024 [A14].</w:t>
            </w:r>
          </w:p>
        </w:tc>
      </w:tr>
    </w:tbl>
    <w:p>
      <w:pPr>
        <w:spacing w:after="160" w:before="0"/>
      </w:pPr>
    </w:p>
    <w:p>
      <w:pPr>
        <w:spacing w:after="100"/>
      </w:pPr>
      <w:r>
        <w:t xml:space="preserve">El sentimiento tocó fondo en junio con la guía de FY2027 y mejora con el rebote desde 2.000 JPY y un 1T mejor de lo previsto; los particulares japoneses están comprados con crédito, lo que añade volatilidad. La duda que domina es si el beneficio de FY2026 fue un pico; los foros no señalan riesgos que el informe no recoja. Cobertura de foros pobre: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31 (4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Explicación: Sin acceso a la web de la empresa ni a EDINET, las primarias son los dos kessan tanshin (FY2026 y 1T FY2027), el de COVER y el bono del Ministerio de Hacienda; el resto son prensa y agregadores citados.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resultado financiero e impuestos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de FY2026: la búsqueda solo devolvió la cabecera; 2) Stock Analysis y Finboard: ventas, beneficio bruto, operativo y neto; 3) EDINET DB: BPA y autocartera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área (comercio, directos, promociones, eventos) de FY2026 y por país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gamebiz y MoguraVR: comentarios por área sin cifras anuales; 2) Quartr: sin desglose; 3) búsqueda en japonés del desglose del 1T: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patrimonio de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caja y activo total en el extracto; 2) Finboard: caja; 3) Google Finance: patrimonio de oct-25 (27.730 M JPY)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VTubers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ANYCOLOR: sin cifra en los extractos; 2) informes de mercado (Yano Research y otros): no aparecieron con fecha; 3) COVER: no publica tamaño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accionistas significativos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sin red; 2) convocatoria de la junta de julio de 2026: no apareció en la búsqueda; 3) Simply Wall St: solo aviso de cambio en el consejo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abril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de abril 2023-2026: solo el mínimo del 1-may-2026 (2.672 JPY) y series de 2022-2023; 3) PER histórico: solo lecturas trimestrales de digrin y puntuales de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compras comparables de agencias de VTubers con precio público; 2) no buscadas más por presupuesto de búsquedas; 3) informes del repo: sin transacciones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rentabilidades a 1-5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Traders en la búsqueda: precio y rango; 3) Stock Analysis: beta no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 empleados y 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no apareció en el extracto; 2) EDINET DB: autocartera en importe; 3) agregadores: acciones diluidas medias (61,06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Yahoo!ファイナンス掲示板</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inglés de Reddit y Seeking Alpha: sin hilos; 2) búsqueda en japonés del foro de Yahoo y minkabu: sin extractos; 3) WebFetch: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histórico y 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Patrimonio de FY2022-FY2025: no apareció en los extractos; 2) Stock Analysis y Finboard: solo caja y activo total; 3) cálculo propio: solo posible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(5032) Q4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https://quartr.com/events/anycolor-inc-5032-q4-2026_F6asEiQi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2026年4月期 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https://www2.jpx.co.jp/disc/50320/081220260610567133_tse-anedjpsm-50320-20260610350320-ixbrl.htm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2027年4月期 第1四半期決算短信〔日本基準〕(非連結)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https://www2.jpx.co.jp/disc/50320/081220260909533416_tse-qnedjpsm-50320-20260909350320-ixbrl.htm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(5032) キャッシュフロー</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https://finboard.jp/companies/JP%3A5032/cash-flow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ANYCOLOR、26年4月期決算は売上高29%増、営業益23%増に 今期は人件費増で増収減益の見込み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ANYCOLOR、23年4月期決算は売上高78%増、営業益124%増に</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https://gamebiz.jp/news/370295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Q1 FY2027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MoguraVR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https://www.moguravr.com/anycolor-2027-q1-financial-results-en/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ANYCOLORの決算説明資料より…1Q業績見通しは売上高1%減、営業益18%減を見込む</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EPS (basic) by fiscal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https://finboard.net/companies/JP%3A5032/financials/EarningsPerShareBasic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【ANYCOLOR決算レポ】過去イベントのグッズ評価損を計上し利益見通しを下方修正</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https://gamebiz.jp/news/422691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【決算】ANYCOLORの通期は3割増益―コマースやプロモーションが好調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GameBusiness.jp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https://www.gamebusiness.jp/article/2024/06/12/23176.html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ANYCOLOR、1対2の株式分割を発表(基準日7月31日)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SBビジネス+IT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https://www.sbbit.jp/article/refers/118717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ANYCOLOR株式会社 業績 FY2026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https://edinetdb.jp/company/E37573/earnings/FY2026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(TSE:5032) news: Board Change • Aug 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https://simplywall.st/fr/stocks/jp/media/tse-5032/anycolor-shares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5032 ANYCOLOR 理論株価・コンセンサス (cierre del 5-oct: 3.045 JPY; objetivo 3.932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 kabuyoho (6-oct: 3.050 JPY)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https://scouter.monex.co.jp/report/theoryDps/5032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(5032)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https://uk.investing.com/equities/anycolor-consensus-estimates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時系列株価・信用残 (18-ago-2026: 2.794 JPY; máximo del año 4.900, mínimo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máximo de 6.790 JPY en nov-25 y mínimo de 2.093 JPY el 19-jun-2026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dime / jioinc (análisis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https://dime.jp/genre/2097040/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Corporation 2026年3月期 決算短信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https://www2.jpx.co.jp/disc/52530/081220260514534025_tse-anedjpsm-52530-20260514534025-ixbrl.htm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Games Workshop del 10-oct-2026 (MarketScreener /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https://www.marketscreener.com/quote/stock/SANRIO-COMPANY-LTD-6492288/finances/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P/E por trimestre (digrin) y PER puntuales (Simply Wall St, jun-25 27x, dic-25 19,7x)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https://www.digrin.com/stocks/detail/5032.T/key_metrics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(10 años: 3,089 %), vía informe de HOYA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fgzotdvq update for ANYCOLOR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https://www.simplywall.st/narratives/fgzotdvq-update-for-anycolor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shares (narrativas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(TSE:5032) Shares Slammed 30% But Getting In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https://simplywall.st/stocks/jp/media/tse-5032/anycolor-shares/news/anycolor-inc-tse5032-shares-slammed-30-but-getting-in-cheap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信用残・時系列</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Anycolor's stocks plummet as Nijisanji EN underperforms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https://automaton-media.com/en/news/anycolors-stocks-plummet-as-nijisanji-en-underperforms/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73,0 %</w:t>
      </w:r>
      <w:r>
        <w:t xml:space="preserve"> · Secciones con menos del 60 % de campos cubiertos: </w:t>
      </w:r>
      <w:r>
        <w:rPr>
          <w:b/>
          <w:bCs/>
        </w:rPr>
        <w:t xml:space="preserve">capital, gobierno, multiplos_historicos, transacciones, calidad</w:t>
      </w:r>
      <w:r>
        <w:t xml:space="preserve"> · Generado el 14 oct 2026.</w:t>
      </w:r>
    </w:p>
    <w:p>
      <w:pPr>
        <w:pStyle w:val="Nota"/>
        <w:spacing w:after="100"/>
      </w:pPr>
      <w:r>
        <w:t xml:space="preserve">Análisis hecho desde la nube con la red limitada a la búsqueda web: la web de ANYCOLOR, EDINET, Yahoo y los proveedores de datos no se pudieron abrir, y descargar.mjs y bolsa.mjs no funcionan aquí. Las cifras salen de extractos de búsqueda del kessan tanshin de FY2026 y del 1T de FY2027, de la prensa japonesa (gamebiz, MoguraVR) y de agregadores (Stock Analysis, Finboard, Monex); lo que no cuadró va a null y a los huecos. Cuentas no consolidadas en normas japonesas y en JPY. ANYCOLOR cierra el ejercicio en abril y lo nombra por el año en que termina: FY2026 va de mayo de 2025 a abril de 2026. Precio: 3.050 JPY del 6-oct-2026, el último encontrado [18]; no recoge las sesiones del 7 al 13 de octubre. Acciones: 60,3 M, estimadas con el patrimonio y el PBR de agosto (hueco). Amortizaciones estimadas (pequeñas). El dividendo de la rentabilidad a 12 meses es el previsto para FY2027 (62 JPY), no el de FY2026 (75 JPY). Comparables reutilizados del informe de Games Workshop del 10-oct. El PER histórico es aproximado (lecturas trimestrales y puntuales, sin precios de cierre de abril).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ANYCOLOR Inc. (5032)</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Grupo (un solo segmento: negocio de VTubers)</c:v>
                </c:pt>
              </c:strCache>
            </c:strRef>
          </c:tx>
          <c:spPr>
            <a:solidFill>
              <a:srgbClr val="2A78D6"/>
            </a:solidFill>
            <a:ln w="12700">
              <a:noFill/>
            </a:ln>
          </c:spPr>
          <c:invertIfNegative val="0"/>
          <c:cat>
            <c:strRef>
              <c:f>Hoja1!$A$2:$A$3</c:f>
              <c:strCache>
                <c:ptCount val="2"/>
                <c:pt idx="0">
                  <c:v>FY2025</c:v>
                </c:pt>
                <c:pt idx="1">
                  <c:v>FY2026</c:v>
                </c:pt>
              </c:strCache>
            </c:strRef>
          </c:cat>
          <c:val>
            <c:numRef>
              <c:f>Hoja1!$B$2:$B$3</c:f>
              <c:numCache>
                <c:formatCode>#,##0</c:formatCode>
                <c:ptCount val="2"/>
                <c:pt idx="0">
                  <c:v>42876</c:v>
                </c:pt>
                <c:pt idx="1">
                  <c:v>55681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(un solo segmento: negocio de VTubers)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ANYCOLOR</c:v>
                </c:pt>
                <c:pt idx="1">
                  <c:v>COVER (hololive)</c:v>
                </c:pt>
                <c:pt idx="2">
                  <c:v>Agencias pequeñas e independientes</c:v>
                </c:pt>
              </c:strCache>
            </c:strRef>
          </c:cat>
          <c:val>
            <c:numRef>
              <c:f>Hoja1!$B$2:$B$4</c:f>
              <c:numCache>
                <c:formatCode>0.0"%"</c:formatCode>
                <c:ptCount val="3"/>
                <c:pt idx="0">
                  <c:v>36.2</c:v>
                </c:pt>
                <c:pt idx="1">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14164</c:v>
                </c:pt>
                <c:pt idx="1">
                  <c:v>25341</c:v>
                </c:pt>
                <c:pt idx="2">
                  <c:v>31995</c:v>
                </c:pt>
                <c:pt idx="3">
                  <c:v>42876</c:v>
                </c:pt>
                <c:pt idx="4">
                  <c:v>55681</c:v>
                </c:pt>
                <c:pt idx="5">
                  <c:v>59022</c:v>
                </c:pt>
                <c:pt idx="6">
                  <c:v>64334</c:v>
                </c:pt>
                <c:pt idx="7">
                  <c:v>69481</c:v>
                </c:pt>
                <c:pt idx="8">
                  <c:v>74344</c:v>
                </c:pt>
                <c:pt idx="9">
                  <c:v>78805</c:v>
                </c:pt>
                <c:pt idx="10">
                  <c:v>82745</c:v>
                </c:pt>
                <c:pt idx="11">
                  <c:v>86469</c:v>
                </c:pt>
                <c:pt idx="12">
                  <c:v>89927</c:v>
                </c:pt>
                <c:pt idx="13">
                  <c:v>92625</c:v>
                </c:pt>
                <c:pt idx="14">
                  <c:v>94941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4291</c:v>
                </c:pt>
                <c:pt idx="1">
                  <c:v>9560</c:v>
                </c:pt>
                <c:pt idx="2">
                  <c:v>12611</c:v>
                </c:pt>
                <c:pt idx="3">
                  <c:v>16629</c:v>
                </c:pt>
                <c:pt idx="4">
                  <c:v>20623</c:v>
                </c:pt>
                <c:pt idx="5">
                  <c:v>19831</c:v>
                </c:pt>
                <c:pt idx="6">
                  <c:v>21874</c:v>
                </c:pt>
                <c:pt idx="7">
                  <c:v>23623</c:v>
                </c:pt>
                <c:pt idx="8">
                  <c:v>24905</c:v>
                </c:pt>
                <c:pt idx="9">
                  <c:v>26006</c:v>
                </c:pt>
                <c:pt idx="10">
                  <c:v>26892</c:v>
                </c:pt>
                <c:pt idx="11">
                  <c:v>27670</c:v>
                </c:pt>
                <c:pt idx="12">
                  <c:v>28777</c:v>
                </c:pt>
                <c:pt idx="13">
                  <c:v>29640</c:v>
                </c:pt>
                <c:pt idx="14">
                  <c:v>30381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30.3</c:v>
                </c:pt>
                <c:pt idx="1">
                  <c:v>37.7</c:v>
                </c:pt>
                <c:pt idx="2">
                  <c:v>39.4</c:v>
                </c:pt>
                <c:pt idx="3">
                  <c:v>38.8</c:v>
                </c:pt>
                <c:pt idx="4">
                  <c:v>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29.6</c:v>
                </c:pt>
                <c:pt idx="1">
                  <c:v>37.1</c:v>
                </c:pt>
                <c:pt idx="2">
                  <c:v>38.6</c:v>
                </c:pt>
                <c:pt idx="3">
                  <c:v>38</c:v>
                </c:pt>
                <c:pt idx="4">
                  <c:v>36.2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19.7</c:v>
                </c:pt>
                <c:pt idx="1">
                  <c:v>26.4</c:v>
                </c:pt>
                <c:pt idx="2">
                  <c:v>27.3</c:v>
                </c:pt>
                <c:pt idx="3">
                  <c:v>26.8</c:v>
                </c:pt>
                <c:pt idx="4">
                  <c:v>25.3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4T FY2026</c:v>
                </c:pt>
                <c:pt idx="1">
                  <c:v>1T FY2027</c:v>
                </c:pt>
              </c:strCache>
            </c:strRef>
          </c:cat>
          <c:val>
            <c:numRef>
              <c:f>Hoja1!$B$2:$B$3</c:f>
              <c:numCache>
                <c:formatCode>0.0"%"</c:formatCode>
                <c:ptCount val="2"/>
                <c:pt idx="0">
                  <c:v>-2.2</c:v>
                </c:pt>
                <c:pt idx="1">
                  <c:v>5.4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4T FY2026</c:v>
                </c:pt>
                <c:pt idx="1">
                  <c:v>1T FY2027</c:v>
                </c:pt>
              </c:strCache>
            </c:strRef>
          </c:cat>
          <c:val>
            <c:numRef>
              <c:f>Hoja1!$C$2:$C$3</c:f>
              <c:numCache>
                <c:formatCode>0.0"%"</c:formatCode>
                <c:ptCount val="2"/>
                <c:pt idx="0">
                  <c:v>-2.2</c:v>
                </c:pt>
                <c:pt idx="1">
                  <c:v>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FY2024</c:v>
                </c:pt>
                <c:pt idx="1">
                  <c:v>FY2025</c:v>
                </c:pt>
                <c:pt idx="2">
                  <c:v>FY2026</c:v>
                </c:pt>
              </c:strCache>
            </c:strRef>
          </c:cat>
          <c:val>
            <c:numRef>
              <c:f>Hoja1!$B$2:$B$4</c:f>
              <c:numCache>
                <c:formatCode>#,##0</c:formatCode>
                <c:ptCount val="3"/>
                <c:pt idx="1">
                  <c:v>9034</c:v>
                </c:pt>
                <c:pt idx="2">
                  <c:v>15473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FY2024</c:v>
                </c:pt>
                <c:pt idx="1">
                  <c:v>FY2025</c:v>
                </c:pt>
                <c:pt idx="2">
                  <c:v>FY2026</c:v>
                </c:pt>
              </c:strCache>
            </c:strRef>
          </c:cat>
          <c:val>
            <c:numRef>
              <c:f>Hoja1!$C$2:$C$4</c:f>
              <c:numCache>
                <c:formatCode>#,##0</c:formatCode>
                <c:ptCount val="3"/>
                <c:pt idx="0">
                  <c:v>8725</c:v>
                </c:pt>
                <c:pt idx="1">
                  <c:v>11510</c:v>
                </c:pt>
                <c:pt idx="2">
                  <c:v>14091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-53.6</c:v>
                </c:pt>
                <c:pt idx="1">
                  <c:v>-72.7</c:v>
                </c:pt>
                <c:pt idx="2">
                  <c:v>-60.7</c:v>
                </c:pt>
                <c:pt idx="3">
                  <c:v>-76</c:v>
                </c:pt>
                <c:pt idx="4">
                  <c:v>-277.5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104.5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-1.37</c:v>
                </c:pt>
                <c:pt idx="1">
                  <c:v>-1.31</c:v>
                </c:pt>
                <c:pt idx="2">
                  <c:v>-1.29</c:v>
                </c:pt>
                <c:pt idx="3">
                  <c:v>-0.95</c:v>
                </c:pt>
                <c:pt idx="4">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0</c:v>
                </c:pt>
                <c:pt idx="1">
                  <c:v>1970</c:v>
                </c:pt>
                <c:pt idx="2">
                  <c:v>4123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2510</c:v>
                </c:pt>
                <c:pt idx="1">
                  <c:v>7511</c:v>
                </c:pt>
                <c:pt idx="2">
                  <c:v>5009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ANYCOLOR</c:v>
                </c:pt>
                <c:pt idx="1">
                  <c:v>Sanrio</c:v>
                </c:pt>
                <c:pt idx="2">
                  <c:v>Bandai Namco</c:v>
                </c:pt>
                <c:pt idx="3">
                  <c:v>Tomy (Takara Tomy)</c:v>
                </c:pt>
                <c:pt idx="4">
                  <c:v>Hasbro</c:v>
                </c:pt>
                <c:pt idx="5">
                  <c:v>Asmodee</c:v>
                </c:pt>
              </c:strCache>
            </c:strRef>
          </c:cat>
          <c:val>
            <c:numRef>
              <c:f>Hoja1!$B$2:$B$7</c:f>
              <c:numCache>
                <c:formatCode>0.0"x"</c:formatCode>
                <c:ptCount val="6"/>
                <c:pt idx="1">
                  <c:v>13.7</c:v>
                </c:pt>
                <c:pt idx="2">
                  <c:v>12.3</c:v>
                </c:pt>
                <c:pt idx="3">
                  <c:v>9.4</c:v>
                </c:pt>
                <c:pt idx="4">
                  <c:v>10.1</c:v>
                </c:pt>
                <c:pt idx="5">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Sanrio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16.7</c:v>
                </c:pt>
              </c:numCache>
            </c:numRef>
          </c:xVal>
          <c:yVal>
            <c:numRef>
              <c:f>Hoja1!$C$2</c:f>
              <c:numCache>
                <c:formatCode>0.0"x"</c:formatCode>
                <c:ptCount val="1"/>
                <c:pt idx="0">
                  <c:v>13.7</c:v>
                </c:pt>
              </c:numCache>
            </c:numRef>
          </c:yVal>
          <c:smooth val="0"/>
        </c:ser>
        <c:ser>
          <c:idx val="1"/>
          <c:order val="1"/>
          <c:tx>
            <c:strRef>
              <c:f>Hoja1!$A$3</c:f>
              <c:strCache>
                <c:ptCount val="1"/>
                <c:pt idx="0">
                  <c:v>Bandai Namco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6.5</c:v>
                </c:pt>
              </c:numCache>
            </c:numRef>
          </c:xVal>
          <c:yVal>
            <c:numRef>
              <c:f>Hoja1!$C$3</c:f>
              <c:numCache>
                <c:formatCode>0.0"x"</c:formatCode>
                <c:ptCount val="1"/>
                <c:pt idx="0">
                  <c:v>12.3</c:v>
                </c:pt>
              </c:numCache>
            </c:numRef>
          </c:yVal>
          <c:smooth val="0"/>
        </c:ser>
        <c:ser>
          <c:idx val="2"/>
          <c:order val="2"/>
          <c:tx>
            <c:strRef>
              <c:f>Hoja1!$A$4</c:f>
              <c:strCache>
                <c:ptCount val="1"/>
                <c:pt idx="0">
                  <c:v>Tomy (Takara Tomy)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6.5</c:v>
                </c:pt>
              </c:numCache>
            </c:numRef>
          </c:xVal>
          <c:yVal>
            <c:numRef>
              <c:f>Hoja1!$C$4</c:f>
              <c:numCache>
                <c:formatCode>0.0"x"</c:formatCode>
                <c:ptCount val="1"/>
                <c:pt idx="0">
                  <c:v>9.4</c:v>
                </c:pt>
              </c:numCache>
            </c:numRef>
          </c:yVal>
          <c:smooth val="0"/>
        </c:ser>
        <c:ser>
          <c:idx val="3"/>
          <c:order val="3"/>
          <c:tx>
            <c:strRef>
              <c:f>Hoja1!$A$5</c:f>
              <c:strCache>
                <c:ptCount val="1"/>
                <c:pt idx="0">
                  <c:v>Hasbro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10.1</c:v>
                </c:pt>
              </c:numCache>
            </c:numRef>
          </c:yVal>
          <c:smooth val="0"/>
        </c:ser>
        <c:ser>
          <c:idx val="4"/>
          <c:order val="4"/>
          <c:tx>
            <c:strRef>
              <c:f>Hoja1!$A$6</c:f>
              <c:strCache>
                <c:ptCount val="1"/>
                <c:pt idx="0">
                  <c:v>Asmodee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11.4</c:v>
                </c:pt>
              </c:numCache>
            </c:numRef>
          </c:yVal>
          <c:smooth val="0"/>
        </c:ser>
        <c:axId val="10"/>
        <c:axId val="20"/>
      </c:scatterChart>
      <c:valAx>
        <c:axId val="10"/>
        <c:scaling>
          <c:orientation val="minMax"/>
          <c:max val="20"/>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13140</c:v>
                </c:pt>
                <c:pt idx="1">
                  <c:v>14500</c:v>
                </c:pt>
                <c:pt idx="2">
                  <c:v>15660</c:v>
                </c:pt>
                <c:pt idx="3">
                  <c:v>16500</c:v>
                </c:pt>
                <c:pt idx="4">
                  <c:v>17218</c:v>
                </c:pt>
                <c:pt idx="5">
                  <c:v>17793</c:v>
                </c:pt>
                <c:pt idx="6">
                  <c:v>18296</c:v>
                </c:pt>
                <c:pt idx="7">
                  <c:v>19028</c:v>
                </c:pt>
                <c:pt idx="8">
                  <c:v>19599</c:v>
                </c:pt>
                <c:pt idx="9">
                  <c:v>20089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104988</c:v>
                </c:pt>
                <c:pt idx="1">
                  <c:v>100158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3.050,00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2166.68</c:v>
                </c:pt>
                <c:pt idx="1">
                  <c:v>3727.76</c:v>
                </c:pt>
                <c:pt idx="2">
                  <c:v>5084.04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