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Amazon.com, Inc.</w:t>
      </w:r>
    </w:p>
    <w:p>
      <w:pPr>
        <w:spacing w:after="60"/>
        <w:rPr>
          <w:color w:val="52514E"/>
          <w:sz w:val="22"/>
          <w:szCs w:val="22"/>
        </w:rPr>
      </w:pPr>
      <w:r>
        <w:rPr>
          <w:color w:val="52514E"/>
          <w:sz w:val="22"/>
          <w:szCs w:val="22"/>
        </w:rPr>
        <w:t xml:space="preserve">AMZN · Nasdaq Global Select Market · ISIN US0231351067 · Consumer Discretionary</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262,43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213,96 USD · mercado 251,97</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-18,5 % · mercado -4,0 %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2.861.274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Amazon.com,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AMZN / US0231351067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Discretionary / Broadline Retail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Seattle (Washington) · 1994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https://www.aboutamazon.com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262,43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196,00 – 287,20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10.903,0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2.861.274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2.705.206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10.041 M USD/día (39,2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213,96 USD</w:t>
      </w:r>
      <w:r>
        <w:t xml:space="preserve"> frente a 262,43 · con la prima implícita del mercado: 251,97 (-4,0 %) · Rentabilidad total esperada a 12 meses </w:t>
      </w:r>
      <w:r>
        <w:rPr>
          <w:b/>
          <w:bCs/>
        </w:rPr>
        <w:t xml:space="preserve">-18,5 %</w:t>
      </w:r>
      <w:r>
        <w:t xml:space="preserve"> · Alcista / bajista +1,0 % / -59,0 %</w:t>
      </w:r>
    </w:p>
    <w:p>
      <w:pPr>
        <w:spacing w:after="100"/>
      </w:pPr>
      <w:r>
        <w:rPr>
          <w:b/>
        </w:rPr>
        <w:t xml:space="preserve">La recomendación y por qué.</w:t>
      </w:r>
      <w:r>
        <w:t xml:space="preserve"> Mantener, con convicción baja. Nuestro valor objetivo es de 213,96 USD frente a un precio de 262,43 USD (cierre del 9-oct-2026), una rentabilidad total esperada del −18,5 % a doce meses. Los escenarios son asimétricos en contra: el alcista apenas gana un 1,0 % y el bajista pierde un 59,0 % (asimetría de 0,02x). La razón principal es que el precio supone que los 220.000 M de capex de IA de 2026 rendirán lo mismo que el capital antiguo [15]. La regla da Mantener porque discrepan sus dos versiones: con nuestro WACC (12,1 %) sale Vender; con la prima que hoy pide el mercado (4,20 %), el objetivo sube a 251,97 USD (−4,0 %) y sale Mantener. Por eso la convicción es baja. Subiría si el 3T26 (29-oct, fecha estimada) mostrara AWS por encima del +35 % con un capex de 2027 plano; bajaría si el capex de 2027 pasa de 250.000 M sin aceleración de AWS.</w:t>
      </w:r>
    </w:p>
    <w:p>
      <w:pPr>
        <w:spacing w:after="100"/>
      </w:pPr>
      <w:r>
        <w:rPr>
          <w:b/>
        </w:rPr>
        <w:t xml:space="preserve">El negocio.</w:t>
      </w:r>
      <w:r>
        <w:t xml:space="preserve"> Amazon tiene un foso amplio en tres negocios que comparten infraestructura. AWS hizo en 2025 el 18 % de las ventas y el 57 % del beneficio operativo, con un 35,4 % de margen [1]; la publicidad (76.072 M de ventas en doce meses, +26 % sin divisa) es el segundo motor [11]. El ROIC de 2025 (20,8 %) supera al WACC en 8,7 puntos. </w:t>
      </w:r>
      <w:r>
        <w:rPr>
          <w:b/>
        </w:rPr>
        <w:t xml:space="preserve">La calidad sostiene el crecimiento que proyectamos solo en parte</w:t>
      </w:r>
      <w:r>
        <w:t xml:space="preserve">: la reinversión financia un 10,4 % anual frente al 11,3 % proyectado, y la proyección supone que el capital nuevo rinde un 28,1 % frente al 20,8 % histórico, algo que la IA aún no ha demostrado.</w:t>
      </w:r>
    </w:p>
    <w:p>
      <w:pPr>
        <w:spacing w:after="100"/>
      </w:pPr>
      <w:r>
        <w:rPr>
          <w:b/>
        </w:rPr>
        <w:t xml:space="preserve">Finanzas.</w:t>
      </w:r>
      <w:r>
        <w:t xml:space="preserve"> Las ventas crecieron un 19,6 % en el 2T26 y el margen EBITDA de doce meses llega al 18,9 %, pero el flujo libre es negativo (−7.604 M) porque el capex se comió todo el flujo operativo [11]. La deuda bruta casi se duplicó en seis meses, hasta 132.549 M [8]; la deuda neta ajustada es de 68.827 M (0,5x EBITDA). El beneficio neto no sirve como medida: el 2T26 llevó 53.415 M de revalorizaciones de Anthropic frente a 27.461 M de beneficio operativo [8].</w:t>
      </w:r>
    </w:p>
    <w:p>
      <w:pPr>
        <w:spacing w:after="100"/>
      </w:pPr>
      <w:r>
        <w:rPr>
          <w:b/>
        </w:rPr>
        <w:t xml:space="preserve">Equipo y gobierno.</w:t>
      </w:r>
      <w:r>
        <w:t xml:space="preserve"> Cumple 8 de 13 criterios. Resta que el variable no tenga métricas, los pagos de unos 1.800 M a Blue Origin, del presidente ejecutivo, y 457 M de ventas de directivos sin compras en doce meses [54, 61]. La dirección cumplió la guía trimestral en diez de diez trimestres [11, 12, 13, 65, 66, 67, 68, 69, 70, 71].</w:t>
      </w:r>
    </w:p>
    <w:p>
      <w:pPr>
        <w:spacing w:after="100"/>
      </w:pPr>
      <w:r>
        <w:rPr>
          <w:b/>
        </w:rPr>
        <w:t xml:space="preserve">Valoración.</w:t>
      </w:r>
      <w:r>
        <w:t xml:space="preserve"> El DCF da 187,97 USD. El DCF inverso dice que el precio exige un crecimiento del 15,2 % anual en 2027-2033 frente al 10,8 % de nuestro caso base, o un margen EBITDA del 36,9 % frente al 30,5 %. Visto de otra forma, promete un 9,9 % anual, menos que nuestro WACC (12,1 %) y que lo que pide el mercado (10,4 %). Coincidimos con el consenso hasta 2028 (−2,7 % en ventas); discrepamos en los años siguientes. Los comparables (336,39 USD) y la suma de partes (236,97 USD) pesan poco porque no ven el capex.</w:t>
      </w:r>
    </w:p>
    <w:p>
      <w:pPr>
        <w:spacing w:after="100"/>
      </w:pPr>
      <w:r>
        <w:rPr>
          <w:b/>
        </w:rPr>
        <w:t xml:space="preserve">Riesgos y catalizadores.</w:t>
      </w:r>
      <w:r>
        <w:t xml:space="preserve"> El mayor riesgo es el exceso de capacidad de IA: en el bajista, AWS repite el frenazo de 2022-2023 y el valor cae a 107,53 USD. Le siguen la concentración en Anthropic y OpenAI, que son a la vez clientes y participadas (20,6 USD por acción en el puente), y el juicio de la FTC del 29-mar-2027 [42]. En los foros el tono está dividido: el flujo libre negativo es la gran discusión [96, 97].</w:t>
      </w:r>
    </w:p>
    <w:p>
      <w:pPr>
        <w:spacing w:after="100"/>
      </w:pPr>
      <w:r>
        <w:rPr>
          <w:b/>
        </w:rPr>
        <w:t xml:space="preserve">Qué cambiaría la decisión.</w:t>
      </w:r>
      <w:r>
        <w:t xml:space="preserve"> Compraríamos por debajo de 203,69 USD y venderíamos por encima de 271,09 USD. Pasaríamos a Comprar si AWS crece por encima del 35 % dos trimestres seguidos con el capex estabilizado, y a Vender si su crecimiento baja del 25 %.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213,96 USD</w:t>
      </w:r>
      <w:r>
        <w:t xml:space="preserve"> (-18,5 % sobre 262,43; rentabilidad total esperada -18,5 %) · con la prima implícita del mercado: 251,97 (-4,0 %)</w:t>
      </w:r>
    </w:p>
    <w:p>
      <w:pPr>
        <w:spacing w:after="100"/>
      </w:pPr>
      <w:r>
        <w:t xml:space="preserve">Amazon es tres negocios sobre una misma infraestructura: tiendas con 1.595.000 empleados y entregas en el día, una nube que lidera el mercado con un 28 % de cuota y un 35,4 % de margen operativo, y una publicidad de 76.072 M de ventas que crece al 26 % [1, 8, 11, 28]. El ROIC de 2025 (20,8 %) supera holgadamente su coste de capital y la dirección ha cumplido su guía trimestral diez veces seguidas [11, 12, 13, 65, 66, 67, 68, 69, 70, 71].</w:t>
      </w:r>
    </w:p>
    <w:p>
      <w:pPr>
        <w:spacing w:after="100"/>
      </w:pPr>
      <w:r>
        <w:t xml:space="preserve">El precio (262,43 USD) descuenta mucho: un crecimiento del 15,2 % anual hasta 2033 con nuestro WACC, frente al 10,8 % de nuestro caso base, o una rentabilidad anual del 9,9 % para el accionista. A 13,5x el EBITDA de los próximos doce meses parece barata frente a sus comparables (17,2x) y frente a su historia (mínimo de diez años), pero ese EBITDA no descuenta un capex del 26 % de las ventas que deja el flujo libre en negativo [11].</w:t>
      </w:r>
    </w:p>
    <w:p>
      <w:pPr>
        <w:spacing w:after="100"/>
      </w:pPr>
      <w:r>
        <w:t xml:space="preserve">El mercado acierta en el negocio y se adelanta en el rendimiento de la IA. Para invertir hay que creer que los 450.000 M de capex de 2026-2027 rendirán como el capital antiguo y que la cartera de AWS (496.000 M) no depende en exceso de dos laboratorios en los que Amazon también ha invertido [8]. Nosotros lo vemos posible, no probable: por eso Mantener y no Vender.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 / -59,0 %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frente a 12,1 % y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251,97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(11,3 % anual proyectado; financiable al ROIC actual: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203,69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203,69 y 271,09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271,09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AWS crece por encima del 35 % en el 3T26 y el 4T26 y el capex de 2027 no supera al de 2026, pasaríamos a Comprar.</w:t>
      </w:r>
    </w:p>
    <w:p>
      <w:pPr>
        <w:pStyle w:val="ListParagraph"/>
        <w:numPr>
          <w:ilvl w:val="0"/>
          <w:numId w:val="2"/>
        </w:numPr>
        <w:spacing w:after="60"/>
      </w:pPr>
      <w:r>
        <w:t xml:space="preserve">Si AWS crece por debajo del 25 % con un capex creciente, pasaríamos a Vender.</w:t>
      </w:r>
    </w:p>
    <w:p>
      <w:pPr>
        <w:pStyle w:val="ListParagraph"/>
        <w:numPr>
          <w:ilvl w:val="0"/>
          <w:numId w:val="2"/>
        </w:numPr>
        <w:spacing w:after="60"/>
      </w:pPr>
      <w:r>
        <w:t xml:space="preserve">Si el precio baja de 203,69 USD, Comprar; si sube de 271,09 USD, Vender.</w:t>
      </w:r>
    </w:p>
    <w:p>
      <w:pPr>
        <w:pStyle w:val="ListParagraph"/>
        <w:numPr>
          <w:ilvl w:val="0"/>
          <w:numId w:val="2"/>
        </w:numPr>
        <w:spacing w:after="60"/>
      </w:pPr>
      <w:r>
        <w:t xml:space="preserve">Si Anthropic u OpenAI levantan capital a una valoración menor que la registrada, revisaríamos el puente y el riesgo de concentración.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AWS mantiene un crecimiento cercano al 30 % durante años, que la publicidad sigue al 20 % y que el capex de IA rinde como el de la nube tradicional: un crecimiento del grupo del 15,2 % anual hasta 2033 con nuestro WACC. El consenso de 60 analistas (58 comprar) pone el precio objetivo en 331,36 USD [73].</w:t>
      </w:r>
    </w:p>
    <w:p>
      <w:pPr>
        <w:keepNext/>
        <w:spacing w:after="100"/>
      </w:pPr>
      <w:r>
        <w:rPr>
          <w:b/>
          <w:bCs/>
        </w:rPr>
        <w:t xml:space="preserve">Lo que creemos nosotros.</w:t>
      </w:r>
    </w:p>
    <w:p>
      <w:pPr>
        <w:spacing w:after="100"/>
      </w:pPr>
      <w:r>
        <w:t xml:space="preserve">Coincidimos con el consenso en 2026-2028, pero no en que ese ritmo dure siete años más con una base de más de un billón de dólares de ventas. Nuestro caso base baja el crecimiento al 7,5 % en 2033 y lleva el margen EBITDA al 30,5 %, con un capex que solo vuelve al 12 % de las ventas cuando la amortización lo alcanza.</w:t>
      </w:r>
    </w:p>
    <w:p>
      <w:pPr>
        <w:keepNext/>
        <w:spacing w:after="100"/>
      </w:pPr>
      <w:r>
        <w:rPr>
          <w:b/>
          <w:bCs/>
        </w:rPr>
        <w:t xml:space="preserve">Por qué podemos tener razón.</w:t>
      </w:r>
    </w:p>
    <w:p>
      <w:pPr>
        <w:spacing w:after="100"/>
      </w:pPr>
      <w:r>
        <w:t xml:space="preserve">Porque el exceso de capacidad ya le pasó a la nube en 2022-2023 (AWS pasó del +37 % al +12 %) y porque la cuota de AWS ha caído dos puntos en dos años [28]. El capex de 2026 (26 % de las ventas) no tiene precedente en Amazon, y el principal cliente de IA es también una participada.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6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AWS acelera</w:t>
      </w:r>
      <w:r>
        <w:t xml:space="preserve">: +37 % en el 2T26, el mayor crecimiento en 18 trimestres, con una cartera de 496.000 M [8, 11].</w:t>
      </w:r>
    </w:p>
    <w:p>
      <w:pPr>
        <w:pStyle w:val="ListParagraph"/>
        <w:numPr>
          <w:ilvl w:val="0"/>
          <w:numId w:val="2"/>
        </w:numPr>
        <w:spacing w:after="60"/>
      </w:pPr>
      <w:r>
        <w:rPr>
          <w:b/>
        </w:rPr>
        <w:t xml:space="preserve">La publicidad es un segundo motor de alto margen</w:t>
      </w:r>
      <w:r>
        <w:t xml:space="preserve">: 76.072 M de ventas en doce meses, +26 % sin divisa [11].</w:t>
      </w:r>
    </w:p>
    <w:p>
      <w:pPr>
        <w:pStyle w:val="ListParagraph"/>
        <w:numPr>
          <w:ilvl w:val="0"/>
          <w:numId w:val="2"/>
        </w:numPr>
        <w:spacing w:after="60"/>
      </w:pPr>
      <w:r>
        <w:rPr>
          <w:b/>
        </w:rPr>
        <w:t xml:space="preserve">Crea valor</w:t>
      </w:r>
      <w:r>
        <w:t xml:space="preserve">: ROIC del 20,8 % frente a un WACC del 12,1 %.</w:t>
      </w:r>
    </w:p>
    <w:p>
      <w:pPr>
        <w:pStyle w:val="ListParagraph"/>
        <w:numPr>
          <w:ilvl w:val="0"/>
          <w:numId w:val="2"/>
        </w:numPr>
        <w:spacing w:after="60"/>
      </w:pPr>
      <w:r>
        <w:rPr>
          <w:b/>
        </w:rPr>
        <w:t xml:space="preserve">Barata por EBITDA</w:t>
      </w:r>
      <w:r>
        <w:t xml:space="preserve">: 13,5x el de los próximos doce meses, frente a 17,2x de los comparables y su mínimo de diez años.</w:t>
      </w:r>
    </w:p>
    <w:p>
      <w:pPr>
        <w:pStyle w:val="ListParagraph"/>
        <w:numPr>
          <w:ilvl w:val="0"/>
          <w:numId w:val="2"/>
        </w:numPr>
        <w:spacing w:after="60"/>
      </w:pPr>
      <w:r>
        <w:rPr>
          <w:b/>
        </w:rPr>
        <w:t xml:space="preserve">Participaciones en Anthropic y OpenAI</w:t>
      </w:r>
      <w:r>
        <w:t xml:space="preserve"> por 224.895 M (20,6 USD por acción) que el mercado no siempre suma [8].</w:t>
      </w:r>
    </w:p>
    <w:p>
      <w:pPr>
        <w:pStyle w:val="Heading2"/>
      </w:pPr>
      <w:r>
        <w:t xml:space="preserve">En contra</w:t>
      </w:r>
    </w:p>
    <w:p>
      <w:pPr>
        <w:pStyle w:val="ListParagraph"/>
        <w:numPr>
          <w:ilvl w:val="0"/>
          <w:numId w:val="2"/>
        </w:numPr>
        <w:spacing w:after="60"/>
      </w:pPr>
      <w:r>
        <w:rPr>
          <w:b/>
        </w:rPr>
        <w:t xml:space="preserve">Flujo libre negativo</w:t>
      </w:r>
      <w:r>
        <w:t xml:space="preserve">: −7.604 M en doce meses por un capex de 169.007 M [11].</w:t>
      </w:r>
    </w:p>
    <w:p>
      <w:pPr>
        <w:pStyle w:val="ListParagraph"/>
        <w:numPr>
          <w:ilvl w:val="0"/>
          <w:numId w:val="2"/>
        </w:numPr>
        <w:spacing w:after="60"/>
      </w:pPr>
      <w:r>
        <w:rPr>
          <w:b/>
        </w:rPr>
        <w:t xml:space="preserve">El precio exige un 15,2 % de crecimiento anual</w:t>
      </w:r>
      <w:r>
        <w:t xml:space="preserve"> hasta 2033, frente al 10,8 % de nuestro caso base.</w:t>
      </w:r>
    </w:p>
    <w:p>
      <w:pPr>
        <w:pStyle w:val="ListParagraph"/>
        <w:numPr>
          <w:ilvl w:val="0"/>
          <w:numId w:val="2"/>
        </w:numPr>
        <w:spacing w:after="60"/>
      </w:pPr>
      <w:r>
        <w:rPr>
          <w:b/>
        </w:rPr>
        <w:t xml:space="preserve">Asimetría desfavorable</w:t>
      </w:r>
      <w:r>
        <w:t xml:space="preserve">: +1,0 % en el alcista frente a −59,0 % en el bajista.</w:t>
      </w:r>
    </w:p>
    <w:p>
      <w:pPr>
        <w:pStyle w:val="ListParagraph"/>
        <w:numPr>
          <w:ilvl w:val="0"/>
          <w:numId w:val="2"/>
        </w:numPr>
        <w:spacing w:after="60"/>
      </w:pPr>
      <w:r>
        <w:rPr>
          <w:b/>
        </w:rPr>
        <w:t xml:space="preserve">Deuda en aumento</w:t>
      </w:r>
      <w:r>
        <w:t xml:space="preserve">: la deuda bruta casi se duplicó en seis meses, hasta 132.549 M [8].</w:t>
      </w:r>
    </w:p>
    <w:p>
      <w:pPr>
        <w:pStyle w:val="ListParagraph"/>
        <w:numPr>
          <w:ilvl w:val="0"/>
          <w:numId w:val="2"/>
        </w:numPr>
        <w:spacing w:after="60"/>
      </w:pPr>
      <w:r>
        <w:rPr>
          <w:b/>
        </w:rPr>
        <w:t xml:space="preserve">Concentración en la IA</w:t>
      </w:r>
      <w:r>
        <w:t xml:space="preserve">: Anthropic y OpenAI son a la vez clientes de AWS y participadas [8].</w:t>
      </w:r>
    </w:p>
    <w:p>
      <w:pPr>
        <w:pStyle w:val="ListParagraph"/>
        <w:numPr>
          <w:ilvl w:val="0"/>
          <w:numId w:val="2"/>
        </w:numPr>
        <w:spacing w:after="60"/>
      </w:pPr>
      <w:r>
        <w:rPr>
          <w:b/>
        </w:rPr>
        <w:t xml:space="preserve">Juicio antimonopolio</w:t>
      </w:r>
      <w:r>
        <w:t xml:space="preserve"> de la FTC el 29-mar-2027 [42].</w:t>
      </w:r>
    </w:p>
    <w:p>
      <w:pPr>
        <w:pStyle w:val="Heading2"/>
      </w:pPr>
      <w:r>
        <w:t xml:space="preserve">Qué tiene que pasar para que la tesis funcione</w:t>
      </w:r>
    </w:p>
    <w:p>
      <w:pPr>
        <w:spacing w:after="100"/>
      </w:pPr>
      <w:r>
        <w:t xml:space="preserve">La tesis depende de que el capex de IA rinda. La señal está en dos cifras de cada trimestre: el crecimiento de AWS (37 % en el 2T26) y el capex en caja (unos 220.000 M previstos para 2026). Si AWS se mantiene por encima del 30 % mientras el capex se estabiliza, el precio estaría justificado; si AWS baja del 25 % con el capex aún al alza, se cumple el bajista.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AWS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57 % del beneficio operativo y la justificación del capex.</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en caja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220.000 M previstos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250.000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flujo libre y el rendimiento del capital nuevo.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AWS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496.000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trimestral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las ventas de la nube.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 aranceles y logística.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AWS en la nube (Synergy)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Erosión del foso frente a Azure y Google.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 / 13,5x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21,1x / 23,8x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Jeff Bezos fundó Amazon.com en 1994 como librería online y la sacó a bolsa en el Nasdaq en mayo de 1997 (3 millones de acciones a 18 USD) [1, 50]. La empresa pasó de vender libros a ser una tienda generalista con un mercado abierto a vendedores externos, que hoy aporta el 24 % de las ventas [1]. Tres decisiones explican el negocio actual: Prime (2005), que convirtió el envío rápido en una suscripción; AWS (2006), que vende como servicio la infraestructura informática interna y hoy da el 57 % del beneficio operativo; y la publicidad dentro de la tienda, que ya factura 68.635 M USD [1, 51]. Las compras grandes han sido escasas: Whole Foods (13.700 M en 2017), MGM (8.450 M, acordada en 2021) y One Medical (3.500 M en 2023) [1, 52, 53]. En julio de 2021 Andy Jassy, hasta entonces primer ejecutivo de AWS, sustituyó a Bezos, que pasó a presidente ejecutivo [1]. Desde 2023 la empresa ha invertido en Anthropic, cuya revalorización dominó el beneficio neto del 2T26 [1,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 Bezos funda Amazon.com; preside el consejo desde entonces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(AMZN): 3 millones de acciones a 18 USD [50].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Amazon Prime: envío urgente gratis e ilimitado por 79 USD al año [51].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Amazon Web Services; Andy Jassy la dirige desde abril de 2006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Whole Foods Market por unos 13.700 M USD con su deuda neta (42 USD por acción, en efectivo)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Acuerda comprar MGM por 8.450 M USD; en julio Jassy pasa a primer ejecutivo y Bezos a presidente ejecutivo [1, 53].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One Medical (unos 3.500 M USD netos de caja), empieza a invertir en Anthropic y la Comisión Europea la designa guardián de acceso de la DMA (Marketplace y Amazon Advertising) [1, 43].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la FTC por las altas y bajas de Prime: 2.500 M USD (1.000 M de multa civil y 1.500 M de devoluciones); 2.700 M de indemnizaciones por despidos [1,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AWS crece un 37 % en el 2T26, la cartera de compromisos llega a unos 496.000 M y Anthropic aporta la mayor parte de 53.400 M de otros ingresos no operativos [8,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Juicio antimonopolio de la FTC y los estados fijado para el 29-mar-2027; el juez rechazó el 9-oct-2026 aplazarlo a junio [42].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Amazon vende tres cosas distintas sobre una misma infraestructura. </w:t>
      </w:r>
      <w:r>
        <w:rPr>
          <w:b/>
        </w:rPr>
        <w:t xml:space="preserve">Comercio minorista</w:t>
      </w:r>
      <w:r>
        <w:t xml:space="preserve">: tiendas online propias (269.287 M USD en 2025, el 37,6 % de las ventas), servicios a vendedores externos (comisiones, logística y envío: 172.162 M, 24,0 %) y tiendas físicas, sobre todo Whole Foods (22.561 M) [1]. </w:t>
      </w:r>
      <w:r>
        <w:rPr>
          <w:b/>
        </w:rPr>
        <w:t xml:space="preserve">Suscripciones</w:t>
      </w:r>
      <w:r>
        <w:t xml:space="preserve"> (Prime, vídeo, música, audiolibros: 49.619 M) y </w:t>
      </w:r>
      <w:r>
        <w:rPr>
          <w:b/>
        </w:rPr>
        <w:t xml:space="preserve">publicidad</w:t>
      </w:r>
      <w:r>
        <w:t xml:space="preserve"> (anuncios patrocinados, display y vídeo para vendedores, fabricantes y editores: 68.635 M, 9,6 %) [1]. </w:t>
      </w:r>
      <w:r>
        <w:rPr>
          <w:b/>
        </w:rPr>
        <w:t xml:space="preserve">AWS</w:t>
      </w:r>
      <w:r>
        <w:t xml:space="preserve">: computación, almacenamiento, bases de datos e IA en la nube para empresas, administraciones y startups (128.725 M, 18,0 %) [1]. Los clientes son consumidores, vendedores, desarrolladores, empresas, creadores de contenido y anunciantes [1]. Por geografía, EE. UU. aportó el 68,3 % de las ventas de 2025 (489.657 M), Alemania el 6,4 %, Reino Unido el 6,0 % y Japón el 4,3 % [1]. A 31-dic-2025 tenía unos 1.576.000 empleados a tiempo completo y parcial [1].</w:t>
      </w:r>
    </w:p>
    <w:p>
      <w:pPr>
        <w:pStyle w:val="Heading2"/>
      </w:pPr>
      <w:r>
        <w:t xml:space="preserve">Cómo gana dinero</w:t>
      </w:r>
    </w:p>
    <w:p>
      <w:pPr>
        <w:spacing w:after="100"/>
      </w:pPr>
      <w:r>
        <w:t xml:space="preserve">Las ventas no reflejan dónde está el beneficio. En 2025 AWS hizo el 18 % de las ventas y el 57 % del beneficio operativo (45.606 M de 79.975 M; margen del 35,4 %), frente a 29.619 M de Norteamérica (6,9 % de margen) y 4.750 M de Internacional (2,9 %) [1]. Dentro de las tiendas, los ingresos de servicios a vendedores, publicidad y suscripciones (290.416 M en 2025) son los de margen alto; la venta propia de producto se apoya en volumen. Una parte creciente es recurrente o contratada: Prime y las suscripciones se cobran por adelantado, y los compromisos de clientes pendientes de reconocer (sobre todo de AWS, contratos de más de un año) pasaron de unos 244.000 M a 31-dic-2025 a unos 496.000 M a 30-jun-2026, con una vida media de 6,4 años [1, 8]. El margen depende del uso de la capacidad de AWS (amortización de servidores: Amazon acortó su vida útil de 6 a 5 años en 2025, 1.400 M más de amortización), del coste logístico por unidad y de la mezcla hacia publicidad [1]. El cuarto trimestre concentra las ventas por estacionalidad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AWS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387.497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161.894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AWS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107.556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relevante: cientos de millones de consumidores, millones de vendedores y empresas de todos los tamaños en AWS [1]. La retención se apoya en Prime (cuota anual o mensual pagada por adelantado y reconocida a lo largo del periodo) y, en AWS, en contratos plurianuales: la cartera de compromisos se duplicó en seis meses hasta unos 496.000 M a 30-jun-2026 [1, 8]. Los vendedores de origen chino suponen una parte significativa de los ingresos por servicios a vendedores y por publicidad, según el propio 10-K, lo que expone esas líneas a aranceles [1]. El poder de precios se ve en las comisiones y la publicidad: la publicidad creció de 46.906 M en 2023 a 68.635 M en 2025 (+21 % anual) y los servicios a vendedores de 140.053 M a 172.162 M (+11 % anual) [1]. En AWS, el 98 % de los 1.000 principales clientes de EC2 usa los procesadores Graviton propios, según la empresa [11].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pagadas (crecimiento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Whole Foods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vendedores externos en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AWS sin divisa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AWS del 39,4 % en el 2T26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publicidad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15.694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19.809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envío mundiales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23.370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27.873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1.546.000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1.595.000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Jornada completa y parcial, sin temporales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obligaciones pendientes (sobre todo AWS)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496.000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Amazon compite en tres mercados. Se toma como principal el que más pesa en el beneficio: </w:t>
      </w:r>
      <w:r>
        <w:rPr>
          <w:b/>
        </w:rPr>
        <w:t xml:space="preserve">servicios de infraestructura en la nube</w:t>
      </w:r>
      <w:r>
        <w:t xml:space="preserve"> mundiales (IaaS, PaaS y nube privada alojada), donde AWS ganó en 2025 el 57 % del beneficio operativo del grupo [1]. Se usa la medida de Synergy Research (ingresos de los proveedores) y se contrasta con Gartner (gasto de los usuarios en IaaS + PaaS públicos: 341.383 M USD en 2024 y 420.500 M previstos para 2025, frente a 330.400 M y 419.000 M de Synergy) [29, 30, 31]. Los otros dos mercados van en extra: </w:t>
      </w:r>
      <w:r>
        <w:rPr>
          <w:b/>
        </w:rPr>
        <w:t xml:space="preserve">comercio electrónico minorista</w:t>
      </w:r>
      <w:r>
        <w:t xml:space="preserve"> de EE. UU. (Census Bureau, estadística oficial) y mundial (eMarketer), y </w:t>
      </w:r>
      <w:r>
        <w:rPr>
          <w:b/>
        </w:rPr>
        <w:t xml:space="preserve">publicidad en comercios (retail media)</w:t>
      </w:r>
      <w:r>
        <w:t xml:space="preserve"> mundial (WARC) [21, 22, 23, 24, 25, 26, 27, 32, 33,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419.000 M USD en 2025 (Synergy), con 143.400 M solo en el 2T26 (+43 % interanual) y 500.000 M en los doce meses a junio de 2026 [28, 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 (los tres primeros suman el 63 % del mercado total y el 67 % de la nube pública en el 2T26) [28]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nube de infraestructura, Synergy; 2022 y 2023 deducidos de los incrementos que publica Synergy))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(entrenamiento e inferencia)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específicos de IA generativa crecieron un 165 % interanual en el 2T26 y el mercado aceleró por undécimo trimestre seguido, hasta el 43 %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de cargas de trabajo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IaaS y PaaS públicos crecieron un 47 % en el 2T26; los compromisos contratados de AWS pasaron de 244.000 M a 496.000 M en seis meses [8,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y energía de los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 acortó la vida útil de parte de sus servidores de 6 a 5 años por el ritmo de la IA (1.400 M más de amortización en 2025) y su FCF de los doce meses al 2T26 fue de −7.600 M por el capex [1,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proveedores de GPU (neoclouds)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neoclouds están ya entre los 40 primeros proveedores; CoreWeave, OpenAI, Oracle, Crusoe y Nebius son los de segundo nivel que más crecen [28,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Comercio electrónico gana peso en el minorista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11,0 % de las ventas minoristas en 2019 al 16,4 % en 2025 y al 17,1 % en el 2T26 (desestacionalizado) [21, 22,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grandes con recursos casi ilimitados: Microsoft y Google crecen más que AWS y AWS pasó del 30 % de cuota en el 4T24 al 28 % en el 2T26 [28,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pero los grandes laboratorios de IA negocian contratos enormes y plurianuales (cartera de AWS de 496.000 M con vida media de 6,4 años)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Dependencia de chips de IA de pocos fabricantes y de energía; Amazon lo mitiga con chips propios (Graviton, usado por el 98 % de los 1.000 primeros clientes de EC2; el negocio de chips supera los 25.000 M de ritmo anual)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Entrar exige decenas de miles de millones de capex al año; los neoclouds entran solo en GPU y sobre financiación de terceros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el centro de datos propio, que pierde peso: los ingresos de productos de servidor de Microsoft crecieron solo un 1 % en su ejercicio 2026 frente al 41 % de Azure [35].</w:t>
            </w:r>
          </w:p>
        </w:tc>
      </w:tr>
    </w:tbl>
    <w:p>
      <w:pPr>
        <w:spacing w:after="160" w:before="0"/>
      </w:pPr>
    </w:p>
    <w:p>
      <w:pPr>
        <w:pStyle w:val="Heading2"/>
      </w:pPr>
      <w:r>
        <w:t xml:space="preserve">Ciclo</w:t>
      </w:r>
    </w:p>
    <w:p>
      <w:pPr>
        <w:spacing w:after="100"/>
      </w:pPr>
      <w:r>
        <w:t xml:space="preserve">La nube está en plena expansión: el crecimiento interanual subió once trimestres seguidos hasta el 43 % del 2T26, el mayor en ocho años, y el mercado se ha duplicado en ese periodo [28]. En 2008-09 la nube era incipiente. En 2020 el comercio electrónico de EE. UU. saltó un 32,4 % y en 2022 frenó al 7,7 % [25, 27]. El riesgo de ciclo está en la inversión: el capex de IA ha llevado el FCF de Amazon a negativo en los doce meses al 2T26 [11].</w:t>
      </w:r>
    </w:p>
    <w:p>
      <w:pPr>
        <w:pStyle w:val="Heading2"/>
      </w:pPr>
      <w:r>
        <w:t xml:space="preserve">Regulación</w:t>
      </w:r>
    </w:p>
    <w:p>
      <w:pPr>
        <w:spacing w:after="100"/>
      </w:pPr>
      <w:r>
        <w:t xml:space="preserve">En EE. UU., la FTC y varios estados acusan a Amazon de mantener un monopolio en tiendas online y servicios a vendedores; el juicio está fijado para el 29-mar-2027 y el juez rechazó el 9-oct-2026 aplazarlo [1, 42]. En septiembre de 2025 Amazon pagó 2.500 M a la FTC por las altas y bajas de Prime y debe ofrecer un botón claro para rechazar Prime y una baja tan fácil como el alta [41]. En la UE es guardián de acceso de la DMA por Marketplace y Amazon Advertising desde el 6-sep-2023 [43]. El fin de la exención «de minimis» (envíos de hasta 800 USD) desde el 29-ago-2025, mantenida por la orden de 20-feb-2026 y derogada por ley desde el 1-jul-2027, encarece a Temu y Shein, pero también a los vendedores chinos de Amazon [1, 44, 45]. En Luxemburgo recurre una multa de 746 M EUR de protección de datos [1].</w:t>
      </w:r>
    </w:p>
    <w:p>
      <w:pPr>
        <w:pStyle w:val="Heading2"/>
      </w:pPr>
      <w:r>
        <w:t xml:space="preserve">Tendencias y disrupción</w:t>
      </w:r>
    </w:p>
    <w:p>
      <w:pPr>
        <w:spacing w:after="100"/>
      </w:pPr>
      <w:r>
        <w:t xml:space="preserve">La IA generativa es el motor de la nube y, a la vez, abre la entrada a proveedores especializados en GPU y laboratorios con nube propia (OpenAI, Anthropic) [28]. Amazon gana con ello por tres vías: es proveedor de capacidad, vende sus propios chips y tiene una participación en Anthropic [11]. En comercio, la entrega ultrarrápida (Amazon Now, en más de 250 ciudades) y la logística vendida a terceros (Amazon Supply Chain Services) amplían la red [11]. En publicidad, el retail media crece más que la publicidad total: llegará al 15,2 % de la inversión mundial en 2027 [33]. Los asistentes de compra con IA de terceros son una amenaza para el tráfico directo de la tienda, que el 10-K ya menciona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nube de infraestructura (28 % en el 2T26, por delante de Microsoft con el 20 % y Google con el 15 %) [28]. 1.º en comercio electrónico de EE. UU., sin cuota oficial publicada; como referencia, el comercio electrónico de Walmart en EE. UU. (Walmart U.S. y Sam's Club: 114.600 M en su ejercicio a enero de 2026) equivale a un 9,3 % del total del Census de 2025 (estimación propia) [22, 37]. 1.º en retail media: 78 % del de EE. UU. en 2025 [33].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(segmento Intelligent Cloud, incluye Azure)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30-jun-2026: ingresos del segmento +30 % y Azure +41 %; el segmento incluye productos de servidor no nube. Grupo: 331.839 M de ingresos y 46,8 % de margen operativo [28,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 (Google Cloud)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+35,8 %; incluye Workspace. Beneficio operativo de 13.910 M, frente a 6.112 M en 2024. Gana cuota: del 12 % en el 4T24 al 15 % en el 2T26 [28, 30,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 (grupo; OCI 18.101 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31-may-2026: la infraestructura en la nube (OCI) creció un 77 % hasta 18.101 M y ya es el 53 % de sus ingresos de nube; Synergy la sitúa entre los proveedores de segundo nivel que más crecen [28,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Walmart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WMT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31-ene-2026: comercio electrónico de 150.400 M en todo el mundo (Walmart U.S. 99.600 M, +26 %; Internacional 35.800 M; Sam's Club 15.000 M). Cuota sobre el comercio electrónico de EE. UU. de 2025 es estimación propia; 7,5 % del retail media de EE. UU. [22, 33, 37].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Shopify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ingresos +30 % y volumen de mercancía de sus comerciantes de 378.441 M; es la infraestructura de la venta directa de las marcas, alternativa a vender en Amazon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MercadoLibre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Argentina/EE.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MELI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ingresos +39 %; líder del comercio electrónico en Latinoamérica por volumen, donde Amazon es segundo actor (México, Brasil) [40].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vendedores atraen más compradores y viceversa: los servicios a vendedores pasaron de 140.053 M en 2023 a 172.162 M en 2025, y ese tráfico sostiene el 78 % del retail media de EE. UU. [1,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AWS, contratos de más de un año por unos 496.000 M con vida media de 6,4 años; en consumo, Prime pagado por adelantado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y datos de compra que alimentan la publicidad (68.635 M en 2025, +21 % anual desde 2023); sin patentes o licencias que bloqueen a rivales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propios con un 30-40 % mejor relación precio-rendimiento según la empresa y negocio de chips de más de 25.000 M de ritmo anual; red logística propia que ya vende a terceros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de AWS del 35,4 % en 2025 con el 28 % de un mercado en el que tres actores suman el 63 %; la escala de capex limita la entrada a quien tenga financiación de igual tamaño [1, 11].</w:t>
            </w:r>
          </w:p>
        </w:tc>
      </w:tr>
    </w:tbl>
    <w:p>
      <w:pPr>
        <w:spacing w:after="160" w:before="0"/>
      </w:pPr>
    </w:p>
    <w:p>
      <w:pPr>
        <w:pStyle w:val="Heading2"/>
      </w:pPr>
      <w:r>
        <w:t xml:space="preserve">Amenazas</w:t>
      </w:r>
    </w:p>
    <w:p>
      <w:pPr>
        <w:spacing w:after="100"/>
      </w:pPr>
      <w:r>
        <w:t xml:space="preserve">La más probable es la erosión de cuota en la nube: Microsoft (Azure +41 % en su ejercicio 2026) y Google Cloud (+35,8 % en 2025) crecen más que AWS (+19,7 % en 2025, +37 % en el 2T26) y AWS ha cedido dos puntos en dos años [1, 11, 28, 35, 36]. Los neoclouds y Oracle (OCI +77 %) compiten por los contratos de IA, que se concentran en pocos clientes [28, 38]. En comercio, Walmart crece en comercio electrónico (+26 % en EE. UU.) y el juicio de la FTC de marzo de 2027 puede limitar prácticas de precios, de oferta destacada o de Prime; las demandas piden también medidas estructurales [1, 37, 42]. Temu y Shein pierden la ventaja del «de minimis» [45].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386.064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716.924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125.152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2016-2025: ingresos </w:t>
      </w:r>
      <w:r>
        <w:rPr>
          <w:b/>
          <w:bCs/>
        </w:rPr>
        <w:t xml:space="preserve">20,3 %</w:t>
      </w:r>
      <w:r>
        <w:t xml:space="preserve">, EBITDA </w:t>
      </w:r>
      <w:r>
        <w:rPr>
          <w:b/>
          <w:bCs/>
        </w:rPr>
        <w:t xml:space="preserve">31,2 %</w:t>
      </w:r>
      <w:r>
        <w:t xml:space="preserve">, BPA </w:t>
      </w:r>
      <w:r>
        <w:rPr>
          <w:b/>
          <w:bCs/>
        </w:rPr>
        <w:t xml:space="preserve">45,5 %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Ventas de 135.987 M en 2016 a 716.924 M en 2025, con crecimiento sobre todo orgánico (la única compra grande, Whole Foods, entró en 2017 por 13.200 M) [1, 7]. El margen operativo pasó del 3,1 % en 2016 al 2,4 % en 2022, el año de la sobrecapacidad logística tras la pandemia, y al 11,2 % en 2025, por AWS (35,4 % de margen en 2025) y la publicidad (68.635 M de ventas en 2025) [1, 2]. En el LTM a jun-26 el margen operativo es del 12,1 % [11]. El beneficio neto está muy distorsionado por las participaciones: +14.633 M de otros ingresos en 2021 y −16.806 M en 2022 por Rivian, +13.309 M en 2025 y 69.062 M en el 1S26 por Anthropic [1, 3, 8].</w:t>
      </w:r>
    </w:p>
    <w:p>
      <w:pPr>
        <w:pStyle w:val="Heading2"/>
      </w:pPr>
      <w:r>
        <w:t xml:space="preserve">Ajustes y partidas no recurrentes</w:t>
      </w:r>
    </w:p>
    <w:p>
      <w:pPr>
        <w:spacing w:after="100"/>
      </w:pPr>
      <w:r>
        <w:t xml:space="preserve">Cifras reportadas en US GAAP. EBITDA = beneficio operativo + depreciación del inmovilizado material (incluida la amortización de activos en arrendamiento financiero: 41.860 M en 2025) + amortización de intangibles adquiridos (817 M en 2025) [1]. No suma la amortización de activos por arrendamiento operativo (alquiler) ni la de contenidos de vídeo y música: la línea del estado de flujos que las mezcla (65.756 M en 2025) se da aparte en extra. En el LTM a jun-26 la amortización de intangibles se aproxima con la de 2025 (817 M), porque los 10-Q no la publican. Gastos generales = logística (fulfillment) + ventas y marketing + generales y administración; tecnología e infraestructura queda fuera. El resultado financiero incluye la participación en participadas (neta de impuestos) para que el BAI menos impuestos cuadre con el beneficio neto. El BPA y las acciones de 2016-2019 se dividen entre 20 por el desdoblamiento de 2022. No recurrente dentro del EBITDA: solo el acuerdo con la FTC de 2025 (2.500 M); los despidos (2022, 2025) y los deterioros de tiendas físicas (2022, 2025) se repiten y se quedan dentro [1, 3]. El beneficio neto del LTM (135.281 M) lleva unos 78.000 M de otros ingresos, casi todo revalorización de Anthropic [8].</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200.606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(29-abr-2026).</w:t>
      </w:r>
      <w:r>
        <w:t xml:space="preserve"> La dirección destacó la aceleración de AWS (28 %, la más rápida en 15 trimestres), una cartera de AWS de 364.000 M sin contar el nuevo acuerdo con Anthropic de más de 100.000 M, más de 225.000 M de compromisos de ingresos para los chips Trainium y el lanzamiento comercial de Amazon Leo en el 3T, con unos 1.000 M de coste adicional interanual en el 2T [14]. A la pregunta de Eric Sheridan (Goldman Sachs) sobre la inversión necesaria, Jassy respondió que no había «una nueva actualización de capital» y que el plan seguía «en gran parte igual» (unos 200.000 M de capex en 2026) [14, 15]. Otras preguntas: cartera de AWS (Morgan Stanley), modelos de OpenAI en Bedrock y venta de Trainium a terceros (Bank of America), Amazon Leo y Globalstar (Loop Capital) [14].</w:t>
      </w:r>
    </w:p>
    <w:p>
      <w:pPr>
        <w:spacing w:after="100"/>
      </w:pPr>
      <w:r>
        <w:rPr>
          <w:b/>
        </w:rPr>
        <w:t xml:space="preserve">2T26 (30-jul-2026).</w:t>
      </w:r>
      <w:r>
        <w:t xml:space="preserve"> El discurso pasó de «plan igual» a subir la guía de capex en caja de 2026 a unos 220.000 M, por el mayor coste de la memoria, y a advertir que aun así faltará capacidad en 2026 y 2027 [15]. AWS creció un 36,7 % con un margen del 39,4 % (520 p.b. de mejora sin una ganancia puntual de derivados de energía); la cartera llegó a 496.000 M; el beneficio operativo incluyó 1.200 M de devoluciones de aranceles y derivados de energía [15]. Los analistas preguntaron por la sostenibilidad del margen de AWS (J.P. Morgan), la capacidad que se añade y 2027 (Bank of America), si el gasto en centros de datos de larga vida puede bajar en 2027 (Morgan Stanley), las fuentes de financiación (Baird) y la inflación de costes en los contratos (Wells Fargo) [15]. La dirección no dio cifras de capex de 2027 ni de gigavatios del segundo semestre y, sobre la financiación, se limitó a decir que había emitido deuda y que «no hay nada que compartir hoy»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527.854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624.894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818.042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411.065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(2017: Whole Foods Market, consolidada desde el 28-ago-2017 (13.200 M USD): el balance de 2017 la incluye entera y la cuenta solo cuatro meses [7].).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pasó de 57.791 M en 2024 a 68.851 M en 2025 y a 132.549 M en jun-26, más 25.000 M en julio y 4.250 M GBP en septiembre: Amazon financia con deuda el capex de IA (169.007 M LTM) y las inversiones en OpenAI y Anthropic, porque el flujo operativo (161.403 M LTM) ya no lo cubre [8, 11]. Los arrendamientos financieros cayeron de 31.945 M (2020) a 20.444 M (2025) al dejar de usarse para equipos [1, 5]. El circulante es negativo (proveedores 147.440 M frente a existencias 38.184 M en jun-26) y financia parte del crecimiento [8]. Las participaciones en empresas suman 229.700 M a jun-26, más que toda la deuda [8].</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139.514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94.698</w:t>
      </w:r>
      <w:r>
        <w:t xml:space="preserve">, conversión </w:t>
      </w:r>
      <w:r>
        <w:rPr>
          <w:b/>
          <w:bCs/>
        </w:rPr>
        <w:t xml:space="preserve">38 %</w:t>
      </w:r>
      <w:r>
        <w:t xml:space="preserve"> del beneficio neto; adquisiciones 48.123, dividendos 0, recompras 6.000.</w:t>
      </w:r>
    </w:p>
    <w:p>
      <w:pPr>
        <w:spacing w:after="100"/>
      </w:pPr>
      <w:r>
        <w:t xml:space="preserve">El flujo operativo creció de 17.203 M (2016) a 139.514 M (2025) y 161.403 M en el LTM, pero el capex neto pasó de 6.737 M a 128.320 M y 169.007 M: el flujo libre fue de 11.194 M en 2025 y de −7.604 M en el LTM a jun-26 [1, 8, 11]. Años anómalos: 2021-2022, con capex logístico de 55.000-58.000 M para duplicar la red tras la pandemia y flujo libre negativo; 2023-2024, recuperación al frenar la logística [3, 4]. En 2025 el 68 % de las altas de inmovilizado (96.496 de 142.352 M) fue para AWS [1]. Amazon no separa capex de mantenimiento y de crecimiento; la dirección prevé unos 220.000 M de capex en caja en 2026 [15]. Los pagos de principal de arrendamientos financieros bajaron de 11.325 M (2021) a 1.885 M (2025) [1,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 (Seattle)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 cuestión clave de auditoría: posiciones fiscales inciertas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Auditor desde 1996 [1]. Sin cambios de criterio relevantes en el periodo salvo la adopción de ASC 842 en 2019 (arrendamientos operativos al balance) [5]. La remuneración en acciones fue de 19.467 M en 2025 (25 % del beneficio neto y 24 % del beneficio operativo), por debajo de los 24.023 M de 2023; en el LTM, 19.314 M [1, 11]. El beneficio neto depende cada vez más de valoraciones de nivel 3 de empresas no cotizadas: 62.814 M de ajustes al alza en el 1S26 por Anthropic, frente a un beneficio operativo de 51.313 M en el mismo semestre; la participación en Anthropic y OpenAI vale 229.700 M en balance junto con el resto de inversiones [8]. Las notas de Anthropic suman 92.000 M de plusvalías latentes en patrimonio [8]. El aumento de la depreciación de AWS (21.450 M en 2025 frente a 13.320 M en 2024) refleja el capex de IA [1]. El impuesto diferido de 2026 (30.489 M en el 1S26) nace de las revalorizaciones, sin pago de caja [8].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inflado por revalorizaciones de nivel 3 (Anthropic)</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53.415 M de otros ingresos en el 2T26 frente a 27.461 M de beneficio operativo; valoración por rondas de financiación, sin precio de mercado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19.467 M en 2025, un 25 % del beneficio neto; dilución neta ~1 % anual sin recompras [1,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negativo en el LTM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−7.604 M a jun-26 por el capex de IA; el beneficio no se convierte en caja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Partidas en otros gastos operativos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FTC 2.500 M, despidos 2.700 M y deterioros 1.300 M en 2025; deterioros de tiendas y despidos también en 2022 [1,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318.952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20,8 % · </w:t>
      </w:r>
      <w:r>
        <w:rPr>
          <w:b/>
          <w:bCs/>
        </w:rPr>
        <w:t xml:space="preserve">WACC</w:t>
      </w:r>
      <w:r>
        <w:t xml:space="preserve">: 12,1 %.</w:t>
      </w:r>
    </w:p>
    <w:p>
      <w:pPr>
        <w:spacing w:after="100"/>
      </w:pPr>
      <w:r>
        <w:t xml:space="preserve">Amazon crea valor: el ROIC de 2025 fue del 20,8 %, frente a un WACC del 12,1 %, y solo bajó del coste de capital en 2022 (6,3 %), el año de la sobrecapacidad logística. Lo mueve el margen, no la rotación: el margen operativo pasó del 2,4 % de 2022 al 11,5 % de 2025 (con los 2.500 M de la FTC devueltos), mientras la rotación del capital cayó de 1,63 a 0,99 veces por el capex de AWS. El ROIC incremental de la última etapa (20,8 %) dice que el crecimiento reciente ha sido rentable, pero la serie todavía no recoge el capex de IA de 2026 (unos 220.000 M) [15]. El capital invertido incluye además participaciones en laboratorios de IA que no aportan beneficio operativo, lo que rebaja el ROIC medido. Frente a los competidores, Amazon rinde menos que Microsoft (30,2 %), Alphabet (30,4 %) o Meta (33,8 %), y más que Walmart (16,8 %) [80, 81, 83, 84].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36.500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68.827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78.213 M + valores negociables 44.775 M; líneas de crédito comprometidas sin disponer de 20.000 M, papel comercial hasta 30.000 M sin usar y préstamo a plazo de 17.500 M disponible hasta el 30-sep-2026; en julio emitió 25.000 M en bonos y en septiembre 4.250 M GBP [8, 18,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A1, S&amp;P AA y Fitch AA− (hoja de condiciones de la emisión en libras del 9-sep-2026; no indica perspectiva)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financieros en los bonos [8]. Compromisos contractuales a 30-jun-2026 de 650.034 M: arrendamientos aún no iniciados 137.214 M, compras incondicionales 130.065 M (energía, contenidos, equipos), otros 18.366 M [8]. Contingencias fiscales sin estimar de 7.100 M [8]. Línea de financiación a Anthropic de hasta 20.000 M (15.000 M disponibles) y, a 30-jun, 21.300 M pendientes del compromiso con OpenAI, ya desembolsados en el 3T26 [8]. Garantías bancarias (standby letters of credit) de 13.400 M [8]. Compra de Globalstar pendiente, pagadera en efectivo y acciones [16]. Litigios antimonopolio de la FTC y de fiscales generales en EE. UU., Canadá y Reino Unido; acuerdo con la FTC de 2.500 M en 2025 [1].</w:t>
      </w:r>
    </w:p>
    <w:p>
      <w:pPr>
        <w:pStyle w:val="Heading1"/>
      </w:pPr>
      <w:r>
        <w:t xml:space="preserve">12. Asignación de capital</w:t>
      </w:r>
    </w:p>
    <w:p>
      <w:pPr>
        <w:pStyle w:val="Confianza"/>
        <w:spacing w:after="100"/>
      </w:pPr>
      <w:r>
        <w:t xml:space="preserve">Confianza: Alta</w:t>
      </w:r>
    </w:p>
    <w:p>
      <w:pPr>
        <w:spacing w:after="100"/>
      </w:pPr>
      <w:r>
        <w:t xml:space="preserve">Amazon no paga dividendo. El programa de recompra de 10.000 M aprobado en marzo de 2022 tiene 6.100 M sin usar a 30-jun-2026; recompró 6.000 M en 2022 y nada desde entonces [3, 8]. Las prioridades declaradas son la inversión en AWS e IA (capex de unos 220.000 M en 2026), la logística, Amazon Leo y participaciones estratégicas en laboratorios de IA (Anthropic, OpenAI) [8, 15]. En 2026 la financiación pasó a ser deuda: 82.400 M de deuda a corto y largo plazo obtenida en el primer semestre y 25.000 M en julio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Whole Foods Market (supermercados ecológicos,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con bonos de 17.000 M emitidos en 2017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tiendas físicas (22.561 M de ventas en 2025); la dirección dice que crece por encima de los supermercados comparables; sin deterioro del fondo de comercio publicado [1, 7,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MGM Holdings (estudio y catálogo de cine y televisión)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6.100 M más 2.500 M de deuda asumida y repagada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3.400 M de contenidos y 4.900 M de fondo de comercio; sin deterioro publicado; las cifras de Prime Video no se desglosan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One Medical (1Life Healthcare, atención primaria)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1.300 M de intangibles y 2.500 M de fondo de comercio en Norteamérica; sin deterioro publicado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iRobot (robots aspiradores), cancelada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(previsto)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agosto de 2022 cancelado en enero de 2024 por la oposición de los reguladores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Anthropic (participación minoritaria sin voto)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8.000 M en notas convertibles (3T23-4T25) y 10.000 M en preferentes series G y H (2T26)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en balance a jun-26: 92.500 M de preferentes y 97.900 M de notas a valor razonable; más de 100.000 M de compromiso de Anthropic con AWS a 10 años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OpenAI (preferentes serie 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y deuda: 15.000 M en el 1T26, 13.700 M en el 2T26 y 21.300 M tras el 30-jun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2026 ligada a un acuerdo de servicios de AWS; registrada a coste con ajustes por precios observables [8, 20].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(pendiente)</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Globalstar (satélites con conexión directa al móvil, para Amazon Leo)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elección del accionista: 90,00 USD en efectivo o 0,3210 acciones de Amazon (tope 90,00 USD) por acción; efectivo como máximo para el 40 % de las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13-abr-2026; cierre previsto en 2027. A 90 USD por las 128,6 M de acciones el valor del capital sería de unos 11.600 M (estimación propia) [8, 16].</w:t>
            </w:r>
          </w:p>
        </w:tc>
      </w:tr>
    </w:tbl>
    <w:p>
      <w:pPr>
        <w:spacing w:after="160" w:before="0"/>
      </w:pPr>
    </w:p>
    <w:p>
      <w:pPr>
        <w:spacing w:after="100"/>
      </w:pPr>
      <w:r>
        <w:t xml:space="preserve">Amazon apenas ha comprado empresas: las tres compras grandes (Whole Foods, MGM y One Medical) suman 22.800 M en efectivo frente a un capex neto acumulado de 443.679 M en 2016-2025 [1, 2, 3, 4, 5, 6, 7]. Ninguna compra ha generado deterioros del fondo de comercio publicados (23.273 M a dic-25) [1]. El capital se asigna sobre todo a AWS (96.496 M de altas en 2025) y, desde 2023, a participaciones en laboratorios de IA que son también clientes de AWS: Anthropic (190.400 M entre preferentes y notas) y OpenAI (28.700 M) suman 219.100 M en balance a jun-26 sobre 46.700 M desembolsados hasta esa fecha [1, 8]. Sin dividendos y con recompras solo en 2022, las acciones en circulación pasan de 10.175 M (2021) a 10.783 M (jun-26) [8].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R. Jassy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Amazon desde 1997; fundó y dirigió AWS (vicepresidente sénior de 2006 a 2016 y CEO de AWS de 2016 a julio de 2021) antes de suceder a Bezos como CEO en julio de 2021 [1, 54]. Con él, el beneficio operativo pasó de 68,6 bn USD en 2024 a 80,0 bn en 2025 [1] y a 27,5 bn en el 2T26, frente a 19,2 bn un año antes [11]. Posee 2.313.536 acciones (0,02 %) y 1.049.680 RSU pendientes de la concesión de 2021, que consolidan hasta febrero de 2031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T. Olsavsky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junio de 2015; antes, vicepresidente de finanzas del negocio de consumo global (2011-2015) y cargos financieros en Amazon desde abril de 2002 [1]. Lleva once años en el cargo, el periodo de la expansión del capex de AWS y de la vuelta al beneficio tras 2022. Posee 86.097 acciones y 207.335 RSU pendientes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S. Garman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Amazon Web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AWS desde hace más de una década: vicepresidente de EC2 (2012-2018), de servicios de computación (2018-2020), de marketing, ventas y soporte (2020-2021) y vicepresidente sénior (2021-2024); CEO de AWS desde junio de 2024, tras la salida de Adam Selipsky [1, 60]. En el 2T26 AWS facturó 42,2 bn USD (+37 %) con 16,6 bn de beneficio operativo [11]. Posee 10.293 acciones y 271.272 RSU pendientes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Douglas J. Herrington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Worldwide Amazon Stores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Amazon desde 2005 (consumibles); vicepresidente sénior de Norteamérica de 2015 a 2022 y CEO de las tiendas mundiales desde julio de 2022 [1]. En el 2T26 Norteamérica vendió 116,2 bn USD (+16 %) e Internacional 42,2 bn (+15 %) [11]. Posee 528.960 acciones y 339.551 RSU pendientes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P. Bezos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ejecutivo (Executive Chair)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Amazon en 1994, fue CEO de 1996 a julio de 2021 y preside el consejo desde la fundación; presidente ejecutivo desde julio de 2021 [1, 54]. Es dueño de Blue Origin y de la sociedad editora de The Washington Post, con las que Amazon contrata [54]. Posee 950.434.581 acciones (8,8 %) a 24-feb-2026 [54]; cobra 81.840 USD de salario y no recibe acciones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A. Zapolsky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sénior de asuntos globales y jurídico (Chief Global Affairs &amp; Legal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Abogado de la casa desde 2002; director jurídico (General Counsel) de 2012 a 2025 y responsable de asuntos globales y jurídicos desde febrero de 2025 [1]. Lleva los litigios con la FTC y los expedientes europeos. Posee 41.190 acciones y 207.335 RSU pendientes [54].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138,0-143,5 bn USD; beneficio operativo 8,0-12,0 bn [64]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143,3 bn; beneficio operativo 15,3 bn [65]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144,0-149,0 bn; beneficio operativo 10,0-14,0 bn [65]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148,0 bn; beneficio operativo 14,7 bn [66]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154,0-158,5 bn; beneficio operativo 11,5-15,0 bn [66]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158,9 bn; beneficio operativo 17,4 bn [67]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181,5-188,5 bn; beneficio operativo 16,0-20,0 bn [67]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187,8 bn; beneficio operativo 21,2 bn [68]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151,0-155,5 bn; beneficio operativo 14,0-18,0 bn [68]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155,7 bn; beneficio operativo 18,4 bn [69]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159,0-164,0 bn; beneficio operativo 13,0-17,5 bn [69]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167,7 bn; beneficio operativo 19,2 bn [70]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174,0-179,5 bn; beneficio operativo 15,5-20,5 bn, sin acuerdos legales ni reestructuraciones [70]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180,2 bn; beneficio operativo 17,4 bn, con 2,5 bn del acuerdo con la FTC y 1,8 bn de indemnizaciones por despidos (21,7 bn sin ellos) [71]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206,0-213,0 bn; beneficio operativo 21,0-26,0 bn [71]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213,4 bn; beneficio operativo 25,0 bn, con 2,4 bn de cargos especiales por Italia, despidos y deterioros (27,4 bn sin ellos)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173,5-178,5 bn; beneficio operativo 16,5-21,5 bn, con unos 1.000 M más de costes de Amazon Leo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181,5 bn; beneficio operativo 23,9 bn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194,0-199,0 bn; beneficio operativo 20,0-24,0 bn, con Prime Day en el 2T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200,6 bn; beneficio operativo 27,5 bn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Amazon no da objetivos anuales de resultados, solo una horquilla trimestral de ventas y beneficio operativo. Del 1T24 al 2T26 las ventas quedaron siempre dentro o por encima de la horquilla (siete veces por encima) y el beneficio operativo superó el techo en ocho de diez trimestres; los otros dos (3T25 y 4T25) quedaron dentro pese a 2,5 y 2,4 bn de cargos especiales [11, 12, 13, 64, 65, 66, 67, 68, 69, 70, 71]. La guía es prudente y ancha. La única guía anual es la de capex: unos 200 bn USD en 2026, de los que el primer semestre consumió 96,3 bn netos [11, 12]. El equipo es estable y de la casa: Jassy, Olsavsky, Herrington y Zapolsky llevan más de veinte años en Amazon, y la salida de Selipsky en AWS (2024) se cubrió con Garman, también interno [1, 54, 60]. El consejo revisa cada año la sucesión [54].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P. Bezos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R. Jassy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S. Gorelick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 independiente (Lead Independent Director); asesora sénior de WilmerHale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Edith W. Cooper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antigua vicepresidenta ejecutiva de Goldman Sachs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y 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P. Huttenlocher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decano del MIT Schwarzman College of Computing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y Remuneración; Seguridad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Y. 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socio gerente de AI Fund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Indra K. Nooyi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antigua presidenta y CEO de PepsiCo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J. Rubinstein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antiguo co-CEO de Bridgewater Associates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(presidente); 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 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 Marshall University y antiguo CEO de Intuit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Patricia Q. Stonesifer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antigua presidenta y CEO de Martha's Table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Wendell P. Weeks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CEO de Corning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Kevin R. Mandia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CEO de Armadin y fundador de Mandiant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Seguridad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 cuestión clave de auditoría: posiciones fiscales inciertas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456,91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P. Bezos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ejecutivo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950,4 M de acciones a 24-feb-2026, frente a 1.021,7 M (9,6 %) un año antes y 964,3 M (9,0 %) a 30-sep-2025; vende con planes 10b5-1 (1,21 M de acciones por 346 M USD el 3-ago-2026) y dona acciones (unos 2,7 M en 12 meses) [54, 55, 61, 62]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indexados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727,7 M de acciones a 31-mar-2026 tras la reorganización interna de Vanguard; el proxy de 2026 aún recoge un 7,2 % de The Vanguard Group con datos de 2023 [54,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630,2 M de acciones según el 13G con datos a 31-dic-2023, sin actualización posterior en el proxy de 2026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en conjunto (17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953,9 M de acciones a 24-feb-2026, casi todas de Bezos [54]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P. Bezos (presidente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1.209.649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346,45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R. Jassy (CEO); 21 ventas entre 21-nov-2025 y 21-ago-2026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142.096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Douglas J. Herrington (CEO de Stores); 42 ventas entre 31-oct-2025 y 1-oct-2026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Matthew S. Garman (CEO de AWS); 22 ventas entre 21-nov-2025 y 21-ago-2026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A. Zapolsky (jurídico); 23 ventas entre 21-nov-2025 y 24-ago-2026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Jonathan J. Rubinstein (consejero); 3 ventas desde 31-oct-2025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Shelley L. Reynolds (controller); 13 ventas desde 21-nov-2025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T. Olsavsky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Keith B. Alexander (consejero hasta mayo de 2026); 2 ventas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Daniel P. Huttenlocher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Amazon no tiene variable anual en efectivo ni incentivos con métricas: salario de 365.000 USD y RSU que consolidan por tiempo durante cinco o seis años, sin pagos por encima del objetivo [54]. Las concesiones son periódicas: cada dos años para el resto de directivos (25-34 M USD a Olsavsky, Garman y Herrington en 2024) y ninguna a Jassy desde la gran concesión de 2021 por su ascenso, pensada para cubrir casi toda su retribución de los años siguientes; le quedan 1.049.680 RSU hasta febrero de 2031 [54, 55]. Por eso su total contable de 2025 es de 2,07 M USD (1,70 M en seguridad) y la retribución efectivamente pagada, 13,2 M [54]. El voto consultivo bajó a 77-78 % a favor en 2024 y 2025 y subió al 94 % en 2026 [56, 57, 58]. El clawback cubre fraude y reformulaciones según las reglas de la SEC y el Nasdaq [54].</w:t>
      </w:r>
    </w:p>
    <w:p>
      <w:pPr>
        <w:pStyle w:val="Heading2"/>
      </w:pPr>
      <w:r>
        <w:t xml:space="preserve">Operaciones vinculadas, estructura de control y defensas</w:t>
      </w:r>
    </w:p>
    <w:p>
      <w:pPr>
        <w:spacing w:after="100"/>
      </w:pPr>
      <w:r>
        <w:t xml:space="preserve">Una sola clase de acciones, un voto por acción, consejo elegido entero cada año y acceso de los accionistas a la propuesta de consejeros [54]. No hay accionista de control: el 8,8 % de Bezos equivale a un 12 % de los votos emitidos en la junta de 2026 y no la decide; en 2024 y 2025 el 22 % votó contra la remuneración pese a su voto [54, 56, 58]. Pero pesa: es presidente ejecutivo, el consejo justifica ese papel por su participación y él propuso a Jassy como sucesor en 2021 [54]. La operación vinculada relevante es con Blue Origin, de Bezos: lanzamientos de Amazon Leo con unos 2.700 M USD previstos hasta 2028, de los que ha cobrado unos 1.800 M desde enero de 2025 [54]. Amazon no tiene política escrita de operaciones vinculadas: las revisa la comisión de auditoría [54].</w:t>
      </w:r>
    </w:p>
    <w:p>
      <w:pPr>
        <w:pStyle w:val="Heading2"/>
      </w:pPr>
      <w:r>
        <w:t xml:space="preserve">Señales de alerta</w:t>
      </w:r>
    </w:p>
    <w:p>
      <w:pPr>
        <w:pStyle w:val="ListParagraph"/>
        <w:numPr>
          <w:ilvl w:val="0"/>
          <w:numId w:val="2"/>
        </w:numPr>
        <w:spacing w:after="60"/>
      </w:pPr>
      <w:r>
        <w:t xml:space="preserve">Demanda antimonopolio de la FTC y de fiscales generales de varios estados, con juicio fijado para el 29-mar-2027: el 9-oct-2026 el juez rechazó la petición de Amazon de aplazarlo a junio de 2027 [42]. Hay además demandas colectivas en EE. UU., Canadá y Reino Unido que piden miles de millones de daños, triple indemnización y remedios estructurales; una está certificada en EE. UU. y dos en Reino Unido [1, 8].</w:t>
      </w:r>
    </w:p>
    <w:p>
      <w:pPr>
        <w:pStyle w:val="ListParagraph"/>
        <w:numPr>
          <w:ilvl w:val="0"/>
          <w:numId w:val="2"/>
        </w:numPr>
        <w:spacing w:after="60"/>
      </w:pPr>
      <w:r>
        <w:t xml:space="preserve">Acuerdo con la FTC por la contratación y baja de Prime: cargo de 2.500 M USD en el 3T25 [1, 71].</w:t>
      </w:r>
    </w:p>
    <w:p>
      <w:pPr>
        <w:pStyle w:val="ListParagraph"/>
        <w:numPr>
          <w:ilvl w:val="0"/>
          <w:numId w:val="2"/>
        </w:numPr>
        <w:spacing w:after="60"/>
      </w:pPr>
      <w:r>
        <w:t xml:space="preserve">Multa de 746 M EUR de la autoridad de protección de datos de Luxemburgo (RGPD, 2021): el tribunal administrativo desestimó el recurso en marzo de 2025 y Amazon apeló en abril de 2025 [1].</w:t>
      </w:r>
    </w:p>
    <w:p>
      <w:pPr>
        <w:pStyle w:val="ListParagraph"/>
        <w:numPr>
          <w:ilvl w:val="0"/>
          <w:numId w:val="2"/>
        </w:numPr>
        <w:spacing w:after="60"/>
      </w:pPr>
      <w:r>
        <w:t xml:space="preserve">Multa de la autoridad italiana de competencia de 1.130 M EUR (2021, ya pagada), reducida a 752 M por el tribunal administrativo en septiembre de 2025 y recurrida en diciembre de 2025; en el 4T25 se cargaron 1.100 M USD por disputas fiscales en Italia y un litigio [1, 12].</w:t>
      </w:r>
    </w:p>
    <w:p>
      <w:pPr>
        <w:pStyle w:val="ListParagraph"/>
        <w:numPr>
          <w:ilvl w:val="0"/>
          <w:numId w:val="2"/>
        </w:numPr>
        <w:spacing w:after="60"/>
      </w:pPr>
      <w:r>
        <w:t xml:space="preserve">Pagos de unos 1.800 M USD desde enero de 2025 a Blue Origin, propiedad del presidente ejecutivo, por lanzamientos de satélites [54].</w:t>
      </w:r>
    </w:p>
    <w:p>
      <w:pPr>
        <w:pStyle w:val="ListParagraph"/>
        <w:numPr>
          <w:ilvl w:val="0"/>
          <w:numId w:val="2"/>
        </w:numPr>
        <w:spacing w:after="60"/>
      </w:pPr>
      <w:r>
        <w:t xml:space="preserve">Voto consultivo de remuneración con un 22 % en contra en 2024 y 2025, por la concesión de 2021 a Jassy y el modelo de RSU sin métricas; en 2026 bajó al 6 % [56, 57, 58].</w:t>
      </w:r>
    </w:p>
    <w:p>
      <w:pPr>
        <w:pStyle w:val="ListParagraph"/>
        <w:numPr>
          <w:ilvl w:val="0"/>
          <w:numId w:val="2"/>
        </w:numPr>
        <w:spacing w:after="60"/>
      </w:pPr>
      <w:r>
        <w:t xml:space="preserve">Propuestas de accionistas rechazadas con apoyo relevante: presidente independiente (17 % a favor en 2025 y 14 % en 2026), informe sobre lobby (30 % en 2024) e impacto climático de los centros de datos (20 % en 2025 y 18 % en 2026) [56, 57, 58].</w:t>
      </w:r>
    </w:p>
    <w:p>
      <w:pPr>
        <w:pStyle w:val="ListParagraph"/>
        <w:numPr>
          <w:ilvl w:val="0"/>
          <w:numId w:val="2"/>
        </w:numPr>
        <w:spacing w:after="60"/>
      </w:pPr>
      <w:r>
        <w:t xml:space="preserve">Antigüedad alta de consejeros calificados de independientes: Stonesifer desde 1997, Rubinstein desde 2010 y Gorelick, la consejera coordinadora, desde 2012 [54].</w:t>
      </w:r>
    </w:p>
    <w:p>
      <w:pPr>
        <w:pStyle w:val="ListParagraph"/>
        <w:numPr>
          <w:ilvl w:val="0"/>
          <w:numId w:val="2"/>
        </w:numPr>
        <w:spacing w:after="60"/>
      </w:pPr>
      <w:r>
        <w:t xml:space="preserve">Ventas de directivos y consejeros por 457 M USD en 12 meses, todas con planes 10b5-1 y ninguna compra en mercado [61].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Amazon solo da guía trimestral. Para el 3T26 (nota de prensa del 30-jul-2026) espera ventas de 197.000-202.000 M USD (+9 % a +12 % interanual; casi 4 puntos más sin el efecto de Prime Day, que en 2026 cayó en el 2T) y beneficio operativo de 22.500-26.500 M USD, frente a 17.400 M en el 3T25; supone un efecto negativo de unos 80 puntos básicos por divisa y ningún efecto de la revalorización de contratos de energía [11]. En el primer semestre de 2026 el beneficio operativo fue de 51.313 M USD [8]. No da objetivos a medio plazo.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828.415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60 analistas [73]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948.542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60 analistas [73]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1.098.604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354.270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183.872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60 analistas [73]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825.896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828.415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948.542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211.032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1.068.627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1.098.604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277.843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281.762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230,00 – 405,00</w:t>
            </w:r>
          </w:p>
        </w:tc>
      </w:tr>
    </w:tbl>
    <w:p>
      <w:pPr>
        <w:spacing w:after="160" w:before="0"/>
      </w:pPr>
    </w:p>
    <w:p>
      <w:pPr>
        <w:pStyle w:val="Heading2"/>
      </w:pPr>
      <w:r>
        <w:t xml:space="preserve">Revisiones de estimaciones</w:t>
      </w:r>
    </w:p>
    <w:p>
      <w:pPr>
        <w:spacing w:after="100"/>
      </w:pPr>
      <w:r>
        <w:t xml:space="preserve">Ninguna fuente gratuita publica la serie de revisiones del BPA o del EBITDA a 3 y 12 meses. Sí se ven subidas de precio objetivo desde los resultados del 2T26: Loop Capital de 360 a 405 USD (13-ago), Evercore ISI de 315,20 a 355 USD (28-ago), Wells Fargo de 328 a 338 USD (3-sep), Rosenblatt de 335 a 360 USD (30-sep), New Street de 350 a 385 USD (2-oct) y Tigress de 315 a 385 USD (6-oct) [73]. El BPA de 2026e de MarketScreener (12,89 USD) incluye las ganancias de Anthropic del primer semestre (BPA diluido de 8,53 USD en seis meses, con 69.100 M de otros ingresos) [8, 73]; el de Stock Analysis (8,31 USD de media, 56 analistas) las excluye [74]. El precio objetivo medio coincide en las dos fuentes: 331,36 USD [73, 74].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r>
    </w:tbl>
    <w:p>
      <w:pPr>
        <w:spacing w:after="160" w:before="0"/>
      </w:pPr>
    </w:p>
    <w:p>
      <w:pPr>
        <w:spacing w:after="100"/>
      </w:pPr>
      <w:r>
        <w:t xml:space="preserve">Amazon ha batido al S&amp;P 500 a diez años (20,2 % anual frente a 15,6 %) pero no a cinco (10,1 % frente a 13,9 %): la caída del 55,7 % entre noviembre de 2021 y diciembre de 2022, cuando el margen operativo cayó al 2,4 % por la sobrecapacidad logística, pesa todavía [2, 72]. En 2026 la acción marcó el mínimo de 196 USD el 17-feb, tras anunciar un capex de unos 200.000 M, y el máximo de 287,20 USD el 3-ago, tras el 2T26 con AWS al +37 % [11, 12, 72]. Desde entonces ha devuelto un 9 %. La beta de 1,49 y la volatilidad del 33,8 % son altas para una empresa con rating AA, y la posición corta es mínima (0,76 %) [75].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EV/EBITDA de los últimos doce meses (18,4x) Amazon cotiza en el mínimo de su historia de diez años, con un descuento del 40 % sobre la media (30,5x). La razón es estructural: el EBITDA de hoy lleva mucho más AWS y publicidad, pero también una depreciación que se dispara con el capex de IA, y el flujo libre es negativo (−7.604 M en el LTM) [11]. El PER (21,1x frente a 74,6x de media) engaña más: el beneficio neto del LTM incluye unos 60.000 M de revalorizaciones de Anthropic antes de impuestos [8]. El descuento frente a la historia no es, por tanto, una señal de barato: el mercado paga menos por cada dólar de EBITDA porque cada dólar exige ahora más inversión.</w:t>
      </w:r>
    </w:p>
    <w:p>
      <w:pPr>
        <w:pStyle w:val="Heading1"/>
      </w:pPr>
      <w:r>
        <w:t xml:space="preserve">18. Comparables cotizados</w:t>
      </w:r>
    </w:p>
    <w:p>
      <w:pPr>
        <w:pStyle w:val="Confianza"/>
        <w:spacing w:after="100"/>
      </w:pPr>
      <w:r>
        <w:t xml:space="preserve">Confianza: Media</w:t>
      </w:r>
    </w:p>
    <w:p>
      <w:pPr>
        <w:spacing w:after="100"/>
      </w:pPr>
      <w:r>
        <w:t xml:space="preserve">Ocho cotizadas en dos grupos, como el negocio de Amazon: nube e inteligencia artificial (Microsoft, Alphabet, Oracle), que compiten con AWS, el segmento que da el 60 % del beneficio operativo; publicidad digital (Meta, y Alphabet); y comercio y logística (Walmart, Costco, MercadoLibre, Shopify). Todas publican en US GAAP y en USD. Se dejan fuera Alibaba, JD.com y PDD por su riesgo regulatorio chino y su descuento estructural.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2.861.274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3.973.430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4.299.621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 Platforms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1.849.696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427.594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Walmart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883.451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MercadoLibre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UY</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Shopify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219.823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 / 17,2x / 20,0x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146.770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 / 21,8x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 / 31,0x / 37,6x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775.680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7,6x / 10,0x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22,0 + 0,12 × crecimiento; R² = 0,00. El crecimiento explica poco los múltiplos de estos comparables (R² &lt; 0,3): la regresión no se usa en la valoración.</w:t>
      </w:r>
    </w:p>
    <w:p>
      <w:pPr>
        <w:spacing w:after="100"/>
      </w:pPr>
      <w:r>
        <w:t xml:space="preserve">A 13,5x el EBITDA de los próximos doce meses, Amazon cotiza por debajo de la mediana de los comparables (17,2x) y de todos salvo Meta (12,7x) y Oracle (10,1x). El descuento tiene explicación: Amazon reinvierte casi todo su EBITDA (capex del 26 % de las ventas en 2026) y su rentabilidad por flujo libre es negativa (−0,3 %) frente al 1,7 % de la mediana [73]. Oracle, con el mismo perfil de capex financiado con deuda (2,8x deuda neta/EBITDA), cotiza aún más barata. El PER próximo (23,8x) está distorsionado porque el BPA de 2026e de MarketScreener incluye las ganancias de Anthropic (12,89 USD frente a 8,31 sin ellas en Stock Analysis) [73, 74]. La regresión múltiplo-crecimiento no explica nada (R² = 0,00) y no se usa. Usaríamos EV/EBITDA próximo, pero con peso bajo (15 %): el múltiplo no ve el capex.</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Globalstar (servicios por satélite y espectro)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implícito de unos 10.900 M USD con deuda al firmar (90 USD por acción en caja o 0,3210 acciones de Amazon); ventas de 2025 de 273,0 M y EBITDA de 94,8 M (beneficio operativo 7,4 + amortizaciones 87,4) [8, 89]. Se paga el espectro y la red para Amazon Leo, no el flujo: múltiplo no comparable.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Whole Foods Market (supermercados)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13.200 M USD netos de la caja adquirida [7]; ventas del ejercicio a septiembre de 2016 de 15.724 M y EBITDA de 1.355 M (beneficio operativo 857 + amortizaciones 498)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1Life Healthcare (One Medical, atención primaria)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3.500 M USD en caja netos de la caja adquirida [2]; ventas de 2022 de 1.045,5 M y pérdida operativa de 419,7 M: sin múltiplo de EBITDA [92].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MGM Holdings (estudio de cine y televisión)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6.100 M USD en caja netos de la caja adquirida más 2.500 M de deuda asumida y amortizada al cierre [2]. MGM no cotizaba: sin cuentas públicas para el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Vizio (televisores y plataforma publicitaria SmartCast)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Walmart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por adquisiciones netos de caja de Walmart en su ejercicio a enero de 2025, 1.896 M USD, casi todo Vizio [91]; ventas de Vizio de 2023 de 1.680 M y EBITDA de 32,2 M (beneficio operativo 24,8 + amortizaciones 7,4) [91]. Se pagó la publicidad, no el hardware.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Splunk (software de datos y seguridad)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Contraprestación de las combinaciones de negocios de Cisco en su ejercicio a julio de 2024, 28.460 M USD, casi toda Splunk [93]; ventas de Splunk del ejercicio a enero de 2023 de 3.653,7 M y pérdida operativa de 235,5 M [93].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89,55 – 331,62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no sirven para valorar Amazon: son compras pequeñas (de 1.896 M a 28.460 M) de negocios distintos, casi todas sin EBITDA publicado, y la mediana de 2,24x ventas daría 173,68 USD por acción, un valor sin sentido para un grupo con un 37 % de margen en AWS [2, 7, 91, 93]. Amazon no puede ser objeto de una operación (2,86 billones de capitalización) y es compradora: Globalstar, por unos 10.900 M con deuda (39,9x ventas, excluida por ser compra de espectro y satélites), cierra previsiblemente en 2027 [16, 89]. Peso cero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es casi cerrado (+15,2 %, fijo): el primer semestre sumó 382.125 M y la guía del 3T es de 197.000-202.000 M; para el 4T suponemos un +14 % [11]. Después, 14,0 % en 2027e y 13,5 % en 2028e, por debajo del consenso (14,5 % y 15,8 %) [73], y bajada gradual hasta el 7,5 % en 2033e. La historia lo permite: +12,4 % en 2025 y +19,6 % en el 2T26, con AWS al +37 % y publicidad al +26 % [11]. El crecimiento medio proyectado (11,3 %) es inferior al de 2016-2025 (20,3 % anual).</w:t>
      </w:r>
    </w:p>
    <w:p>
      <w:pPr>
        <w:keepNext/>
        <w:spacing w:after="100"/>
      </w:pPr>
      <w:r>
        <w:rPr>
          <w:b/>
          <w:bCs/>
        </w:rPr>
        <w:t xml:space="preserve">Márgenes.</w:t>
      </w:r>
    </w:p>
    <w:p>
      <w:pPr>
        <w:spacing w:after="100"/>
      </w:pPr>
      <w:r>
        <w:t xml:space="preserve">El margen EBITDA sube del 17,5 % de 2025 al 19,8 % en 2026e (beneficio operativo de unos 104.000 M: 51.300 M en el semestre y la guía del 3T de 22.500-26.500 M) y al 30,5 % en 2033e [11]. El motor es la mezcla: AWS (35,4 % de margen operativo en 2025, 39,3 % en el 2T26) y la publicidad crecen más que las tiendas [1, 11]. En 2028e nuestro EBITDA queda un 1,4 % por debajo del consenso, una vez restados de este la remuneración en acciones y las amortizaciones que no son de inmovilizado (6,6 % de las ventas) [73]. El margen operativo terminal (19,5 %) queda por debajo del de Alphabet o Microsoft.</w:t>
      </w:r>
    </w:p>
    <w:p>
      <w:pPr>
        <w:keepNext/>
        <w:spacing w:after="100"/>
      </w:pPr>
      <w:r>
        <w:rPr>
          <w:b/>
          <w:bCs/>
        </w:rPr>
        <w:t xml:space="preserve">Inversión y circulante.</w:t>
      </w:r>
    </w:p>
    <w:p>
      <w:pPr>
        <w:spacing w:after="100"/>
      </w:pPr>
      <w:r>
        <w:t xml:space="preserve">El capex es la variable que decide el valor. Para 2026e tomamos la guía de unos 220.000 M en caja (conferencia del 2T26) más los arrendamientos financieros: 26,4 % de las ventas [15]. Bajamos al 25,0 % en 2027e, 22,0 % en 2028e y 12,0 % en 2033e, cuando la amortización llega al 11,0 % de las ventas (6,0 % en 2025): la depreciación de los centros de datos alcanza al capex con un retraso de cinco o seis años. Así no hay crecimiento gratis: en 2027e el capex aún dobla la amortización. El circulante se queda en el −2,0 % de las ventas (−2,2 % en 2025), porque Amazon cobra antes de pagar a proveedores (ciclo de caja de −52 días). Las compras de participaciones en laboratorios de IA no van al DCF: van en el puente.</w:t>
      </w:r>
    </w:p>
    <w:p>
      <w:pPr>
        <w:keepNext/>
        <w:spacing w:after="100"/>
      </w:pPr>
      <w:r>
        <w:rPr>
          <w:b/>
          <w:bCs/>
        </w:rPr>
        <w:t xml:space="preserve">Coste del capital.</w:t>
      </w:r>
    </w:p>
    <w:p>
      <w:pPr>
        <w:spacing w:after="100"/>
      </w:pPr>
      <w:r>
        <w:t xml:space="preserve">Tasa libre: Tesoro a 10 años al 5,22 % (8-oct-2026) [76]. Beta de 1,32, media de las ajustadas mensual y semanal a cinco años frente al SPY (1,33 y 1,31) [72]. Prima de mercado del 5,5 % (la implícita de Damodaran, 4,20 %, se usa como referencia relativa) [77]. Coste de la deuda del 5,34 %, el del bono a 10 años de julio de 2026 [78], con un 21 % de escudo fiscal y un 5,1 % de deuda a valor de mercado. Resultado: coste del capital propio del 12,5 % y WACC del 12,1 %, alto para un rating AA: la beta recoge la volatilidad real de la acción.</w:t>
      </w:r>
    </w:p>
    <w:p>
      <w:pPr>
        <w:keepNext/>
        <w:spacing w:after="100"/>
      </w:pPr>
      <w:r>
        <w:rPr>
          <w:b/>
          <w:bCs/>
        </w:rPr>
        <w:t xml:space="preserve">Valor terminal.</w:t>
      </w:r>
    </w:p>
    <w:p>
      <w:pPr>
        <w:spacing w:after="100"/>
      </w:pPr>
      <w:r>
        <w:t xml:space="preserve">Crecimiento terminal del 3,0 %, por debajo del nominal de EE. UU. y de la tasa libre menos medio punto (4,72 %). El valor terminal pesa un 43 % del valor empresa. El múltiplo EV/EBITDA implícito en la salida es de 5,8x, bajo frente a los comparables (17,2x NTM), porque el capex terminal (12,0 % de las ventas) sigue siendo alto; con el método de múltiplo el valor sería mayor, pero supondría que el mercado pague en 2040 lo que hoy paga por un grupo que crece al 14 %.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1.068.627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1.196.863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425.763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202.694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117.294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7 años el DCF da 187,97 por acción; sin ella (crecimiento terminal desde 2033e), 167,10.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1.804.939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215.046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270.904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112.498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1.917.103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226.766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289.165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107.168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2.023.913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237.665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306.778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101.437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2.123.663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247.558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323.472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2.214.677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256.270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338.973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89.271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2.295.355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263.638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353.016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2.364.215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269.521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365.348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76.612</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crecimiento de Amazon dura más que los ocho años explícitos. La nube de infraestructura crece al 43 % interanual (2T26) y apenas ha empezado la parte de IA [28]; la cartera de AWS es de 496.000 M, unas 3,3 veces sus ventas de doce meses, con una vida media de 6,4 años [1, 8]. El comercio electrónico es solo el 16,4 % de las ventas minoristas de EE. UU. [21] y la publicidad de Amazon crece al 26 % sin divisa [11]. La ventaja se refuerza con la escala (red logística, chips propios Trainium y Graviton, 28 % de cuota en la nube) [28]. El ROIC de 2025 (20,8 %) supera al WACC en 8,7 puntos. La etapa de transición de siete años baja el crecimiento del 7,5 % al 3,0 % terminal y aporta un 12,5 %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4.154.127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10.095.199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(7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665.412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822.897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1.893.399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2.049.467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175,12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245,80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714.386 M (50 %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 (ROIC 20,8 %)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 (histórico: 20,8 %)</w:t>
            </w:r>
          </w:p>
        </w:tc>
      </w:tr>
    </w:tbl>
    <w:p>
      <w:pPr>
        <w:spacing w:after="160" w:before="0"/>
      </w:pPr>
    </w:p>
    <w:p>
      <w:pPr>
        <w:spacing w:after="100"/>
      </w:pPr>
      <w:r>
        <w:t xml:space="preserve">La proyección reinvierte el 50 % del NOPAT. Con el ROIC del último ejercicio (20,8 %), eso financia un crecimiento del 10,4 % anual, frente al 11,3 % de ingresos proyectado. Supone que el capital nuevo rinde un 28,1 %, frente a un ROIC incremental histórico del 20,8 %.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unidades en tiendas (Prime, entregas en el día) y capacidad de AWS (+37 % en el 2T26); precio casi plano (AWS baja tarifas por generación de chips); divisa favorable en el semestre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la cartera de AWS (496.000 M) en ventas al entrar la capacidad del capex de 2026; publicidad en Prime Video y Alexa [8,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nube por debajo del mercado (43 % en el 2T26) y de las tiendas en línea con el comercio electrónico de EE. UU. (+12,2 % en el 2T26) [21, 28].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Desaceleración natural por tamaño; Amazon Leo y la logística a terceros como fuentes nuevas, sin cifra publicada.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Penetración del comercio electrónico y madurez de la IA.</w:t>
            </w:r>
          </w:p>
        </w:tc>
      </w:tr>
    </w:tbl>
    <w:p>
      <w:pPr>
        <w:spacing w:after="160" w:before="0"/>
      </w:pPr>
    </w:p>
    <w:p>
      <w:pPr>
        <w:spacing w:after="100"/>
      </w:pPr>
      <w:r>
        <w:t xml:space="preserve">Sí en el foso y en la caja que financia el crecimiento: la proyección reinvierte el 50 % del NOPAT y, al ROIC de 2025 (20,8 %), eso financia un 10,4 % anual frente al 11,3 % proyectado. No del todo en el rendimiento del capital nuevo: la proyección supone un 28,1 % frente al 20,8 % histórico. Parte de la diferencia es contable (el capital invertido incluye las participaciones en Anthropic y OpenAI, que no generan beneficio operativo), pero la rentabilidad de unos 220.000 M de capex de IA en un año no está demostrada [15]. La cuota de AWS ha caído dos puntos en dos años (28 % en el 2T26) [28]: el poder de precio en la nube no es el de las tiendas. Por eso el caso base queda por debajo del consenso en 2028e.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 (base: 10,8 %)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36,9 % (base: 30,5 %)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 (WACC: 12,1 %)</w:t>
            </w:r>
          </w:p>
        </w:tc>
      </w:tr>
    </w:tbl>
    <w:p>
      <w:pPr>
        <w:spacing w:after="160" w:before="0"/>
      </w:pPr>
    </w:p>
    <w:p>
      <w:pPr>
        <w:spacing w:after="100"/>
      </w:pPr>
      <w:r>
        <w:t xml:space="preserve">El DCF da </w:t>
      </w:r>
      <w:r>
        <w:rPr>
          <w:b/>
        </w:rPr>
        <w:t xml:space="preserve">187,97 USD por acción</w:t>
      </w:r>
      <w:r>
        <w:t xml:space="preserve">, un 28,4 % por debajo del precio (262,43), con un valor terminal que pesa el 43 % y la etapa de transición aportando un 12,5 % (167,10 sin ella). La pregunta central es qué descuenta el precio, y el DCF inverso es claro: para justificar 262,43 USD con nuestro WACC del 12,1 %, Amazon tendría que crecer un </w:t>
      </w:r>
      <w:r>
        <w:rPr>
          <w:b/>
        </w:rPr>
        <w:t xml:space="preserve">15,2 % anual en 2027-2033</w:t>
      </w:r>
      <w:r>
        <w:t xml:space="preserve"> (nuestro caso base: 10,8 %) o llegar a un margen EBITDA del 36,9 % (nuestro: 30,5 %). Es exigente pero no absurdo: es lo que el consenso espera para 2027-2028 (14,5 % y 15,8 %) prolongado siete años más, algo que Amazon hizo en 2016-2021 con una base cinco veces menor. Visto por la rentabilidad, el precio promete un </w:t>
      </w:r>
      <w:r>
        <w:rPr>
          <w:b/>
        </w:rPr>
        <w:t xml:space="preserve">9,9 % anual</w:t>
      </w:r>
      <w:r>
        <w:t xml:space="preserve">, por debajo de nuestro WACC (12,1 %) y del que pide hoy el mercado ajustado por la beta (10,4 %). Con la prima implícita del mercado (4,20 %) el DCF sube a 239,14 USD. La discrepancia con el mercado no está en el crecimiento de 2026-2028, en el que coincidimos con el consenso, sino en cuánto rinden los 450.000 M de capex de 2026-2027: el precio supone que rinden lo mismo que el capital antiguo.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Exceso de capacidad de IA: los laboratorios (Anthropic, OpenAI) racionalizan su gasto o lo llevan a Azure, Google y Oracle, y el crecimiento de AWS cae como en 2022-2023 (del +37 % al +12 %). Las tiendas sufren aranceles y el fin del de minimis; Amazon sigue con un capex alto que ya ha comprometido. Crecimiento 4 puntos menor, margen 3 puntos menor y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AWS convierte su cartera en ventas, la publicidad crece al 20 % y las tiendas al 10 %; el capex baja del 26 % al 12 % de las ventas a medida que la amortización lo alcanza.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agéntica dispara el consumo de nube y AWS recupera cuota con Trainium; la publicidad en Prime Video y Alexa mantiene el +25 %. Crecimiento 3 puntos mayor y margen 2 puntos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6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183,28 USD (-30,2 %).</w:t>
      </w:r>
    </w:p>
    <w:p>
      <w:pPr>
        <w:spacing w:after="100"/>
      </w:pPr>
      <w:r>
        <w:t xml:space="preserve">La asimetría es desfavorable: el alcista (265,07 USD) apenas supera el precio (+1,0 %), mientras el bajista (107,53 USD) supone perder un 59,0 %. Con las probabilidades de 25/55/20, el valor ponderado es de 183,28 USD (−30,2 %). El bajista no es cosmético: AWS ya pasó del +37 % al +12 % en 2022-2023 y Amazon perdió un 55,7 % en bolsa en ese periodo [72]. El alcista es limitado porque, con un WACC del 12,1 %, ni siquiera un crecimiento tres puntos mayor durante ocho años justifica el precio. Con la prima del mercado, el alcista llega a 339,10 USD y el bajista a 134,51: la asimetría (0,6x) sigue sin compensar.</w:t>
      </w:r>
    </w:p>
    <w:p>
      <w:pPr>
        <w:pStyle w:val="Heading1"/>
      </w:pPr>
      <w:r>
        <w:t xml:space="preserve">22. Suma de partes</w:t>
      </w:r>
    </w:p>
    <w:p>
      <w:pPr>
        <w:pStyle w:val="Confianza"/>
        <w:spacing w:after="100"/>
      </w:pPr>
      <w:r>
        <w:t xml:space="preserve">Confianza: Media</w:t>
      </w:r>
    </w:p>
    <w:p>
      <w:pPr>
        <w:spacing w:after="100"/>
      </w:pPr>
      <w:r>
        <w:t xml:space="preserve">La suma de partes aporta: muestra que el valor de Amazon es sobre todo AWS (1,37 billones de los 2,43 de valor empresa) y que, a múltiplos de mercado de cada negocio, el grupo vale 236,97 USD por acción (−9,7 %), con las participaciones en Anthropic y OpenAI (224.895 M, unos 20,6 USD por acción) sumadas en el puente. La publicidad no es segmento y no publica beneficio: está dentro de Norteamérica e Internacional. Los segmentos absorben todos los costes centrales (la suma cuadra con el beneficio operativo del grupo), así que no hay costes sin asignar. Peso del 10 %, porque la suma de partes por múltiplos sobre beneficios de doce meses ignora, igual que los comparables, el capex que viene.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AWS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54.681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1.367.025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EV/EBIT de 25x de los beneficios de doce meses (54.681 M), en línea con lo que paga el mercado por Microsoft y Oracle (EV/EBITDA NTM de 16,6x y 10,1x con márgenes EBITDA del 56 % y 47 %) [80, 82]. Crece al 37 % con un margen del 36,8 % en el LTM [11].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 (tiendas, publicidad y suscripciones)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33.651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942.228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EV/EBIT de 28x (33.651 M), entre Walmart y Costco (EV/EBITDA de 20,2x y 28,0x de doce meses con márgenes EBIT del 4 %), con prima porque incluye la publicidad (76.072 M de ventas en el LTM) y las suscripciones [11, 84, 85].</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Internacional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118.360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EV/EBIT de 22x (5.380 M): margen todavía bajo (3,1 %) y en mejora desde las pérdidas de 2022-2023 [1, 11]; MercadoLibre cotiza a 22,5x EBITDA [86].</w:t>
            </w:r>
          </w:p>
        </w:tc>
      </w:tr>
    </w:tbl>
    <w:p>
      <w:pPr>
        <w:spacing w:after="160" w:before="0"/>
      </w:pPr>
    </w:p>
    <w:p>
      <w:pPr>
        <w:spacing w:after="100"/>
      </w:pPr>
      <w:r>
        <w:rPr>
          <w:b/>
          <w:bCs/>
        </w:rPr>
        <w:t xml:space="preserve">Valor por acción por suma de partes:</w:t>
      </w:r>
      <w:r>
        <w:t xml:space="preserve"> 236,97 (-9,7 %); con ±1x en los múltiplos, 203,57 – 270,37.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6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213,96 USD (-18,5 % sobre 262,43).</w:t>
      </w:r>
    </w:p>
    <w:p>
      <w:pPr>
        <w:spacing w:after="100"/>
      </w:pPr>
      <w:r>
        <w:t xml:space="preserve">El DCF pesa el 50 % y los escenarios el 25 %: es el único método que ve el capex de IA (26 % de las ventas en 2026e), que es lo que decide el valor. Los comparables (15 %) y la suma de partes (10 %) valoran el EBITDA o el EBIT sin restarle la inversión que exige, y por eso dan valores más altos (336,39 y 236,97 USD). Las transacciones no se usan (compras pequeñas sin EBITDA). La dispersión es amplia, de 183,28 USD (escenarios) a 336,39 (comparables): es la misma discusión que tiene el mercado, entre quienes miran el EBITDA y quienes miran el flujo libre. El puente suma las participaciones en Anthropic y OpenAI (224.895 M) y resta un impuesto latente estimado (estimación propia: 21 % sobre unos 174.000 M de plusvalías, 36.500 M); la deuda incluye los arrendamientos financieros, no los operativos.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 (estimada; sin anunciar)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AWS frente al +37 % del 2T y guía del 4T; primeras pistas del capex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capex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capex de 2027 supera los 250.000 M sin aceleración de AWS, el flujo libre sigue negativo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Juicio antimonopolio de la FTC y los estados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remedios sobre el mercado de vendedores y la logística (FBA)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comercial de Amazon Leo y cierre de la compra de Globalstar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línea de ingresos; coste de lanzamientos y unos 10.900 M de valor de la 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Cada trimestre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Revalorización de Anthropic y OpenAI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beneficio neto y el puente (224.895 M a jun-26) sin tocar la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Derogación legal del de minimis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Encarece las importaciones baratas de Temu y Shein más que a Amazon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capex de IA no rinde: exceso de capacidad de centros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(escenario bajista: 107,53 frente a 187,97)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AWS de 496.000 M con 6,4 años de vida media [1,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AWS por debajo del 25 % con capex creciente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clientes que son a la vez participadas (Anthropic, OpenAI)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−20,6 USD por acción si las participaciones valieran cero; más la pérdida de ventas de AWS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 plurianuales de varios gigavatios en Trainium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Rondas de Anthropic u OpenAI a valoración menor; desplazamiento de su cómputo a otras nubes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de AWS frente a Azure, Google Cloud y Oracle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(1 punto menos de crecimiento y de margen: 163,11 frente a 187,97)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propios (Graviton, Trainium) con 30-40 % mejor precio-rendimiento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Synergy por debajo del 26 %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Juicio antimonopolio de la FTC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obliga a separar la logística de los vendedores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Proceso largo con recursos; precedentes de remedios de conducta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o acuerdo tras el 29-mar-2027 [42]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con deuda del capex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por cada punto más de WACC (165,17 frente a 187,97)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AA, deuda neta ajustada baja frente al EBITDA (0,5x)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por encima de 200.000 M con flujo libre negativo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consumo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Macroeconómico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(margen de Norteamérica 1 punto menor)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servicios a vendedores y publicidad con más margen que la venta propia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tiendas online por debajo del +8 %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de nivel 3 de las participaciones y calidad del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en el DCF; el PER y el BPA dejan de ser comparables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de EY sin salvedades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ingresos mayores que el beneficio operativo (2T26: 53.415 M frente a 27.461 M)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presidente ejecutivo fundador que vende y operaciones con Blue Origin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de 12 consejeros independientes [54]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contratos de Leo con Blue Origin sin licitación</w:t>
            </w:r>
          </w:p>
        </w:tc>
      </w:tr>
    </w:tbl>
    <w:p>
      <w:pPr>
        <w:spacing w:after="160" w:before="0"/>
      </w:pPr>
    </w:p>
    <w:p>
      <w:pPr>
        <w:pStyle w:val="Heading2"/>
      </w:pPr>
      <w:r>
        <w:t xml:space="preserve">Pre-mortem</w:t>
      </w:r>
    </w:p>
    <w:p>
      <w:pPr>
        <w:spacing w:after="100"/>
      </w:pPr>
      <w:r>
        <w:t xml:space="preserve">Octubre de 2029: Amazon ha perdido un 40 %. La historia más probable empieza en 2027. Los laboratorios de IA, que en 2026 firmaron compromisos de varios gigavatios, descubren que los modelos se abaratan más deprisa de lo que crece la demanda y aplazan su consumo; Anthropic, a la vez cliente y participada, reparte su cómputo con Google y Azure. AWS, que había crecido al 37 % en el 2T26, baja al 15 % en 2028, justo cuando entra la capacidad comprada con los 450.000 M de capex de 2026-2027. La amortización sube dos puntos de las ventas antes de que lleguen los ingresos y el margen operativo se estanca en el 12 %. El flujo libre sigue negativo tres años, la deuda bruta pasa de 200.000 M y el mercado deja de pagar por el EBITDA y pasa a pagar por el flujo libre. A la vez, la FTC gana el juicio de 2027 y obliga a separar la logística de los vendedores. La señal que lo habría anticipado: la cuota de AWS en Synergy (28 % en el 2T26, 30 % dos años antes) y el cociente entre la cartera de AWS y su capex anual, que dejó de subir.</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 (vía MarketScreener) [48]</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BBB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rPr>
          <w:b/>
        </w:rPr>
        <w:t xml:space="preserve">Emisiones y energía de los centros de datos.</w:t>
      </w:r>
      <w:r>
        <w:t xml:space="preserve"> La huella de carbono de Amazon subió de 65,28 Mt CO2e en 2023 y 69,55 Mt en 2024 a 80,85 Mt en 2025 (+16 %), con las emisiones de electricidad (alcance 2) +34 % por los centros de datos y la electrificación del reparto; la intensidad por dólar de ventas subió un 3 % en 2025 aunque cae un 38 % desde 2019 [46, 47]. Iguala el 100 % de su electricidad con renovables por tercer año (712 proyectos, 42 GW) y su PUE medio es de 1,14 [46, 47]. Mantiene el objetivo de cero emisiones netas en 2040 [46]. </w:t>
      </w:r>
      <w:r>
        <w:rPr>
          <w:b/>
        </w:rPr>
        <w:t xml:space="preserve">Seguridad en almacenes.</w:t>
      </w:r>
      <w:r>
        <w:t xml:space="preserve"> Con unos 1.576.000 empleados, la tasa de incidentes registrables mejoró un 14 % en 2025 y un 43 % en seis años, y la de incidentes con baja un 14 % y un 70 %; ha invertido más de 2.500 M en seguridad desde 2019 [1, 46]. </w:t>
      </w:r>
      <w:r>
        <w:rPr>
          <w:b/>
        </w:rPr>
        <w:t xml:space="preserve">Sindicatos.</w:t>
      </w:r>
      <w:r>
        <w:t xml:space="preserve"> Un juez laboral ordenó en junio de 2026 negociar con los Teamsters en un centro de San Francisco, la segunda orden de este tipo en menos de tres meses; Amazon recurre [49].</w:t>
      </w:r>
    </w:p>
    <w:p>
      <w:pPr>
        <w:pStyle w:val="Heading2"/>
      </w:pPr>
      <w:r>
        <w:t xml:space="preserve">Controversias</w:t>
      </w:r>
    </w:p>
    <w:p>
      <w:pPr>
        <w:spacing w:after="100"/>
      </w:pPr>
      <w:r>
        <w:t xml:space="preserve">Septiembre de 2025: acuerdo con la FTC de 2.500 M USD (1.000 M de multa civil y 1.500 M de devoluciones a unos 35 millones de clientes) por prácticas engañosas de alta y baja en Prime [41]. Juicio antimonopolio de la FTC y los estados fijado para el 29-mar-2027 [42]. Demandas colectivas por precios y monopolio en EE. UU., Canadá y Reino Unido (una certificada en EE. UU. y dos en Reino Unido) [1]. Multa de 746 M EUR de la autoridad de datos de Luxemburgo, recurrida tras perder la primera instancia en marzo de 2025 [1]. Junio de 2026: orden de la NLRB de negociar con los Teamsters en San Francisco [49].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capex prevén para 2027 y qué parte es de IA frente a logística y Leo?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10.000 M anuales de capex por encima del supuesto, mantenidos, restan unos 10 USD por acción (estimación propia: 10.000 M / (WACC − g) / acciones); la guía de 2026 subió de 200.000 a 220.000 M en seis meses [14, 15].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de la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dan los contratos de IA de AWS frente a la nube tradicional?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veredicto de sostenibilidad depende de que el capital nuevo rinda como el antiguo (28,1 % frente a 20,8 %).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Anthropic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496.000 M de AWS corresponde a Anthropic y a OpenAI?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los dos laboratorios suman la mayoría, la cartera es un riesgo de concentración y no una garantía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impuesto diferido está registrado por las plusvalías de Anthropic y OpenAI?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puente resta una estimación propia de 36.500 M; la cifra real cambia el valor en unos 3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¿Mantendrán la vida útil de los servidores en cinco años o la acortarán, como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año menos de vida útil adelanta varios miles de millones de amortización y baja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operativo de la publicidad y por qué no se publica como segmento?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76.072 M de ventas en doce meses, es el segundo negocio más rentable y la suma de partes no puede valorarlo por separado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remedios contemplan si pierden el juicio de marzo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separación de la logística de los vendedores afectaría al negocio de 183.660 M de servicios a vendedores [11, 42].</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análisis del feed del valor)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el 30-sep y el 11-oct de 2026 se publican cinco análisis alcistas (aceleración de AWS con recomendación de compra fuerte, el capex empieza a rendir, beneficio del 3T que puede dispararse, sobreponderar, el compromiso de Anthropic cambia el debate del capex) y dos críticos (quién paga el crecimiento de la IA y una rebaja de recomendación por un reto económico mayor). Solo se leyeron titulares: los artículos y sus comentarios están tras muro de pago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artículos tras los resultados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la lectura dominante es alcista: el flujo libre negativo se atribuye al capex de IA y no a un deterioro del negocio, AWS se ve como el motor del beneficio y la valoración por PER se juzga razonable o baja [97, 100]. Las voces cautas apuntan a que Amazon financia la inversión con bonos y no con caja [98] y a que Google Cloud gana cuota más deprisa que AWS [99].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artículos de septiembre y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que la acción parece barata por beneficios pero cara por flujo de caja libre, y que no subirá mucho hasta que el FCF vuelva a ser positivo de forma fiable [101]. A favor: Prime, la logística y Trainium como foso; en contra, la dilución por pagos en acciones y la falta de dividendo [102]. En octubre se prefiere Amazon a Alphabet por el efecto de AWS en el beneficio [95,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Investing.com España, foro de comentarios de AMZN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Tono frustrado e irónico por una cotización que el foro ve lateral desde hace más de un año y por debajo del Nasdaq; unos ven el PER barato y otros piden ver el capex controlado en los próximos resultados. Aparecen Amazon Leo, la participación en Anthropic, los aranceles y la comparación con Alphabet, Microsoft y Nvidia [103].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de IA y flujo de caja libre negativo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tema central en todos los sitios: unos lo ven como inversión con retorno y otros esperan a que el FCF vuelva a ser positivo [97, 101, 103]. Los datos les dan base: en el 2T26 el flujo operativo de los últimos doce meses fue de 161,4 bn y el FCF de −7,6 bn por el capex de IA, según la nota de prensa del 30-jul-2026.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Aceleración de AWS frente a Google Cloud y Azure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consenso alcista en que AWS se ha acelerado [94, 95, 100], con la objeción de que Google Cloud crece más deprisa y gana cuota [99]. Según la nota del 2T26, AWS facturó 42,2 bn (+37 %) y ganó 16,6 bn de los 27,5 bn del beneficio operativo del grupo: el peso de AWS en el beneficio que repiten los foros es correcto.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por beneficios, cara por flujo de caja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foros se fijan en un PER bajo para su historia [100, 101, 103], pero el beneficio neto del 2T26 (62,6 bn) incluye 53,4 bn de otros ingresos no operativos, sobre todo por la revalorización de Anthropic. Un PER con ese beneficio exagera lo barata que está la acción; para comparar hay que usar el beneficio operativo, como advierte algún artículo [97].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Anthropic: inversión, compromiso de gasto en AWS y Trainium</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ve como un apoyo doble, a la demanda de AWS y a los chips propios [94, 102]. La plusvalía contable ya está en el beneficio del 2T26, pero no genera caja hasta que se realice: el riesgo de concentración en un solo cliente apenas se discute [94].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con deuda y dilución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Algún artículo señala que Amazon financia el capex con emisiones de bonos y no con caja [98], y otros, la dilución por pagos en acciones [102]. Las emisiones de deuda constan en los 8-K y 424B5 de 2026 (marzo, junio, julio y septiembre).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Cotización lateral y frustración del inversor particular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foro en español ve la acción estancada [103]. La cotización cerró a 262,43 USD el 9-oct-2026, un 8,6 % por debajo del máximo de 52 semanas (287,20, 3-ago-2026, justo después de los resultados) y muy por encima del mínimo (196,00, 17-feb-2026): la frustración responde a lo que ha pasado desde agosto, no a todo el año.</w:t>
            </w:r>
          </w:p>
        </w:tc>
      </w:tr>
    </w:tbl>
    <w:p>
      <w:pPr>
        <w:spacing w:after="160" w:before="0"/>
      </w:pPr>
    </w:p>
    <w:p>
      <w:pPr>
        <w:spacing w:after="100"/>
      </w:pPr>
      <w:r>
        <w:t xml:space="preserve">El sentimiento no es extremo: ni euforia ni capitulación. Los articulistas son mayoritariamente alcistas, porque AWS crece al ritmo más alto en años y el PER parece bajo. El particular está impaciente con una acción que ha devuelto parte de la subida de agosto. La gran discrepancia es el flujo de caja libre: mientras sea negativo, una parte del mercado no paga más por la acción. El catalizador evidente son los resultados del 3T26 a finales de octubre, con dos pruebas: si AWS mantiene la aceleración y si el capex deja de crecer más que los ingresos. Los foros pasan por alto dos riesgos que el informe sí recoge: el PER barato está inflado por la plusvalía de Anthropic, y la dependencia de un solo cliente de IA. La lectura no contradice al consenso de analistas, que es comprador.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2 explicados. Fuentes: 103 (66 primarias); citas distintas en el texto: 103.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28,1 % frente a un ROIC de 20,8 % y un incremental histórico de 20,8 %: crecimiento que la empresa no ha demostrado poder comprar. Explicación: El ROIC histórico del motor (20,8 %) incluye en el capital invertido las participaciones en Anthropic y OpenAI, que no generan beneficio operativo; el ROIC operativo es mayor. Aun así el supuesto es exigente y por eso el veredicto de sostenibilidad es «En parte» y el caso base queda por debajo del consenso en 2028.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-2,0 % frente a -2,2 % real: genera una variación de circulante de -663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20,8 % frente a WACC 12,1 %: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0,00: el crecimiento no explica los múltiplos de estos comparables; no uses el valor de la regresión. Explicación: Con R² = 0,00 la regresión no se usa: los comparables mezclan nube, publicidad y distribución con márgenes del 5 % al 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103 fuentes (66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Financing obligations de 2019 y parte corriente de las finance lease obligations de 2016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arrendamientos del 10-K 2020; 2) series XBRL companyfacts (sin etiqueta); 3) 10-K 2017 (solo da la parte a largo plazo de 2016)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Amortización de intangibles de los trimestres y del LTM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2T26; 2) 10-Q 1T26; 3) series XBRL trimestrales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 y serie prevista («e») de la nube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Synergy Research (notas del 2T26, 4T25 y 2024): no publican previsión anual; 2) Gartner, previsión mundial de nube pública para 2026: la nota mundial no aparece (solo India y Australia) y gartner.com da 403; 3) Gartner nov-2024 (mirror gcom.pdo): solo llega a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 de la nube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Synergy 2T26: solo da los tres primeros (63 %); 2) Synergy 4T25: tres primeros (68 % de la nube pública); 3) Gartner: sin cuotas en las notas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Amazon en el comercio electrónico de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Amazon: no publica volumen bruto de mercancía; 2) eMarketer (gráficos de feb-2026 sobre Amazon y Walmart): 403 con WebFetch; 3) descargar.mjs sobre los mismos gráficos: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Alibaba y PDD (Temu): ingresos y margen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descargados los 20-F por presupuesto de tiempo; 2) cuentas en RMB que exigirían conversión; 3) priorizados Walmart, Shopify y MercadoLibre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independiente del retail media y del comercio electrónico mundial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MAGNA (magnaglobal.com: nota no encontrada, 404); 2) The Media Leader (muro de registro); 3) eMarketer retail media EE. UU. (redirige a página de pago,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de Sustainalytics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Sustainalytics de Amazon con WebFetch: página genérica sin datos; 2) descargar.mjs: redirige a la portada de datos ESG; 3) MarketScreener: solo muestra MSCI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(serie de 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solo gráficos sin cifras; 2) Stock Analysis, previsiones: sin historial de revisiones en la versión gratuita; 3) titulares de cambios de precio objetivo de MarketScreener: usados como sustituto parcial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múltiplos de los ejercicios en curso y siguiente; 2) Stock Analysis: múltiplos LTM, no NTM; 3) sin otra fuente gratuita con serie NTM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prima_pct de las OPA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Amazon 2017 y 2024: dan el precio neto de caja, no la prima; 2) datos XBRL de las sociedades compradas: sin cotización previa; 3) no se han abierto los anuncios de fusión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revisadas (Stocktwits, Reddit y comentarios de lectores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Stocktwits del valor y su API pública de mensajes: 403; 2) artículos de Seeking Alpha con comentarios: 403 (solo el feed de titulares abre); Reddit, bloqueado para WebFetch, no se intentó; 3) foro de Rankia: el hilo abierto era de 2017 y no tenía nada de 2026; interactive investor: 404 y conexión cortada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temas Amazon Leo/Globalstar, Zoox y aranceles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Índice de artículos de Motley Fool de agosto y septiembre de 2026, buscando esas palabras: nada; 2) foro de Investing.com España: solo menciones de pasada; 3) foro de Investing.com en inglés: comentarios breves y sin fecha, no se usan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sostenibilidad.mercado_final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Synergy (solo la nube, que es el 19 % de las ventas); 2) Census (solo el comercio electrónico de EE. UU.) y eMarketer (403); 3) suma propia de nube, comercio y publicidad: perímetros incompatibles con la cuota de competencia.cuota_pct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Amazon.com,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https://www.sec.gov/Archives/edgar/data/1018724/000101872426000004/amzn-20251231.htm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Amazon.com, Inc.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https://www.sec.gov/Archives/edgar/data/1018724/000101872425000004/amzn-20241231.htm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https://www.sec.gov/Archives/edgar/data/1018724/000101872424000008/amzn-20231231.htm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https://www.sec.gov/Archives/edgar/data/1018724/000101872422000005/amzn-20211231.htm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https://www.sec.gov/Archives/edgar/data/1018724/000101872421000004/amzn-20201231.htm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del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https://www.sec.gov/Archives/edgar/data/1018724/000101872419000004/amzn-20181231x10k.htm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del ejercicio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https://www.sec.gov/Archives/edgar/data/1018724/000101872418000005/amzn-20171231x10k.htm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https://www.sec.gov/Archives/edgar/data/1018724/000101872426000026/amzn-20260630.htm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10-Q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https://www.sec.gov/Archives/edgar/data/1018724/000101872426000014/amzn-20260331.htm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Series XBRL de Amazon.com, Inc. (companyfacts, CIK 0001018724)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https://data.sec.gov/api/xbrl/companyfacts/CIK0001018724.json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Announces Second Quarter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https://www.sec.gov/Archives/edgar/data/1018724/000101872426000024/amzn-20260630xex991.htm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Announces Fourth Quarter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https://www.sec.gov/Archives/edgar/data/1018724/000101872426000002/amzn-20251231xex991.htm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Announces First Quarter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https://www.sec.gov/Archives/edgar/data/1018724/000101872426000012/amzn-20260331xex991.htm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(AMZN)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https://www.fool.com/earnings/call-transcripts/2026/04/29/amazon-amzn-q1-2026-earnings-call-transcript/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(AMZN)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https://www.fool.com/earnings/call-transcripts/2026/08/07/amazon-amzn-q2-2026-earnings-call-transcript/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S-4: fusión con Globalstar, Inc. (information statement/prospectus)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https://www.sec.gov/Archives/edgar/data/1018724/000110465926089294/tm2617924-1_s4.htm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(AMZN) Earnings Date, Estimates &amp; Call Transcripts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https://www.marketbeat.com/stocks/NASDAQ/AMZN/earnings/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424B5: bonos en libras esterlinas 2029-2045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https://www.sec.gov/Archives/edgar/data/1018724/000110465926107122/tm2624614-3_424b5.htm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FWP: hoja de condiciones de los bonos en libras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https://www.sec.gov/Archives/edgar/data/1018724/000110465926106322/tm2624614d4_fwp.htm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carta de compromiso de inversión en OpenAI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https://www.sec.gov/Archives/edgar/data/1018724/000110465926021050/tm267374d1_8k.htm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2nd Quarter 2026 (CB26-133)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https://www.census.gov/retail/mrts/www/data/pdf/ec_current.pdf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https://www2.census.gov/retail/releases/historical/ecomm/25q4.pdf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https://www2.census.gov/retail/releases/historical/ecomm/24q4.pdf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https://www2.census.gov/retail/releases/historical/ecomm/23q4.pdf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https://www2.census.gov/retail/releases/historical/ecomm/22q4.pdf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https://www2.census.gov/retail/releases/historical/ecomm/21q4.pdf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https://www2.census.gov/retail/releases/historical/ecomm/20q4.pdf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Cloud Market Passes $143 Billion; Highest Growth Rate in Eight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Synergy Research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https://www.srgresearch.com/articles/q2-cloud-market-passes-143-billion-highest-growth-rate-in-eight-years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GenAI Helps Drive Quarterly Cloud Revenues to $119 Billion as Growth Rate Jumped Yet Again in Q4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Synergy Research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https://www.srgresearch.com/articles/genai-helps-drive-quarterly-cloud-revenues-to-119-billion-as-growth-rate-jumped-yet-again-in-q4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Cloud Market Jumped to $330 billion in 2024 – GenAI is Now Driving Half of the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Synergy Research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https://www.srgresearch.com/articles/cloud-market-jumped-to-330-billion-in-2024-genai-is-now-driving-half-of-the-growth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Forecasts Worldwide Public Cloud End-User Spending to Total $723 Billion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https://www.gartner.com/en/newsroom/press-releases/2024-11-19-gartner-forecasts-worldwide-public-cloud-end-user-spending-to-total-723-billion-dollars-in-2025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Ecommerce Sales (tabla de eMarketer, previsión de febrero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Shopify, con datos de eMarketer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https://www.shopify.com/blog/global-ecommerce-sales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WARC: Retail media ad market to top $200 billion as growth slows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Desk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https://thedesk.net/2026/08/warc-retail-media-ad-market-to-top-200-billion-as-growth-slows/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retail media ad market forecast to top $200B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invidis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https://invidis.com/news/2026/08/retail-global-retail-media-ad-market-forecast-to-top-200b-in-2026/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https://www.sec.gov/Archives/edgar/data/1652044/000165204426000018/goog-20251231.htm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Walmart Inc. Form 10-K del ejercicio a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Walmart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https://www.sec.gov/Archives/edgar/data/104169/000010416926000055/wmt-20260131.htm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Form 10-K del ejercicio a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https://www.sec.gov/Archives/edgar/data/1341439/000119312526277521/orcl-20260531.htm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Shopify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Shopify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https://www.sec.gov/Archives/edgar/data/1594805/000159480526000007/shop-20251231.htm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MercadoLibre,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MercadoLibre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https://www.sec.gov/Archives/edgar/data/1099590/000109959026000006/meli-20251231.htm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Secures Historic $2.5 Billion Settlement Against Amazon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Trade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https://www.ftc.gov/news-events/news/press-releases/2025/09/ftc-secures-historic-25-billion-settlement-against-amazon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Amazon's bid to delay US FTC monopolization trial rejected by judge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https://www.mlex.com/mlex/articles/2536525/amazon-s-bid-to-delay-us-ftc-monopolization-trial-rejected-by-judge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Markets Act: Gatekeepers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https://digital-markets-act.ec.europa.eu/gatekeepers_en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Continuing the Suspension of Duty-Free De Minimis Treatment for All Countries (Executive Order 14388)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White House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https://www.whitehouse.gov/presidential-actions/2026/02/continuing-the-suspension-of-duty-free-de-minimis-treatment-for-all-countries/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 Sheet: suspensión de la exención de minimis para envíos comerciales en todo el mundo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White House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https://www.whitehouse.gov/fact-sheets/2025/07/fact-sheet-president-donald-j-trump-is-protecting-the-united-states-national-security-and-economy-by-suspending-the-de-minimis-exemption-for-commercial-shipments-globally/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Amazon Sustainability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https://sustainability.aboutamazon.com/2025-amazon-sustainability-report.pdf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Sustainability Report 2025: key takeaways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https://www.aboutamazon.com/news/sustainability/amazon-sustainability-report-2025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notaciones (calificación ESG de MSCI)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https://www.zonebourse.com/cours/action/AMAZON-COM-40082324/notations/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Ordered by NLRB Judge to Recognize Union in San Francisco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https://news.bloomberglaw.com/safety/amazon-ordered-by-nlrb-judge-to-recognize-union-in-san-francisco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Announces Initial Public Offering of 3,000,000 Shares of Common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1997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https://press.aboutamazon.com/1997/5/amazon-com-inc-announces-initial-public-offering-of-3-000-000-shares-of-common-stock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Announces Record Free Cash Flow ... Introduces New Express Shipping Program - Amazon Prime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2005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https://press.aboutamazon.com/2005/2/amazon-com-announces-record-free-cash-flow-fueled-by-lower-prices-and-free-shipping-introduces-new-express-shipping-program-amazon-prime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to Acquire Whole Foods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https://press.aboutamazon.com/2017/6/amazon-to-acquire-whole-foods-market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and MGM Have Signed an Agreement for Amazon to Acquire MGM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https://press.aboutamazon.com/2021/5/amazon-and-mgm-have-signed-an-agreement-for-amazon-to-acquire-mgm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https://www.sec.gov/Archives/edgar/data/1018724/000110465926041026/tm261382-1_def14a.htm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https://www.sec.gov/Archives/edgar/data/1018724/000110465925033442/tm252295-1_def14a.htm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https://www.sec.gov/Archives/edgar/data/1018724/000110465926065717/tm2614288d1_8k.htm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https://www.sec.gov/Archives/edgar/data/1018724/000110465925052014/tm2515134d1_8k.htm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https://www.sec.gov/Archives/edgar/data/1018724/000110465924065117/tm2414140d1_8k.htm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5.02: nombramiento de Kevin R. Mandia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https://www.sec.gov/Archives/edgar/data/1018724/000101872426000036/amzn-20260908.htm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5.02: dimisión de Adam Selipsky (CEO de AWS)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https://www.sec.gov/Archives/edgar/data/1018724/000110465924061143/tm2414460d1_8k.htm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Amazon (12-oct-2025 a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https://www.sec.gov/cgi-bin/browse-edgar?action=getcompany&amp;CIK=0001018724&amp;type=4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28 de Jeffrey P. Bezos (posición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https://www.sec.gov/Archives/edgar/data/1018724/000110465925099267/primary_doc.xml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(posición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https://www.sec.gov/Archives/edgar/data/1018724/000210011926000133/primary_doc.xml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4T23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https://www.sec.gov/Archives/edgar/data/1018724/000101872424000006/amzn-20231231xex991.htm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1T24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https://www.sec.gov/Archives/edgar/data/1018724/000101872424000081/amzn-20240331xex991.htm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2T24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https://www.sec.gov/Archives/edgar/data/1018724/000101872424000128/amzn-20240630xex991.htm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3T24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https://www.sec.gov/Archives/edgar/data/1018724/000101872424000158/amzn-20240930xex991.htm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4T24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https://www.sec.gov/Archives/edgar/data/1018724/000101872425000002/amzn-20241231xex991.htm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https://www.sec.gov/Archives/edgar/data/1018724/000101872425000034/amzn-20250331xex991.htm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https://www.sec.gov/Archives/edgar/data/1018724/000101872425000084/amzn-20250630xex991.htm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https://www.sec.gov/Archives/edgar/data/1018724/000101872425000121/amzn-20250930xex991.htm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AMZN, SPY y XLY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https://finance.yahoo.com/quote/AMZN/history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https://www.marketscreener.com/quote/stock/AMAZON-COM-INC-12864605/finances/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(AMZN)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https://stockanalysis.com/stocks/amzn/forecast/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(AMZN)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https://stockanalysis.com/stocks/amzn/statistics/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de los bonos en USD de julio de 2026 (FWP)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https://www.sec.gov/Archives/edgar/data/1018724/000110465926081334/tm2619352d3_fwp.htm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del 14-sep-2026: cierre de la emisión en libras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https://www.sec.gov/Archives/edgar/data/1018724/000110465926107526/tm2624614d5_8k.htm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https://www.marketscreener.com/quote/stock/ALPHABET-INC-24203373/finances/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https://www.marketscreener.com/quote/stock/ORACLE-CORPORATION-13620698/finances/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https://www.marketscreener.com/quote/stock/META-PLATFORMS-INC-10547141/finances/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Walmart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https://www.marketscreener.com/quote/stock/WALMART-INC-4841/finances/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Costco Wholesale Corporation: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https://www.marketscreener.com/quote/stock/COSTCO-WHOLESALE-CORPORAT-4866/finances/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MercadoLibre,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https://www.marketscreener.com/quote/stock/MERCADOLIBRE-INC-58469/finances/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Shopify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https://www.marketscreener.com/quote/stock/SHOPIFY-INC-22283351/finances/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XBRL de los 10-K y 10-Q de Microsoft, Alphabet, Oracle, Meta, Walmart, Costco, MercadoLibre y Shopify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https://data.sec.gov/api/xbrl/companyfacts/CIK0001326801.json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Globalstar, Inc.: datos XBRL del 10-K de 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https://data.sec.gov/api/xbrl/companyfacts/CIK0001366868.json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Whole Foods Market, Inc.: datos XBRL del 10-K del ejercicio 2016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https://data.sec.gov/api/xbrl/companyfacts/CIK0000865436.json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Vizio Holding Corp. (10-K 2023) y Walmart Inc. (10-K del ejercicio a enero de 2025):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https://data.sec.gov/api/xbrl/companyfacts/CIK0001835591.json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1Life Healthcare, Inc.: datos XBRL del 10-K de 2022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https://data.sec.gov/api/xbrl/companyfacts/CIK0001404123.json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Systems (10-K del ejercicio a julio de 2024) y Splunk (10-K del ejercicio a enero de 2023):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https://data.sec.gov/api/xbrl/companyfacts/CIK0000858877.json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Feed de artículos y noticias de AMZN (titulares de análisis del 30-sep al 11-oct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https://seekingalpha.com/api/sa/combined/AMZN.xml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and Alphabet Just Committed $420 Billion to Data Centers. 1 Stock Is the Better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https://www.fool.com/investing/2026/10/11/amazon-and-alphabet-just-committed-420-billion-to/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the Upside Worth the Risk in Amazon Stock Right Now in October?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https://www.fool.com/investing/2026/10/10/is-the-upside-worth-the-risk-in-amazon-stock-right/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Amazon's free cash flow swung $26 billion in the wrong direction (artículo tras los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https://www.fool.com/investing/2026/07/31/amazons-free-cash-flow-swung-26-billion-in-the-wro/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pays cash, Amazon borrows (financiación del capex de IA de los hiperescaladores)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https://www.fool.com/investing/2026/08/03/microsoft-pays-cash-amazon-borrows/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Web Services' Q2 was good, Google Cloud's was better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https://www.fool.com/investing/2026/08/04/amazon-web-services-q2-good-google-cloud-why/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Down 12% and still dominant: is Amazon the No. 1 growth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https://www.fool.com/investing/2026/08/03/down-12-and-still-dominant-is-amazon-the-1-growth/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What's wrong with Amazon stock? The honest answer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https://www.fool.com/investing/2026/09/02/whats-wrong-with-amazon-stock-honest-answer/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doesn't pay a dividend and constantly dilutes shareholders (artículo de opinión)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https://www.fool.com/investing/2026/09/01/amazon-doesnt-pay-a-dividend-and-constantly-dilute/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comentarios de Amazon.com (AMZN)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https://es.investing.com/equities/amazon-com-inc-commentary</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95,5 %</w:t>
      </w:r>
      <w:r>
        <w:t xml:space="preserve"> · Secciones con menos del 60 % de campos cubiertos: </w:t>
      </w:r>
      <w:r>
        <w:rPr>
          <w:b/>
          <w:bCs/>
        </w:rPr>
        <w:t xml:space="preserve">ninguna</w:t>
      </w:r>
      <w:r>
        <w:t xml:space="preserve"> · Generado el 12 oct 2026.</w:t>
      </w:r>
    </w:p>
    <w:p>
      <w:pPr>
        <w:pStyle w:val="Nota"/>
        <w:spacing w:after="100"/>
      </w:pPr>
      <w:r>
        <w:t xml:space="preserve">Precio de cierre del viernes 9-oct-2026 (262,43 USD): el corte es el lunes 12-oct con la sesión de EE. UU. sin cerrar [72]. Una sola clase de acciones en el Nasdaq; cuentas en USD (US GAAP), sin conversiones. Acciones: 10.903 M diluidas (media del 2T26) [8]. Último balance publicado: 30-jun-2026 (10-Q del 2T26); los resultados del 3T26 no se han publicado a la fecha de corte (fecha estimada: 29-oct-2026) [75]. Criterios propios: EBITDA = beneficio operativo + depreciación del inmovilizado (con lo arrendado en financiero) + amortización de intangibles, sin la de derechos de uso operativos ni la de contenidos; deuda con arrendamientos financieros y financing obligations, sin los operativos (su coste ya está en el EBITDA); capex neto de incentivos más el principal de arrendamientos financieros. Las participaciones en Anthropic y OpenAI (224.895 M a jun-26) se valoran en el puente a su valor contable (nivel 3), menos un impuesto latente estimado de 36.500 M; no hay precio de mercado. La amortización de intangibles del LTM es una estimación (la de 2025). Las cuotas de mercado de comercio electrónico no se publican gratis.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Amazon.com, Inc. (AMZN)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262,43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(196,00 – 287,20)</c:v>
                </c:pt>
                <c:pt idx="1">
                  <c:v>Precio objetivo de los analistas (230,00 – 405,00)</c:v>
                </c:pt>
                <c:pt idx="2">
                  <c:v>Comparables: EV/EBITDA NTM (301,39 – 381,77)</c:v>
                </c:pt>
                <c:pt idx="3">
                  <c:v>Comparables: PER NTM (239,99 – 415,09)</c:v>
                </c:pt>
                <c:pt idx="4">
                  <c:v>Transacciones precedentes (EV/ventas) (89,55 – 331,62)</c:v>
                </c:pt>
                <c:pt idx="5">
                  <c:v>DCF (WACC y g ± 0,5) (171,00 – 208,98)</c:v>
                </c:pt>
                <c:pt idx="6">
                  <c:v>Escenarios (bajista – alcista) (107,53 – 265,07)</c:v>
                </c:pt>
                <c:pt idx="7">
                  <c:v>Suma de partes (203,57 – 270,37)</c:v>
                </c:pt>
                <c:pt idx="8">
                  <c:v>DCF con la prima implícita del mercado (4,2 %)</c:v>
                </c:pt>
                <c:pt idx="9">
                  <c:v>Precio actual (262,43)</c:v>
                </c:pt>
              </c:strCache>
            </c:strRef>
          </c:cat>
          <c:val>
            <c:numRef>
              <c:f>Hoja1!$B$2:$B$11</c:f>
              <c:numCache>
                <c:formatCode>#,##0</c:formatCode>
                <c:ptCount val="10"/>
                <c:pt idx="0">
                  <c:v>196</c:v>
                </c:pt>
                <c:pt idx="1">
                  <c:v>230</c:v>
                </c:pt>
                <c:pt idx="2">
                  <c:v>301.39</c:v>
                </c:pt>
                <c:pt idx="3">
                  <c:v>239.99</c:v>
                </c:pt>
                <c:pt idx="4">
                  <c:v>89.55</c:v>
                </c:pt>
                <c:pt idx="5">
                  <c:v>171</c:v>
                </c:pt>
                <c:pt idx="6">
                  <c:v>107.53</c:v>
                </c:pt>
                <c:pt idx="7">
                  <c:v>203.57</c:v>
                </c:pt>
                <c:pt idx="8">
                  <c:v>221.07</c:v>
                </c:pt>
                <c:pt idx="9">
                  <c:v>261.12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(196,00 – 287,20)</c:v>
                </c:pt>
                <c:pt idx="1">
                  <c:v>Precio objetivo de los analistas (230,00 – 405,00)</c:v>
                </c:pt>
                <c:pt idx="2">
                  <c:v>Comparables: EV/EBITDA NTM (301,39 – 381,77)</c:v>
                </c:pt>
                <c:pt idx="3">
                  <c:v>Comparables: PER NTM (239,99 – 415,09)</c:v>
                </c:pt>
                <c:pt idx="4">
                  <c:v>Transacciones precedentes (EV/ventas) (89,55 – 331,62)</c:v>
                </c:pt>
                <c:pt idx="5">
                  <c:v>DCF (WACC y g ± 0,5) (171,00 – 208,98)</c:v>
                </c:pt>
                <c:pt idx="6">
                  <c:v>Escenarios (bajista – alcista) (107,53 – 265,07)</c:v>
                </c:pt>
                <c:pt idx="7">
                  <c:v>Suma de partes (203,57 – 270,37)</c:v>
                </c:pt>
                <c:pt idx="8">
                  <c:v>DCF con la prima implícita del mercado (4,2 %)</c:v>
                </c:pt>
                <c:pt idx="9">
                  <c:v>Precio actual (262,43)</c:v>
                </c:pt>
              </c:strCache>
            </c:strRef>
          </c:cat>
          <c:val>
            <c:numRef>
              <c:f>Hoja1!$C$2:$C$11</c:f>
              <c:numCache>
                <c:formatCode>#,##0</c:formatCode>
                <c:ptCount val="10"/>
                <c:pt idx="0">
                  <c:v>91.19999999999999</c:v>
                </c:pt>
                <c:pt idx="1">
                  <c:v>175</c:v>
                </c:pt>
                <c:pt idx="2">
                  <c:v>80.38</c:v>
                </c:pt>
                <c:pt idx="3">
                  <c:v>175.09999999999997</c:v>
                </c:pt>
                <c:pt idx="4">
                  <c:v>242.07</c:v>
                </c:pt>
                <c:pt idx="5">
                  <c:v>37.97999999999999</c:v>
                </c:pt>
                <c:pt idx="6">
                  <c:v>157.54</c:v>
                </c:pt>
                <c:pt idx="7">
                  <c:v>66.80000000000001</c:v>
                </c:pt>
                <c:pt idx="8">
                  <c:v>38.870000000000005</c:v>
                </c:pt>
                <c:pt idx="9">
                  <c:v>2.6200000000000045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Norteamérica</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79785</c:v>
                </c:pt>
                <c:pt idx="1">
                  <c:v>106110</c:v>
                </c:pt>
                <c:pt idx="2">
                  <c:v>141366</c:v>
                </c:pt>
                <c:pt idx="3">
                  <c:v>170773</c:v>
                </c:pt>
                <c:pt idx="4">
                  <c:v>236282</c:v>
                </c:pt>
                <c:pt idx="5">
                  <c:v>279833</c:v>
                </c:pt>
                <c:pt idx="6">
                  <c:v>315880</c:v>
                </c:pt>
                <c:pt idx="7">
                  <c:v>352828</c:v>
                </c:pt>
                <c:pt idx="8">
                  <c:v>387497</c:v>
                </c:pt>
                <c:pt idx="9">
                  <c:v>426305</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43983</c:v>
                </c:pt>
                <c:pt idx="1">
                  <c:v>54297</c:v>
                </c:pt>
                <c:pt idx="2">
                  <c:v>65866</c:v>
                </c:pt>
                <c:pt idx="3">
                  <c:v>74723</c:v>
                </c:pt>
                <c:pt idx="4">
                  <c:v>104412</c:v>
                </c:pt>
                <c:pt idx="5">
                  <c:v>127787</c:v>
                </c:pt>
                <c:pt idx="6">
                  <c:v>118007</c:v>
                </c:pt>
                <c:pt idx="7">
                  <c:v>131200</c:v>
                </c:pt>
                <c:pt idx="8">
                  <c:v>142906</c:v>
                </c:pt>
                <c:pt idx="9">
                  <c:v>161894</c:v>
                </c:pt>
              </c:numCache>
            </c:numRef>
          </c:val>
        </c:ser>
        <c:ser>
          <c:idx val="2"/>
          <c:order val="2"/>
          <c:tx>
            <c:strRef>
              <c:f>Hoja1!$D$1</c:f>
              <c:strCache>
                <c:ptCount val="1"/>
                <c:pt idx="0">
                  <c:v>AWS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12219</c:v>
                </c:pt>
                <c:pt idx="1">
                  <c:v>17459</c:v>
                </c:pt>
                <c:pt idx="2">
                  <c:v>25655</c:v>
                </c:pt>
                <c:pt idx="3">
                  <c:v>35026</c:v>
                </c:pt>
                <c:pt idx="4">
                  <c:v>45370</c:v>
                </c:pt>
                <c:pt idx="5">
                  <c:v>62202</c:v>
                </c:pt>
                <c:pt idx="6">
                  <c:v>80096</c:v>
                </c:pt>
                <c:pt idx="7">
                  <c:v>90757</c:v>
                </c:pt>
                <c:pt idx="8">
                  <c:v>107556</c:v>
                </c:pt>
                <c:pt idx="9">
                  <c:v>128725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Norteamérica</c:v>
                </c:pt>
                <c:pt idx="1">
                  <c:v>Internacional</c:v>
                </c:pt>
                <c:pt idx="2">
                  <c:v>AWS</c:v>
                </c:pt>
              </c:strCache>
            </c:strRef>
          </c:cat>
          <c:val>
            <c:numRef>
              <c:f>Hoja1!$B$2:$B$4</c:f>
              <c:numCache>
                <c:formatCode>General</c:formatCode>
                <c:ptCount val="3"/>
                <c:pt idx="0">
                  <c:v>59.5</c:v>
                </c:pt>
                <c:pt idx="1">
                  <c:v>22.6</c:v>
                </c:pt>
                <c:pt idx="2">
                  <c:v>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Alemania</c:v>
                </c:pt>
                <c:pt idx="2">
                  <c:v>Reino Unido</c:v>
                </c:pt>
                <c:pt idx="3">
                  <c:v>Japón</c:v>
                </c:pt>
                <c:pt idx="4">
                  <c:v>Resto del mundo</c:v>
                </c:pt>
              </c:strCache>
            </c:strRef>
          </c:cat>
          <c:val>
            <c:numRef>
              <c:f>Hoja1!$B$2:$B$6</c:f>
              <c:numCache>
                <c:formatCode>0"%"</c:formatCode>
                <c:ptCount val="5"/>
                <c:pt idx="0">
                  <c:v>68.3</c:v>
                </c:pt>
                <c:pt idx="1">
                  <c:v>6.4</c:v>
                </c:pt>
                <c:pt idx="2">
                  <c:v>6</c:v>
                </c:pt>
                <c:pt idx="3">
                  <c:v>4.3</c:v>
                </c:pt>
                <c:pt idx="4">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nube de infraestructura, Synergy; 2022 y 2023 deducidos de los incrementos que publica Synergy))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2022</c:v>
                </c:pt>
                <c:pt idx="1">
                  <c:v>2023</c:v>
                </c:pt>
                <c:pt idx="2">
                  <c:v>2024</c:v>
                </c:pt>
                <c:pt idx="3">
                  <c:v>2025</c:v>
                </c:pt>
              </c:strCache>
            </c:strRef>
          </c:cat>
          <c:val>
            <c:numRef>
              <c:f>Hoja1!$B$2:$B$5</c:f>
              <c:numCache>
                <c:formatCode>#,##0</c:formatCode>
                <c:ptCount val="4"/>
                <c:pt idx="0">
                  <c:v>228000</c:v>
                </c:pt>
                <c:pt idx="1">
                  <c:v>270000</c:v>
                </c:pt>
                <c:pt idx="2">
                  <c:v>330400</c:v>
                </c:pt>
                <c:pt idx="3">
                  <c:v>419000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Amazon</c:v>
                </c:pt>
                <c:pt idx="1">
                  <c:v>Microsoft (segmento Intelligent Cloud, incluye Azure)</c:v>
                </c:pt>
                <c:pt idx="2">
                  <c:v>Alphabet (Google Cloud)</c:v>
                </c:pt>
                <c:pt idx="3">
                  <c:v>Oracle (grupo; OCI 18.101 M)</c:v>
                </c:pt>
                <c:pt idx="4">
                  <c:v>Walmart</c:v>
                </c:pt>
                <c:pt idx="5">
                  <c:v>Shopify</c:v>
                </c:pt>
                <c:pt idx="6">
                  <c:v>MercadoLibre</c:v>
                </c:pt>
              </c:strCache>
            </c:strRef>
          </c:cat>
          <c:val>
            <c:numRef>
              <c:f>Hoja1!$B$2:$B$8</c:f>
              <c:numCache>
                <c:formatCode>0.0"%"</c:formatCode>
                <c:ptCount val="7"/>
                <c:pt idx="0">
                  <c:v>11.5</c:v>
                </c:pt>
                <c:pt idx="1">
                  <c:v>41.3</c:v>
                </c:pt>
                <c:pt idx="2">
                  <c:v>23.7</c:v>
                </c:pt>
                <c:pt idx="3">
                  <c:v>30.6</c:v>
                </c:pt>
                <c:pt idx="4">
                  <c:v>4.2</c:v>
                </c:pt>
                <c:pt idx="5">
                  <c:v>12.7</c:v>
                </c:pt>
                <c:pt idx="6">
                  <c:v>11.1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3</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135987</c:v>
                </c:pt>
                <c:pt idx="1">
                  <c:v>177866</c:v>
                </c:pt>
                <c:pt idx="2">
                  <c:v>232887</c:v>
                </c:pt>
                <c:pt idx="3">
                  <c:v>280522</c:v>
                </c:pt>
                <c:pt idx="4">
                  <c:v>386064</c:v>
                </c:pt>
                <c:pt idx="5">
                  <c:v>469822</c:v>
                </c:pt>
                <c:pt idx="6">
                  <c:v>513983</c:v>
                </c:pt>
                <c:pt idx="7">
                  <c:v>574785</c:v>
                </c:pt>
                <c:pt idx="8">
                  <c:v>637959</c:v>
                </c:pt>
                <c:pt idx="9">
                  <c:v>716924</c:v>
                </c:pt>
                <c:pt idx="10">
                  <c:v>825896</c:v>
                </c:pt>
                <c:pt idx="11">
                  <c:v>941522</c:v>
                </c:pt>
                <c:pt idx="12">
                  <c:v>1068627</c:v>
                </c:pt>
                <c:pt idx="13">
                  <c:v>1196863</c:v>
                </c:pt>
                <c:pt idx="14">
                  <c:v>1322533</c:v>
                </c:pt>
                <c:pt idx="15">
                  <c:v>1448174</c:v>
                </c:pt>
                <c:pt idx="16">
                  <c:v>1571269</c:v>
                </c:pt>
                <c:pt idx="17">
                  <c:v>1689114</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10835</c:v>
                </c:pt>
                <c:pt idx="1">
                  <c:v>13303</c:v>
                </c:pt>
                <c:pt idx="2">
                  <c:v>25034</c:v>
                </c:pt>
                <c:pt idx="3">
                  <c:v>30256</c:v>
                </c:pt>
                <c:pt idx="4">
                  <c:v>39647</c:v>
                </c:pt>
                <c:pt idx="5">
                  <c:v>48300</c:v>
                </c:pt>
                <c:pt idx="6">
                  <c:v>37776</c:v>
                </c:pt>
                <c:pt idx="7">
                  <c:v>67783</c:v>
                </c:pt>
                <c:pt idx="8">
                  <c:v>101498</c:v>
                </c:pt>
                <c:pt idx="9">
                  <c:v>125152</c:v>
                </c:pt>
                <c:pt idx="10">
                  <c:v>163527</c:v>
                </c:pt>
                <c:pt idx="11">
                  <c:v>216550</c:v>
                </c:pt>
                <c:pt idx="12">
                  <c:v>277843</c:v>
                </c:pt>
                <c:pt idx="13">
                  <c:v>329137</c:v>
                </c:pt>
                <c:pt idx="14">
                  <c:v>378245</c:v>
                </c:pt>
                <c:pt idx="15">
                  <c:v>425763</c:v>
                </c:pt>
                <c:pt idx="16">
                  <c:v>471381</c:v>
                </c:pt>
                <c:pt idx="17">
                  <c:v>515180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35.1</c:v>
                </c:pt>
                <c:pt idx="1">
                  <c:v>37.1</c:v>
                </c:pt>
                <c:pt idx="2">
                  <c:v>40.2</c:v>
                </c:pt>
                <c:pt idx="3">
                  <c:v>41</c:v>
                </c:pt>
                <c:pt idx="4">
                  <c:v>39.6</c:v>
                </c:pt>
                <c:pt idx="5">
                  <c:v>42</c:v>
                </c:pt>
                <c:pt idx="6">
                  <c:v>43.8</c:v>
                </c:pt>
                <c:pt idx="7">
                  <c:v>47</c:v>
                </c:pt>
                <c:pt idx="8">
                  <c:v>48.9</c:v>
                </c:pt>
                <c:pt idx="9">
                  <c:v>50.3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c:v>
                </c:pt>
                <c:pt idx="1">
                  <c:v>7.5</c:v>
                </c:pt>
                <c:pt idx="2">
                  <c:v>10.7</c:v>
                </c:pt>
                <c:pt idx="3">
                  <c:v>10.8</c:v>
                </c:pt>
                <c:pt idx="4">
                  <c:v>10.3</c:v>
                </c:pt>
                <c:pt idx="5">
                  <c:v>10.3</c:v>
                </c:pt>
                <c:pt idx="6">
                  <c:v>7.3</c:v>
                </c:pt>
                <c:pt idx="7">
                  <c:v>11.8</c:v>
                </c:pt>
                <c:pt idx="8">
                  <c:v>15.9</c:v>
                </c:pt>
                <c:pt idx="9">
                  <c:v>17.5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3.1</c:v>
                </c:pt>
                <c:pt idx="1">
                  <c:v>2.3</c:v>
                </c:pt>
                <c:pt idx="2">
                  <c:v>5.3</c:v>
                </c:pt>
                <c:pt idx="3">
                  <c:v>5.2</c:v>
                </c:pt>
                <c:pt idx="4">
                  <c:v>5.9</c:v>
                </c:pt>
                <c:pt idx="5">
                  <c:v>5.3</c:v>
                </c:pt>
                <c:pt idx="6">
                  <c:v>2.4</c:v>
                </c:pt>
                <c:pt idx="7">
                  <c:v>6.4</c:v>
                </c:pt>
                <c:pt idx="8">
                  <c:v>10.8</c:v>
                </c:pt>
                <c:pt idx="9">
                  <c:v>11.5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1.7</c:v>
                </c:pt>
                <c:pt idx="1">
                  <c:v>1.7</c:v>
                </c:pt>
                <c:pt idx="2">
                  <c:v>4.3</c:v>
                </c:pt>
                <c:pt idx="3">
                  <c:v>4.1</c:v>
                </c:pt>
                <c:pt idx="4">
                  <c:v>5.5</c:v>
                </c:pt>
                <c:pt idx="5">
                  <c:v>7.1</c:v>
                </c:pt>
                <c:pt idx="6">
                  <c:v>-0.5</c:v>
                </c:pt>
                <c:pt idx="7">
                  <c:v>5.3</c:v>
                </c:pt>
                <c:pt idx="8">
                  <c:v>9.3</c:v>
                </c:pt>
                <c:pt idx="9">
                  <c:v>10.8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11</c:v>
                </c:pt>
                <c:pt idx="1">
                  <c:v>10.5</c:v>
                </c:pt>
                <c:pt idx="2">
                  <c:v>8.6</c:v>
                </c:pt>
                <c:pt idx="3">
                  <c:v>13.3</c:v>
                </c:pt>
                <c:pt idx="4">
                  <c:v>13.4</c:v>
                </c:pt>
                <c:pt idx="5">
                  <c:v>13.6</c:v>
                </c:pt>
                <c:pt idx="6">
                  <c:v>16.6</c:v>
                </c:pt>
                <c:pt idx="7">
                  <c:v>19.6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c:v>
                </c:pt>
                <c:pt idx="1">
                  <c:v>11</c:v>
                </c:pt>
                <c:pt idx="2">
                  <c:v>10</c:v>
                </c:pt>
                <c:pt idx="3">
                  <c:v>12</c:v>
                </c:pt>
                <c:pt idx="4">
                  <c:v>12</c:v>
                </c:pt>
                <c:pt idx="5">
                  <c:v>12</c:v>
                </c:pt>
                <c:pt idx="6">
                  <c:v>15</c:v>
                </c:pt>
                <c:pt idx="7">
                  <c:v>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c:v>
                </c:pt>
                <c:pt idx="1">
                  <c:v>27</c:v>
                </c:pt>
                <c:pt idx="2">
                  <c:v>26</c:v>
                </c:pt>
                <c:pt idx="3">
                  <c:v>27</c:v>
                </c:pt>
                <c:pt idx="4">
                  <c:v>23</c:v>
                </c:pt>
                <c:pt idx="5">
                  <c:v>26</c:v>
                </c:pt>
                <c:pt idx="6">
                  <c:v>30</c:v>
                </c:pt>
                <c:pt idx="7">
                  <c:v>33</c:v>
                </c:pt>
                <c:pt idx="8">
                  <c:v>32</c:v>
                </c:pt>
                <c:pt idx="9">
                  <c:v>34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47</c:v>
                </c:pt>
                <c:pt idx="1">
                  <c:v>52</c:v>
                </c:pt>
                <c:pt idx="2">
                  <c:v>45</c:v>
                </c:pt>
                <c:pt idx="3">
                  <c:v>45</c:v>
                </c:pt>
                <c:pt idx="4">
                  <c:v>37</c:v>
                </c:pt>
                <c:pt idx="5">
                  <c:v>44</c:v>
                </c:pt>
                <c:pt idx="6">
                  <c:v>43</c:v>
                </c:pt>
                <c:pt idx="7">
                  <c:v>40</c:v>
                </c:pt>
                <c:pt idx="8">
                  <c:v>38</c:v>
                </c:pt>
                <c:pt idx="9">
                  <c:v>39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105</c:v>
                </c:pt>
                <c:pt idx="1">
                  <c:v>113</c:v>
                </c:pt>
                <c:pt idx="2">
                  <c:v>100</c:v>
                </c:pt>
                <c:pt idx="3">
                  <c:v>104</c:v>
                </c:pt>
                <c:pt idx="4">
                  <c:v>113</c:v>
                </c:pt>
                <c:pt idx="5">
                  <c:v>105</c:v>
                </c:pt>
                <c:pt idx="6">
                  <c:v>101</c:v>
                </c:pt>
                <c:pt idx="7">
                  <c:v>102</c:v>
                </c:pt>
                <c:pt idx="8">
                  <c:v>106</c:v>
                </c:pt>
                <c:pt idx="9">
                  <c:v>125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6459</c:v>
                </c:pt>
                <c:pt idx="1">
                  <c:v>3308</c:v>
                </c:pt>
                <c:pt idx="2">
                  <c:v>11614</c:v>
                </c:pt>
                <c:pt idx="3">
                  <c:v>16170</c:v>
                </c:pt>
                <c:pt idx="4">
                  <c:v>20325</c:v>
                </c:pt>
                <c:pt idx="5">
                  <c:v>-20394</c:v>
                </c:pt>
                <c:pt idx="6">
                  <c:v>-19758</c:v>
                </c:pt>
                <c:pt idx="7">
                  <c:v>32158</c:v>
                </c:pt>
                <c:pt idx="8">
                  <c:v>35507</c:v>
                </c:pt>
                <c:pt idx="9">
                  <c:v>9309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2371</c:v>
                </c:pt>
                <c:pt idx="1">
                  <c:v>3033</c:v>
                </c:pt>
                <c:pt idx="2">
                  <c:v>10073</c:v>
                </c:pt>
                <c:pt idx="3">
                  <c:v>11588</c:v>
                </c:pt>
                <c:pt idx="4">
                  <c:v>21331</c:v>
                </c:pt>
                <c:pt idx="5">
                  <c:v>33364</c:v>
                </c:pt>
                <c:pt idx="6">
                  <c:v>-2722</c:v>
                </c:pt>
                <c:pt idx="7">
                  <c:v>30425</c:v>
                </c:pt>
                <c:pt idx="8">
                  <c:v>59248</c:v>
                </c:pt>
                <c:pt idx="9">
                  <c:v>77670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19.3</c:v>
                </c:pt>
                <c:pt idx="1">
                  <c:v>12</c:v>
                </c:pt>
                <c:pt idx="2">
                  <c:v>24</c:v>
                </c:pt>
                <c:pt idx="3">
                  <c:v>21.9</c:v>
                </c:pt>
                <c:pt idx="4">
                  <c:v>30.4</c:v>
                </c:pt>
                <c:pt idx="5">
                  <c:v>22.1</c:v>
                </c:pt>
                <c:pt idx="6">
                  <c:v>6.3</c:v>
                </c:pt>
                <c:pt idx="7">
                  <c:v>16.1</c:v>
                </c:pt>
                <c:pt idx="8">
                  <c:v>25.7</c:v>
                </c:pt>
                <c:pt idx="9">
                  <c:v>20.8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12.1</c:v>
                </c:pt>
                <c:pt idx="1">
                  <c:v>12.1</c:v>
                </c:pt>
                <c:pt idx="2">
                  <c:v>12.1</c:v>
                </c:pt>
                <c:pt idx="3">
                  <c:v>12.1</c:v>
                </c:pt>
                <c:pt idx="4">
                  <c:v>12.1</c:v>
                </c:pt>
                <c:pt idx="5">
                  <c:v>12.1</c:v>
                </c:pt>
                <c:pt idx="6">
                  <c:v>12.1</c:v>
                </c:pt>
                <c:pt idx="7">
                  <c:v>12.1</c:v>
                </c:pt>
                <c:pt idx="8">
                  <c:v>12.1</c:v>
                </c:pt>
                <c:pt idx="9">
                  <c:v>12.1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12.3</c:v>
                </c:pt>
                <c:pt idx="1">
                  <c:v>12.9</c:v>
                </c:pt>
                <c:pt idx="2">
                  <c:v>28.3</c:v>
                </c:pt>
                <c:pt idx="3">
                  <c:v>21.9</c:v>
                </c:pt>
                <c:pt idx="4">
                  <c:v>27.4</c:v>
                </c:pt>
                <c:pt idx="5">
                  <c:v>28.8</c:v>
                </c:pt>
                <c:pt idx="6">
                  <c:v>-1.9</c:v>
                </c:pt>
                <c:pt idx="7">
                  <c:v>17.5</c:v>
                </c:pt>
                <c:pt idx="8">
                  <c:v>24.3</c:v>
                </c:pt>
                <c:pt idx="9">
                  <c:v>22.3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-0.53</c:v>
                </c:pt>
                <c:pt idx="1">
                  <c:v>0.99</c:v>
                </c:pt>
                <c:pt idx="2">
                  <c:v>0.32</c:v>
                </c:pt>
                <c:pt idx="3">
                  <c:v>-0.11</c:v>
                </c:pt>
                <c:pt idx="4">
                  <c:v>-0.49</c:v>
                </c:pt>
                <c:pt idx="5">
                  <c:v>-0.32</c:v>
                </c:pt>
                <c:pt idx="6">
                  <c:v>0.64</c:v>
                </c:pt>
                <c:pt idx="7">
                  <c:v>-0.01</c:v>
                </c:pt>
                <c:pt idx="8">
                  <c:v>-0.25</c:v>
                </c:pt>
                <c:pt idx="9">
                  <c:v>-0.27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2752</c:v>
                </c:pt>
                <c:pt idx="1">
                  <c:v>8832</c:v>
                </c:pt>
                <c:pt idx="2">
                  <c:v>4752</c:v>
                </c:pt>
                <c:pt idx="3">
                  <c:v>3000</c:v>
                </c:pt>
                <c:pt idx="4">
                  <c:v>4500</c:v>
                </c:pt>
                <c:pt idx="5">
                  <c:v>45000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116</c:v>
                </c:pt>
                <c:pt idx="1">
                  <c:v>13972</c:v>
                </c:pt>
                <c:pt idx="2">
                  <c:v>2186</c:v>
                </c:pt>
                <c:pt idx="3">
                  <c:v>2461</c:v>
                </c:pt>
                <c:pt idx="4">
                  <c:v>2325</c:v>
                </c:pt>
                <c:pt idx="5">
                  <c:v>1985</c:v>
                </c:pt>
                <c:pt idx="6">
                  <c:v>8316</c:v>
                </c:pt>
                <c:pt idx="7">
                  <c:v>5839</c:v>
                </c:pt>
                <c:pt idx="8">
                  <c:v>7082</c:v>
                </c:pt>
                <c:pt idx="9">
                  <c:v>3841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0</c:v>
                </c:pt>
                <c:pt idx="6">
                  <c:v>6000</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Jeffrey P. Bezos</c:v>
                </c:pt>
                <c:pt idx="1">
                  <c:v>Vanguard Capital Management</c:v>
                </c:pt>
                <c:pt idx="2">
                  <c:v>BlackRock, Inc.</c:v>
                </c:pt>
                <c:pt idx="3">
                  <c:v>Consejeros y directivos en conjunto (17 personas)</c:v>
                </c:pt>
              </c:strCache>
            </c:strRef>
          </c:cat>
          <c:val>
            <c:numRef>
              <c:f>Hoja1!$B$2:$B$5</c:f>
              <c:numCache>
                <c:formatCode>0.0"%"</c:formatCode>
                <c:ptCount val="4"/>
                <c:pt idx="0">
                  <c:v>8.8</c:v>
                </c:pt>
                <c:pt idx="1">
                  <c:v>6.77</c:v>
                </c:pt>
                <c:pt idx="2">
                  <c:v>5.9</c:v>
                </c:pt>
                <c:pt idx="3">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10.9</c:v>
                </c:pt>
                <c:pt idx="1">
                  <c:v>56</c:v>
                </c:pt>
                <c:pt idx="2">
                  <c:v>28.4</c:v>
                </c:pt>
                <c:pt idx="3">
                  <c:v>23</c:v>
                </c:pt>
                <c:pt idx="4">
                  <c:v>76.3</c:v>
                </c:pt>
                <c:pt idx="5">
                  <c:v>2.4</c:v>
                </c:pt>
                <c:pt idx="6">
                  <c:v>-49.6</c:v>
                </c:pt>
                <c:pt idx="7">
                  <c:v>80.9</c:v>
                </c:pt>
                <c:pt idx="8">
                  <c:v>44.4</c:v>
                </c:pt>
                <c:pt idx="9">
                  <c:v>5.2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33</c:v>
                </c:pt>
                <c:pt idx="1">
                  <c:v>44.3</c:v>
                </c:pt>
                <c:pt idx="2">
                  <c:v>30.3</c:v>
                </c:pt>
                <c:pt idx="3">
                  <c:v>30.7</c:v>
                </c:pt>
                <c:pt idx="4">
                  <c:v>41.4</c:v>
                </c:pt>
                <c:pt idx="5">
                  <c:v>35.2</c:v>
                </c:pt>
                <c:pt idx="6">
                  <c:v>23.3</c:v>
                </c:pt>
                <c:pt idx="7">
                  <c:v>23.5</c:v>
                </c:pt>
                <c:pt idx="8">
                  <c:v>22.9</c:v>
                </c:pt>
                <c:pt idx="9">
                  <c:v>19.7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30.5</c:v>
                </c:pt>
                <c:pt idx="1">
                  <c:v>30.5</c:v>
                </c:pt>
                <c:pt idx="2">
                  <c:v>30.5</c:v>
                </c:pt>
                <c:pt idx="3">
                  <c:v>30.5</c:v>
                </c:pt>
                <c:pt idx="4">
                  <c:v>30.5</c:v>
                </c:pt>
                <c:pt idx="5">
                  <c:v>30.5</c:v>
                </c:pt>
                <c:pt idx="6">
                  <c:v>30.5</c:v>
                </c:pt>
                <c:pt idx="7">
                  <c:v>30.5</c:v>
                </c:pt>
                <c:pt idx="8">
                  <c:v>30.5</c:v>
                </c:pt>
                <c:pt idx="9">
                  <c:v>30.5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Amazon</c:v>
                </c:pt>
                <c:pt idx="1">
                  <c:v>Microsoft</c:v>
                </c:pt>
                <c:pt idx="2">
                  <c:v>Alphabet</c:v>
                </c:pt>
                <c:pt idx="3">
                  <c:v>Meta Platforms</c:v>
                </c:pt>
                <c:pt idx="4">
                  <c:v>Oracle</c:v>
                </c:pt>
                <c:pt idx="5">
                  <c:v>Walmart</c:v>
                </c:pt>
                <c:pt idx="6">
                  <c:v>Costco</c:v>
                </c:pt>
                <c:pt idx="7">
                  <c:v>MercadoLibre</c:v>
                </c:pt>
                <c:pt idx="8">
                  <c:v>Shopify</c:v>
                </c:pt>
              </c:strCache>
            </c:strRef>
          </c:cat>
          <c:val>
            <c:numRef>
              <c:f>Hoja1!$B$2:$B$10</c:f>
              <c:numCache>
                <c:formatCode>0.0"x"</c:formatCode>
                <c:ptCount val="9"/>
                <c:pt idx="0">
                  <c:v>13.5</c:v>
                </c:pt>
                <c:pt idx="1">
                  <c:v>16.6</c:v>
                </c:pt>
                <c:pt idx="2">
                  <c:v>17.2</c:v>
                </c:pt>
                <c:pt idx="3">
                  <c:v>12.7</c:v>
                </c:pt>
                <c:pt idx="4">
                  <c:v>10.1</c:v>
                </c:pt>
                <c:pt idx="5">
                  <c:v>18.3</c:v>
                </c:pt>
                <c:pt idx="6">
                  <c:v>25.1</c:v>
                </c:pt>
                <c:pt idx="7">
                  <c:v>17.2</c:v>
                </c:pt>
                <c:pt idx="8">
                  <c:v>81.3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Amazon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14.4</c:v>
                </c:pt>
              </c:numCache>
            </c:numRef>
          </c:xVal>
          <c:yVal>
            <c:numRef>
              <c:f>Hoja1!$C$2</c:f>
              <c:numCache>
                <c:formatCode>0.0"x"</c:formatCode>
                <c:ptCount val="1"/>
                <c:pt idx="0">
                  <c:v>13.5</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18.5</c:v>
                </c:pt>
              </c:numCache>
            </c:numRef>
          </c:xVal>
          <c:yVal>
            <c:numRef>
              <c:f>Hoja1!$C$3</c:f>
              <c:numCache>
                <c:formatCode>0.0"x"</c:formatCode>
                <c:ptCount val="1"/>
                <c:pt idx="0">
                  <c:v>16.6</c:v>
                </c:pt>
              </c:numCache>
            </c:numRef>
          </c:yVal>
          <c:smooth val="0"/>
        </c:ser>
        <c:ser>
          <c:idx val="2"/>
          <c:order val="2"/>
          <c:tx>
            <c:strRef>
              <c:f>Hoja1!$A$4</c:f>
              <c:strCache>
                <c:ptCount val="1"/>
                <c:pt idx="0">
                  <c:v>Alphabet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24.3</c:v>
                </c:pt>
              </c:numCache>
            </c:numRef>
          </c:xVal>
          <c:yVal>
            <c:numRef>
              <c:f>Hoja1!$C$4</c:f>
              <c:numCache>
                <c:formatCode>0.0"x"</c:formatCode>
                <c:ptCount val="1"/>
                <c:pt idx="0">
                  <c:v>17.2</c:v>
                </c:pt>
              </c:numCache>
            </c:numRef>
          </c:yVal>
          <c:smooth val="0"/>
        </c:ser>
        <c:ser>
          <c:idx val="3"/>
          <c:order val="3"/>
          <c:tx>
            <c:strRef>
              <c:f>Hoja1!$A$5</c:f>
              <c:strCache>
                <c:ptCount val="1"/>
                <c:pt idx="0">
                  <c:v>Meta Platforms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23.3</c:v>
                </c:pt>
              </c:numCache>
            </c:numRef>
          </c:xVal>
          <c:yVal>
            <c:numRef>
              <c:f>Hoja1!$C$5</c:f>
              <c:numCache>
                <c:formatCode>0.0"x"</c:formatCode>
                <c:ptCount val="1"/>
                <c:pt idx="0">
                  <c:v>12.7</c:v>
                </c:pt>
              </c:numCache>
            </c:numRef>
          </c:yVal>
          <c:smooth val="0"/>
        </c:ser>
        <c:ser>
          <c:idx val="4"/>
          <c:order val="4"/>
          <c:tx>
            <c:strRef>
              <c:f>Hoja1!$A$6</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39.5</c:v>
                </c:pt>
              </c:numCache>
            </c:numRef>
          </c:xVal>
          <c:yVal>
            <c:numRef>
              <c:f>Hoja1!$C$6</c:f>
              <c:numCache>
                <c:formatCode>0.0"x"</c:formatCode>
                <c:ptCount val="1"/>
                <c:pt idx="0">
                  <c:v>10.1</c:v>
                </c:pt>
              </c:numCache>
            </c:numRef>
          </c:yVal>
          <c:smooth val="0"/>
        </c:ser>
        <c:ser>
          <c:idx val="5"/>
          <c:order val="5"/>
          <c:tx>
            <c:strRef>
              <c:f>Hoja1!$A$7</c:f>
              <c:strCache>
                <c:ptCount val="1"/>
                <c:pt idx="0">
                  <c:v>Walmart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5.4</c:v>
                </c:pt>
              </c:numCache>
            </c:numRef>
          </c:xVal>
          <c:yVal>
            <c:numRef>
              <c:f>Hoja1!$C$7</c:f>
              <c:numCache>
                <c:formatCode>0.0"x"</c:formatCode>
                <c:ptCount val="1"/>
                <c:pt idx="0">
                  <c:v>18.3</c:v>
                </c:pt>
              </c:numCache>
            </c:numRef>
          </c:yVal>
          <c:smooth val="0"/>
        </c:ser>
        <c:ser>
          <c:idx val="6"/>
          <c:order val="6"/>
          <c:tx>
            <c:strRef>
              <c:f>Hoja1!$A$8</c:f>
              <c:strCache>
                <c:ptCount val="1"/>
                <c:pt idx="0">
                  <c:v>Costco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8.5</c:v>
                </c:pt>
              </c:numCache>
            </c:numRef>
          </c:xVal>
          <c:yVal>
            <c:numRef>
              <c:f>Hoja1!$C$8</c:f>
              <c:numCache>
                <c:formatCode>0.0"x"</c:formatCode>
                <c:ptCount val="1"/>
                <c:pt idx="0">
                  <c:v>25.1</c:v>
                </c:pt>
              </c:numCache>
            </c:numRef>
          </c:yVal>
          <c:smooth val="0"/>
        </c:ser>
        <c:ser>
          <c:idx val="7"/>
          <c:order val="7"/>
          <c:tx>
            <c:strRef>
              <c:f>Hoja1!$A$9</c:f>
              <c:strCache>
                <c:ptCount val="1"/>
                <c:pt idx="0">
                  <c:v>MercadoLibre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35</c:v>
                </c:pt>
              </c:numCache>
            </c:numRef>
          </c:xVal>
          <c:yVal>
            <c:numRef>
              <c:f>Hoja1!$C$9</c:f>
              <c:numCache>
                <c:formatCode>0.0"x"</c:formatCode>
                <c:ptCount val="1"/>
                <c:pt idx="0">
                  <c:v>17.2</c:v>
                </c:pt>
              </c:numCache>
            </c:numRef>
          </c:yVal>
          <c:smooth val="0"/>
        </c:ser>
        <c:ser>
          <c:idx val="8"/>
          <c:order val="8"/>
          <c:tx>
            <c:strRef>
              <c:f>Hoja1!$A$10</c:f>
              <c:strCache>
                <c:ptCount val="1"/>
                <c:pt idx="0">
                  <c:v>Shopify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28.7</c:v>
                </c:pt>
              </c:numCache>
            </c:numRef>
          </c:xVal>
          <c:yVal>
            <c:numRef>
              <c:f>Hoja1!$C$10</c:f>
              <c:numCache>
                <c:formatCode>0.0"x"</c:formatCode>
                <c:ptCount val="1"/>
                <c:pt idx="0">
                  <c:v>81.3</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Globalstar (servicios por satélite y espectro)</c:v>
                </c:pt>
                <c:pt idx="1">
                  <c:v>Whole Foods Market (supermercados)</c:v>
                </c:pt>
                <c:pt idx="2">
                  <c:v>1Life Healthcare (One Medical, atención primaria)</c:v>
                </c:pt>
                <c:pt idx="3">
                  <c:v>MGM Holdings (estudio de cine y televisión)</c:v>
                </c:pt>
                <c:pt idx="4">
                  <c:v>Vizio (televisores y plataforma publicitaria SmartCast)</c:v>
                </c:pt>
                <c:pt idx="5">
                  <c:v>Splunk (software de datos y seguridad)</c:v>
                </c:pt>
              </c:strCache>
            </c:strRef>
          </c:cat>
          <c:val>
            <c:numRef>
              <c:f>Hoja1!$B$2:$B$7</c:f>
              <c:numCache>
                <c:formatCode>0.0"x"</c:formatCode>
                <c:ptCount val="6"/>
                <c:pt idx="0">
                  <c:v>114.9</c:v>
                </c:pt>
                <c:pt idx="1">
                  <c:v>9.7</c:v>
                </c:pt>
                <c:pt idx="4">
                  <c:v>58.9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-73618</c:v>
                </c:pt>
                <c:pt idx="1">
                  <c:v>-42278</c:v>
                </c:pt>
                <c:pt idx="2">
                  <c:v>11989</c:v>
                </c:pt>
                <c:pt idx="3">
                  <c:v>64957</c:v>
                </c:pt>
                <c:pt idx="4">
                  <c:v>117309</c:v>
                </c:pt>
                <c:pt idx="5">
                  <c:v>167112</c:v>
                </c:pt>
                <c:pt idx="6">
                  <c:v>212556</c:v>
                </c:pt>
                <c:pt idx="7">
                  <c:v>252261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405090</c:v>
                </c:pt>
                <c:pt idx="1">
                  <c:v>665412</c:v>
                </c:pt>
                <c:pt idx="2">
                  <c:v>822897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262,43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107.53</c:v>
                </c:pt>
                <c:pt idx="1">
                  <c:v>187.97</c:v>
                </c:pt>
                <c:pt idx="2">
                  <c:v>265.07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262,43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(196,00 – 287,20)</c:v>
                </c:pt>
                <c:pt idx="1">
                  <c:v>Precio objetivo de los analistas (230,00 – 405,00)</c:v>
                </c:pt>
                <c:pt idx="2">
                  <c:v>Comparables: EV/EBITDA NTM (301,39 – 381,77)</c:v>
                </c:pt>
                <c:pt idx="3">
                  <c:v>Comparables: PER NTM (239,99 – 415,09)</c:v>
                </c:pt>
                <c:pt idx="4">
                  <c:v>Transacciones precedentes (EV/ventas) (89,55 – 331,62)</c:v>
                </c:pt>
                <c:pt idx="5">
                  <c:v>DCF (WACC y g ± 0,5) (171,00 – 208,98)</c:v>
                </c:pt>
                <c:pt idx="6">
                  <c:v>Escenarios (bajista – alcista) (107,53 – 265,07)</c:v>
                </c:pt>
                <c:pt idx="7">
                  <c:v>Suma de partes (203,57 – 270,37)</c:v>
                </c:pt>
                <c:pt idx="8">
                  <c:v>DCF con la prima implícita del mercado (4,2 %)</c:v>
                </c:pt>
                <c:pt idx="9">
                  <c:v>Precio actual (262,43)</c:v>
                </c:pt>
              </c:strCache>
            </c:strRef>
          </c:cat>
          <c:val>
            <c:numRef>
              <c:f>Hoja1!$B$2:$B$11</c:f>
              <c:numCache>
                <c:formatCode>#,##0</c:formatCode>
                <c:ptCount val="10"/>
                <c:pt idx="0">
                  <c:v>196</c:v>
                </c:pt>
                <c:pt idx="1">
                  <c:v>230</c:v>
                </c:pt>
                <c:pt idx="2">
                  <c:v>301.39</c:v>
                </c:pt>
                <c:pt idx="3">
                  <c:v>239.99</c:v>
                </c:pt>
                <c:pt idx="4">
                  <c:v>89.55</c:v>
                </c:pt>
                <c:pt idx="5">
                  <c:v>171</c:v>
                </c:pt>
                <c:pt idx="6">
                  <c:v>107.53</c:v>
                </c:pt>
                <c:pt idx="7">
                  <c:v>203.57</c:v>
                </c:pt>
                <c:pt idx="8">
                  <c:v>221.07</c:v>
                </c:pt>
                <c:pt idx="9">
                  <c:v>261.12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(196,00 – 287,20)</c:v>
                </c:pt>
                <c:pt idx="1">
                  <c:v>Precio objetivo de los analistas (230,00 – 405,00)</c:v>
                </c:pt>
                <c:pt idx="2">
                  <c:v>Comparables: EV/EBITDA NTM (301,39 – 381,77)</c:v>
                </c:pt>
                <c:pt idx="3">
                  <c:v>Comparables: PER NTM (239,99 – 415,09)</c:v>
                </c:pt>
                <c:pt idx="4">
                  <c:v>Transacciones precedentes (EV/ventas) (89,55 – 331,62)</c:v>
                </c:pt>
                <c:pt idx="5">
                  <c:v>DCF (WACC y g ± 0,5) (171,00 – 208,98)</c:v>
                </c:pt>
                <c:pt idx="6">
                  <c:v>Escenarios (bajista – alcista) (107,53 – 265,07)</c:v>
                </c:pt>
                <c:pt idx="7">
                  <c:v>Suma de partes (203,57 – 270,37)</c:v>
                </c:pt>
                <c:pt idx="8">
                  <c:v>DCF con la prima implícita del mercado (4,2 %)</c:v>
                </c:pt>
                <c:pt idx="9">
                  <c:v>Precio actual (262,43)</c:v>
                </c:pt>
              </c:strCache>
            </c:strRef>
          </c:cat>
          <c:val>
            <c:numRef>
              <c:f>Hoja1!$C$2:$C$11</c:f>
              <c:numCache>
                <c:formatCode>#,##0</c:formatCode>
                <c:ptCount val="10"/>
                <c:pt idx="0">
                  <c:v>91.19999999999999</c:v>
                </c:pt>
                <c:pt idx="1">
                  <c:v>175</c:v>
                </c:pt>
                <c:pt idx="2">
                  <c:v>80.38</c:v>
                </c:pt>
                <c:pt idx="3">
                  <c:v>175.09999999999997</c:v>
                </c:pt>
                <c:pt idx="4">
                  <c:v>242.07</c:v>
                </c:pt>
                <c:pt idx="5">
                  <c:v>37.97999999999999</c:v>
                </c:pt>
                <c:pt idx="6">
                  <c:v>157.54</c:v>
                </c:pt>
                <c:pt idx="7">
                  <c:v>66.80000000000001</c:v>
                </c:pt>
                <c:pt idx="8">
                  <c:v>38.870000000000005</c:v>
                </c:pt>
                <c:pt idx="9">
                  <c:v>2.6200000000000045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