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4imprint Group plc</w:t>
      </w:r>
    </w:p>
    <w:p>
      <w:pPr>
        <w:spacing w:after="60"/>
        <w:rPr>
          <w:color w:val="52514E"/>
          <w:sz w:val="22"/>
          <w:szCs w:val="22"/>
        </w:rPr>
      </w:pPr>
      <w:r>
        <w:rPr>
          <w:color w:val="52514E"/>
          <w:sz w:val="22"/>
          <w:szCs w:val="22"/>
        </w:rPr>
        <w:t xml:space="preserve">FOUR · Bolsa de Londres (Main Market, FTSE 250) · ISIN GB0006640972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60,42 USD (4.540,13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56,09 USD (4.214,76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-3,2 % (base +2,3 %)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53,53 USD (4.022,39 GBp) · mercado 60,98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4imprint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FOUR / GB0006640972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Londres (Main Market, FTSE 250)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por internet y marketing directo (artículos promocionales)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(operaciones en Oshkosh, Wisconsin)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https://investors.4imprint.com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60,42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40,62 – 69,09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1.593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53 mil acciones/día (3 meses), ≈ 2.4 M GBP/día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56,09 USD (4.214,76 GBp)</w:t>
      </w:r>
      <w:r>
        <w:t xml:space="preserve"> frente a 60,42 (4.540,13 GBp) · Rentabilidad a 12 meses </w:t>
      </w:r>
      <w:r>
        <w:rPr>
          <w:b/>
          <w:bCs/>
        </w:rPr>
        <w:t xml:space="preserve">-3,2 % (base +2,3 %)</w:t>
      </w:r>
      <w:r>
        <w:t xml:space="preserve"> · Valor intrínseco 53,53 USD (4.022,39 GBp) · con la prima implícita del mercado: 60,98 (4.582,21 GBp) (+0,9 %) · Alcista / bajista +1,1 % / -32,5 %</w:t>
      </w:r>
    </w:p>
    <w:p>
      <w:pPr>
        <w:spacing w:after="100"/>
      </w:pPr>
      <w:r>
        <w:rPr>
          <w:b/>
        </w:rPr>
        <w:t xml:space="preserve">La recomendación y por qué.</w:t>
      </w:r>
      <w:r>
        <w:t xml:space="preserve"> Mantener, con convicción media. El objetivo a 12 meses es de 56,09 USD (4.215 GBp) frente a un precio de 60,42 USD (4.540 GBp): rentabilidad ponderada del −3,2 % y del 2,3 % en el escenario base, dividendo incluido. El valor intrínseco es de 53,53 USD (−11,4 %) y el objetivo medio de los analistas, 72,22 USD, queda por encima de nuestro escenario alcista (64,14). La razón en una frase: es un negocio excelente que ya cotiza como si la captación de clientes, que lleva dos años y medio cayendo, se fuera a recuperar. La convicción es media y no baja porque el precio no descuenta nada extremo frente al mercado (con su prima el valor es de 60,98 USD); subiría con un semestre de pedidos de clientes nuevos en positivo y bajaría si los ingresos por dólar de marketing caen por debajo de 7,5 USD.</w:t>
      </w:r>
    </w:p>
    <w:p>
      <w:pPr>
        <w:spacing w:after="100"/>
      </w:pPr>
      <w:r>
        <w:rPr>
          <w:b/>
        </w:rPr>
        <w:t xml:space="preserve">El negocio.</w:t>
      </w:r>
      <w:r>
        <w:t xml:space="preserve"> 4imprint es el mayor distribuidor de artículos promocionales de Norteamérica (1.321,5 M USD de ventas en 2025, ≈ 4,8 % de un mercado de 27.700 M) [11, 14]. Sin deuda, con circulante negativo y una rentabilidad del capital empleado del 87 % antes de impuestos, crear valor no es la duda: el ROIC supera al WACC (11,1 %) por decenas de puntos [1]. La duda es el crecimiento: ventas planas desde 2023, pedidos de clientes nuevos −12 % en 2025 y −7 % en el 1S26, y pérdida de cuota frente a Custom Ink y BDA [3, 14]. La sostenibilidad del crecimiento es «En parte»: la calidad lo financia sin capital, pero el motor de captación no ha demostrado que vuelva a funcionar.</w:t>
      </w:r>
    </w:p>
    <w:p>
      <w:pPr>
        <w:spacing w:after="100"/>
      </w:pPr>
      <w:r>
        <w:rPr>
          <w:b/>
        </w:rPr>
        <w:t xml:space="preserve">Sector y ciclo.</w:t>
      </w:r>
      <w:r>
        <w:t xml:space="preserve"> El mercado creció un 4,2 % en 2025, sobre todo por precio, con las pymes de EE. UU. retrayendo presupuestos y los aranceles a China (el 50 % de lo que vende 4imprint) repercutidos por los proveedores [1, 11]. El margen bruto bajó al 31,5 % en el 1S26 (32,8 %) [3].</w:t>
      </w:r>
    </w:p>
    <w:p>
      <w:pPr>
        <w:spacing w:after="100"/>
      </w:pPr>
      <w:r>
        <w:rPr>
          <w:b/>
        </w:rPr>
        <w:t xml:space="preserve">Finanzas.</w:t>
      </w:r>
      <w:r>
        <w:t xml:space="preserve"> Conversión en caja del 109 % en 2025 y caja de 136,9 M USD en junio de 2026 [1, 3]. La guía de 2026 (≈ 130 M de beneficio antes de impuestos ajustado, −14 %) supera al consenso, pero sigue siendo un año de caída; el BPA ajustado de 2026 será de ≈ 3,47 USD frente a 4,03 en 2025.</w:t>
      </w:r>
    </w:p>
    <w:p>
      <w:pPr>
        <w:spacing w:after="100"/>
      </w:pPr>
      <w:r>
        <w:rPr>
          <w:b/>
        </w:rPr>
        <w:t xml:space="preserve">Equipo y gobierno.</w:t>
      </w:r>
      <w:r>
        <w:t xml:space="preserve"> Suman: consejo independiente, consejero delegado con 35 años en la casa y 271.523 acciones, remuneración modesta (0,78 M USD) y guías prudentes que se baten [1, 8, 9]. No hay accionista de control ni ventas de directivos relevantes (solo el plan de acciones de empleados) [19].</w:t>
      </w:r>
    </w:p>
    <w:p>
      <w:pPr>
        <w:spacing w:after="100"/>
      </w:pPr>
      <w:r>
        <w:rPr>
          <w:b/>
        </w:rPr>
        <w:t xml:space="preserve">Valoración.</w:t>
      </w:r>
      <w:r>
        <w:t xml:space="preserve"> El DCF da 54,04 USD con un WACC del 11,09 %; el precio descuenta un crecimiento anual del 6,3 % en 2027e-2033e frente al 4,1 % de nuestro base, o un margen EBITDA del 12,1 % frente al 10,8 %. La regla de múltiplos baja el PER adelantado de 16,6 a 15,2 veces, a mitad de camino de su mediana de cinco años (14,0). Los comparables cotizan a 15,1 veces. Discrepamos del consenso en el múltiplo, no en el beneficio: nuestro BPA de 2027 (3,67) es el suyo.</w:t>
      </w:r>
    </w:p>
    <w:p>
      <w:pPr>
        <w:spacing w:after="100"/>
      </w:pPr>
      <w:r>
        <w:rPr>
          <w:b/>
        </w:rPr>
        <w:t xml:space="preserve">Riesgos y catalizadores.</w:t>
      </w:r>
      <w:r>
        <w:t xml:space="preserve"> El mayor riesgo es la IA en la búsqueda: si las ventas por dólar de marketing bajan de 7,86 a 7,0 USD, el BPA cae ≈ 15 %. El segundo, la demanda de pymes; el tercero, aranceles sin repercutir (cada punto de margen bruto es ≈ 10 % del BPA). Catalizadores: avance de resultados de 2026 (≈ 20-ene-2027) y posible dividendo extraordinario en marzo. El sentimiento de los particulares es positivo y no discute la IA.</w:t>
      </w:r>
    </w:p>
    <w:p>
      <w:pPr>
        <w:spacing w:after="100"/>
      </w:pPr>
      <w:r>
        <w:rPr>
          <w:b/>
        </w:rPr>
        <w:t xml:space="preserve">Qué cambiaría la decisión.</w:t>
      </w:r>
      <w:r>
        <w:t xml:space="preserve"> Compraríamos por debajo del precio al que pasa la regla de compra (ver la revisión a 12 meses), o si dos semestres seguidos muestran pedidos de clientes nuevos al alza con margen bruto por encima del 32 %. Venderíamos si la rentabilidad ponderada cae por debajo del −10 % (precio ≈ 64-65 USD) o si los ingresos por dólar de marketing bajan de 7,5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56,09 USD (4.214,76 GBp)</w:t>
      </w:r>
      <w:r>
        <w:t xml:space="preserve"> (rentabilidad -3,2 % (base +2,3 %)) · Valor intrínseco: 53,53 USD (4.022,39 GBp) (-11,4 % sobre 60,42) · con la prima implícita del mercado: 60,98 (4.582,21 GBp) (+0,9 %)</w:t>
      </w:r>
    </w:p>
    <w:p>
      <w:pPr>
        <w:spacing w:after="100"/>
      </w:pPr>
      <w:r>
        <w:t xml:space="preserve">4imprint es el líder de un mercado de 27.700 M USD muy fragmentado, con un modelo que casi no necesita capital: el proveedor fabrica y envía, el cliente paga con tarjeta y la empresa convierte en caja más del 100 % de su resultado operativo [1, 11]. Su ventaja es de marca y de escala en marketing: gasta 171 M USD al año y obtiene 7,86 USD de ventas por dólar, algo que ningún distribuidor pequeño puede pagar [1].</w:t>
      </w:r>
    </w:p>
    <w:p>
      <w:pPr>
        <w:spacing w:after="100"/>
      </w:pPr>
      <w:r>
        <w:t xml:space="preserve">El precio (60,42 USD, 16,6 veces el BPA de los próximos 12 meses) descuenta que la empresa vuelva a crecer al 6 % anual o que sus márgenes superen el máximo de 2024-2025, según el DCF inverso. La historia adelantada de 2021-2025 tiene una mediana de 14,0 veces; los comparables, 15,1 [23, 24].</w:t>
      </w:r>
    </w:p>
    <w:p>
      <w:pPr>
        <w:spacing w:after="100"/>
      </w:pPr>
      <w:r>
        <w:t xml:space="preserve">El mercado acierta en la calidad y se adelanta en la recuperación. Para invertir hay que creer que los pedidos de clientes nuevos volverán a crecer pese a la IA en la búsqueda y a una competencia digital que sí crece. Hasta verlo, la rentabilidad a 12 meses es nula.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56,09 USD (4.214,76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 3,39 = 41,36 · 15,2x × 3,91 = 59,43 · 15,2x × 4,22 = 64,14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72,22 (nuestro base -17,7 %)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 USD (4.022,39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60,42 USD (4.540,13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 -32,5 %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11,1 %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60,98 USD (4.582,21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50,86 (3.821,76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50,86 y 64,99 (3.821,76 y 4.883,53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64,99 (4.883,53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Pedidos de clientes nuevos con crecimiento positivo en dos semestres seguidos: subiríamos el crecimiento del base.</w:t>
      </w:r>
    </w:p>
    <w:p>
      <w:pPr>
        <w:pStyle w:val="ListParagraph"/>
        <w:numPr>
          <w:ilvl w:val="0"/>
          <w:numId w:val="2"/>
        </w:numPr>
        <w:spacing w:after="60"/>
      </w:pPr>
      <w:r>
        <w:t xml:space="preserve">Ingresos por dólar de marketing por debajo de 7,5 USD en un semestre: pasaríamos al bajista y a Vender.</w:t>
      </w:r>
    </w:p>
    <w:p>
      <w:pPr>
        <w:pStyle w:val="ListParagraph"/>
        <w:numPr>
          <w:ilvl w:val="0"/>
          <w:numId w:val="2"/>
        </w:numPr>
        <w:spacing w:after="60"/>
      </w:pPr>
      <w:r>
        <w:t xml:space="preserve">Margen bruto por debajo del 31 % en el 2S26 o el 1S27: rebaja del BPA ≈ 10 %.</w:t>
      </w:r>
    </w:p>
    <w:p>
      <w:pPr>
        <w:pStyle w:val="ListParagraph"/>
        <w:numPr>
          <w:ilvl w:val="0"/>
          <w:numId w:val="2"/>
        </w:numPr>
        <w:spacing w:after="60"/>
      </w:pPr>
      <w:r>
        <w:t xml:space="preserve">Precio por debajo del límite de compra de la revisión a 12 meses con la tesis intacta: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pasó: la guía de agosto superó al consenso, los pedidos de clientes nuevos mejoraron del −9 % al −5 % y el BPA de 2027 vuelve a crecer; los analistas ven un 20 % de potencial [24].</w:t>
      </w:r>
    </w:p>
    <w:p>
      <w:pPr>
        <w:keepNext/>
        <w:spacing w:after="100"/>
      </w:pPr>
      <w:r>
        <w:rPr>
          <w:b/>
          <w:bCs/>
        </w:rPr>
        <w:t xml:space="preserve">Lo que creemos nosotros.</w:t>
      </w:r>
    </w:p>
    <w:p>
      <w:pPr>
        <w:spacing w:after="100"/>
      </w:pPr>
      <w:r>
        <w:t xml:space="preserve">Compartimos el beneficio (3,67 USD en 2027) pero no el múltiplo: una empresa que lleva tres años sin crecer, con el canal de captación amenazado por la IA, no debería volver a 19-20 veces sin pruebas.</w:t>
      </w:r>
    </w:p>
    <w:p>
      <w:pPr>
        <w:keepNext/>
        <w:spacing w:after="100"/>
      </w:pPr>
      <w:r>
        <w:rPr>
          <w:b/>
          <w:bCs/>
        </w:rPr>
        <w:t xml:space="preserve">Por qué podemos tener razón.</w:t>
      </w:r>
    </w:p>
    <w:p>
      <w:pPr>
        <w:spacing w:after="100"/>
      </w:pPr>
      <w:r>
        <w:t xml:space="preserve">La caída de clientes nuevos empezó antes de los aranceles (2024) y coincidió con el crecimiento de competidores digitales; la IA es una amenaza que el propio informe anual reconoce [1, 14].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Balance sin deuda</w:t>
      </w:r>
      <w:r>
        <w:t xml:space="preserve">: caja y depósitos de 136,9 M USD y circulante negativo [3].</w:t>
      </w:r>
    </w:p>
    <w:p>
      <w:pPr>
        <w:pStyle w:val="ListParagraph"/>
        <w:numPr>
          <w:ilvl w:val="0"/>
          <w:numId w:val="2"/>
        </w:numPr>
        <w:spacing w:after="60"/>
      </w:pPr>
      <w:r>
        <w:rPr>
          <w:b/>
        </w:rPr>
        <w:t xml:space="preserve">Rentabilidad del capital extraordinaria</w:t>
      </w:r>
      <w:r>
        <w:t xml:space="preserve">: 87 % antes de impuestos sobre el capital empleado [1].</w:t>
      </w:r>
    </w:p>
    <w:p>
      <w:pPr>
        <w:pStyle w:val="ListParagraph"/>
        <w:numPr>
          <w:ilvl w:val="0"/>
          <w:numId w:val="2"/>
        </w:numPr>
        <w:spacing w:after="60"/>
      </w:pPr>
      <w:r>
        <w:rPr>
          <w:b/>
        </w:rPr>
        <w:t xml:space="preserve">Dividendo del 4 %</w:t>
      </w:r>
      <w:r>
        <w:t xml:space="preserve"> (240 centavos) más extraordinarios con la caja sobrante [1].</w:t>
      </w:r>
    </w:p>
    <w:p>
      <w:pPr>
        <w:pStyle w:val="ListParagraph"/>
        <w:numPr>
          <w:ilvl w:val="0"/>
          <w:numId w:val="2"/>
        </w:numPr>
        <w:spacing w:after="60"/>
      </w:pPr>
      <w:r>
        <w:rPr>
          <w:b/>
        </w:rPr>
        <w:t xml:space="preserve">Líder del sector</w:t>
      </w:r>
      <w:r>
        <w:t xml:space="preserve"> por cuarto año, con 1.321,5 M USD de ventas en Norteamérica [14].</w:t>
      </w:r>
    </w:p>
    <w:p>
      <w:pPr>
        <w:pStyle w:val="ListParagraph"/>
        <w:numPr>
          <w:ilvl w:val="0"/>
          <w:numId w:val="2"/>
        </w:numPr>
        <w:spacing w:after="60"/>
      </w:pPr>
      <w:r>
        <w:rPr>
          <w:b/>
        </w:rPr>
        <w:t xml:space="preserve">Guías prudentes</w:t>
      </w:r>
      <w:r>
        <w:t xml:space="preserve">: 2025 y 2026 por encima del consenso [2, 3].</w:t>
      </w:r>
    </w:p>
    <w:p>
      <w:pPr>
        <w:pStyle w:val="Heading2"/>
      </w:pPr>
      <w:r>
        <w:t xml:space="preserve">En contra</w:t>
      </w:r>
    </w:p>
    <w:p>
      <w:pPr>
        <w:pStyle w:val="ListParagraph"/>
        <w:numPr>
          <w:ilvl w:val="0"/>
          <w:numId w:val="2"/>
        </w:numPr>
        <w:spacing w:after="60"/>
      </w:pPr>
      <w:r>
        <w:rPr>
          <w:b/>
        </w:rPr>
        <w:t xml:space="preserve">Captación de clientes en caída</w:t>
      </w:r>
      <w:r>
        <w:t xml:space="preserve">: pedidos de clientes nuevos −12 % en 2025 y −7 % en el 1S26 [3].</w:t>
      </w:r>
    </w:p>
    <w:p>
      <w:pPr>
        <w:pStyle w:val="ListParagraph"/>
        <w:numPr>
          <w:ilvl w:val="0"/>
          <w:numId w:val="2"/>
        </w:numPr>
        <w:spacing w:after="60"/>
      </w:pPr>
      <w:r>
        <w:rPr>
          <w:b/>
        </w:rPr>
        <w:t xml:space="preserve">Pérdida de cuota</w:t>
      </w:r>
      <w:r>
        <w:t xml:space="preserve">: −1,6 % en 2025 frente a +4,2 % del mercado [11, 14].</w:t>
      </w:r>
    </w:p>
    <w:p>
      <w:pPr>
        <w:pStyle w:val="ListParagraph"/>
        <w:numPr>
          <w:ilvl w:val="0"/>
          <w:numId w:val="2"/>
        </w:numPr>
        <w:spacing w:after="60"/>
      </w:pPr>
      <w:r>
        <w:rPr>
          <w:b/>
        </w:rPr>
        <w:t xml:space="preserve">IA en la búsqueda</w:t>
      </w:r>
      <w:r>
        <w:t xml:space="preserve">: la empresa la declara riesgo emergente; −15 % de BPA si el marketing rinde un 11 % menos.</w:t>
      </w:r>
    </w:p>
    <w:p>
      <w:pPr>
        <w:pStyle w:val="ListParagraph"/>
        <w:numPr>
          <w:ilvl w:val="0"/>
          <w:numId w:val="2"/>
        </w:numPr>
        <w:spacing w:after="60"/>
      </w:pPr>
      <w:r>
        <w:rPr>
          <w:b/>
        </w:rPr>
        <w:t xml:space="preserve">Aranceles</w:t>
      </w:r>
      <w:r>
        <w:t xml:space="preserve">: el 50 % de lo vendido se fabrica en China; margen bruto −1,3 puntos en el 1S26 [1, 3].</w:t>
      </w:r>
    </w:p>
    <w:p>
      <w:pPr>
        <w:pStyle w:val="ListParagraph"/>
        <w:numPr>
          <w:ilvl w:val="0"/>
          <w:numId w:val="2"/>
        </w:numPr>
        <w:spacing w:after="60"/>
      </w:pPr>
      <w:r>
        <w:rPr>
          <w:b/>
        </w:rPr>
        <w:t xml:space="preserve">Precio exigente para el crecimiento</w:t>
      </w:r>
      <w:r>
        <w:t xml:space="preserve">: el DCF inverso pide un 6,3 % anual frente al 4,1 % del base.</w:t>
      </w:r>
    </w:p>
    <w:p>
      <w:pPr>
        <w:pStyle w:val="Heading2"/>
      </w:pPr>
      <w:r>
        <w:t xml:space="preserve">Qué tiene que pasar para que la tesis funcione</w:t>
      </w:r>
    </w:p>
    <w:p>
      <w:pPr>
        <w:spacing w:after="100"/>
      </w:pPr>
      <w:r>
        <w:t xml:space="preserve">La tesis depende de una sola variable: los pedidos de clientes nuevos. Si en el avance de enero de 2027 y en el 1S27 vuelven a crecer con ingresos por dólar de marketing de al menos 7,7 USD, la captación funciona y el múltiplo se sostiene. Si siguen cayendo o el marketing rinde menos, la IA y la competencia digital están erosionando el modelo y el bajista (BPA de 3,39 USD en 2028) pasa a ser el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clientes nuevos (variación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 −5 %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dólar de marketing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 USD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 en la captación.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en la lista de ASI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1.321,5 M USD, −1,6 %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Crecer menos que el mercado otra vez</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ciclo de erosión.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11,6x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16,7x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 negocio nació en 1985 como Nelson Marketing, un catálogo de artículos promocionales fundado en Indiana y trasladado a Oshkosh (Wisconsin) en 1988 [36, 38]. La británica Bemrose Corporation, un grupo de impresión, lo compró a mediados de los noventa y en 2000 vendió las imprentas y cambió su nombre a 4imprint [37, 38]. Desde entonces es un distribuidor puro de artículos promocionales que vende en Norteamérica desde Oshkosh y cotiza en Londres. Dos decisiones explican la empresa de hoy: crecer solo de forma orgánica (nunca ha comprado competidores) y, desde 2021, pasar del catálogo y las muestras a la publicidad de marca en televisión y vídeo, que llevó el margen operativo del 6-7 % al 10-11 % [1, 5]. Las ventas superaron por primera vez los 1.000 M USD en 2022 y se estancaron en 2024-2026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Nelson Marketing, catálogo de artículos promocionales; en 1988 se traslada a Oshkosh (Wisconsin)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Bemrose Corporation compra el negocio como parte de su estrategia de promocionales [36,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Bemrose vende sus imprentas y pasa a llamarse 4imprint; cotiza con el nuevo nombre desde el 21-ago-2000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Lyons-Tarr, en la empresa desde 1991, pasa a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hunde las ventas un 35 % (560 M USD) y el beneficio antes de impuestos a 3,8 M; no se despide a la plantilla de atención y se mantiene el marketing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a la publicidad de marca (televisión y vídeo); ventas de 1.140 M en 2022 (+45 %) y dividendo extraordinario de 200 centavos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del riesgo del plan de pensiones británico con una póliza de anualidades; ventas de 1.327 M y margen operativo del 10,3 %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del centro de distribución de Oshkosh con placas solares (20 M USD); extraordinario de 250 centavos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−2 % y pedidos de clientes nuevos −12 % con los aranceles y la demanda floja de pymes; nueva directora financiera (Michelle Brukwicki)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Forman sustituye a Paul Moody como presidente; guía de agosto por encima del consenso pese a los aranceles [1, 3].</w:t>
            </w:r>
          </w:p>
        </w:tc>
      </w:tr>
    </w:tbl>
    <w:p>
      <w:pPr>
        <w:spacing w:after="160" w:before="0"/>
      </w:pPr>
    </w:p>
    <w:p>
      <w:pPr>
        <w:pStyle w:val="Heading1"/>
      </w:pPr>
      <w:r>
        <w:t xml:space="preserve">2. Modelo de negocio</w:t>
      </w:r>
    </w:p>
    <w:p>
      <w:pPr>
        <w:spacing w:after="100"/>
      </w:pPr>
      <w:r>
        <w:t xml:space="preserve">4imprint vende por internet, catálogo y teléfono artículos promocionales personalizados con el logotipo del cliente: ropa, bolsas, botellas y tazas, bolígrafos, tecnología, material para ferias y regalos de empresa [1]. El cliente tipo es una persona que encarga para una organización de 25 o más empleados (empresas, colegios, organizaciones benéficas, administraciones) en EE. UU. y Canadá (98 % de las ventas), y en el Reino Unido e Irlanda [1]. El modelo es de «envío directo»: la empresa capta el pedido y prepara el diseño, y el proveedor (sobre todo grandes proveedores de EE. UU.) imprime y envía; una parte creciente se borda o imprime en sus instalaciones de Oshkosh (Wisconsin) [1]. La promesa comercial «4imprint Certain» garantiza fecha de entrega, precio y satisfacción [1].</w:t>
      </w:r>
    </w:p>
    <w:p>
      <w:pPr>
        <w:pStyle w:val="Heading2"/>
      </w:pPr>
      <w:r>
        <w:t xml:space="preserve">Cómo gana dinero</w:t>
      </w:r>
    </w:p>
    <w:p>
      <w:pPr>
        <w:spacing w:after="100"/>
      </w:pPr>
      <w:r>
        <w:t xml:space="preserve">Gana el margen entre el precio de venta y el coste del producto que factura el proveedor: margen bruto del 32,4 % en 2025 (31,5 % en el 1S26) [1, 3]. De ese margen, 13 puntos se van en marketing (171 M USD en 2025), 4 en atención comercial y 5 en administración, y queda un margen operativo del 10,8 % [1]. Casi nada es contractual, pero es muy repetitivo: el 80 % de los pedidos son de clientes existentes [1]. El margen depende de la eficiencia del marketing (ingresos por dólar gastado), del coste del producto (aranceles) y del precio que el cliente acepta. Hay apalancamiento operativo moderado, porque el marketing se ajusta a la demanda, y algo de estacionalidad (el segundo semestre vende un 3-5 % más) [1,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e Irlanda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 e Irlanda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dispersa: más de 2 millones de pedidos al año, un valor medio de unos cientos de dólares y ningún cliente con peso relevante [1]. El 80 % de los pedidos (1.639.000 en 2025) viene de clientes que repiten; la retención se mantuvo con el mercado flojo [1]. El punto débil es la captación: 421.000 pedidos de clientes nuevos en 2025 (−12 %) frente a 529.000 en 2023, y 202.000 en el 1S26 (−7 %) [1, 3]. El poder de precios es demostrable pero limitado: el valor medio del pedido subió un 1 % en 2025 y un 3 % en el 1S26 al repercutir aranceles, sin recuperar todo el margen bruto (31,5 % frente a 32,8 %)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totales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1.040.000 (−1 %)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clientes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202.000 (−7 %; −9 % en el 1T y −5 % en el 2T)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clientes existentes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1.644.000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838.000, plano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medio del pedido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 en el 1S26 por precio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31,5 % en el 1S26 (32,8 % en el 1S25) por aranceles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por dólar de marketing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plano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7,75 en el 1S26; 8,30 en 2023 y 8,86 en 2022 [1,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de artículos promocionales con marca o logotipo (ropa, bolígrafos, bolsas, botellas, tecnología, material de ferias) a empresas y organizaciones en EE. UU. y Canadá, que es el 98 % de las ventas de 4imprint; el Reino Unido e Irlanda se suman aparte [1]. Usamos la cifra de ASI (ventas de los distribuidores en Norteamérica, 27.700 M USD en 2025), que es la que cita la propia empresa; la de PPAI (27.100 M, solo distribuidores de EE. UU., método distinto) sirve de contraste y da lo mismo en orden de magnitud [1, 11, 13]. El perímetro para la cuota es Norteamérica más el Reino Unido e Irlanda (≈ 1.300 M GBP, 1.700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27.700 M USD en Norteamérica en 2025 (ASI) [11]; 27.100 M USD solo EE. UU. (PPAI) [13]; ≈ 1.700 M USD en Reino Unido e Irlanda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Norteamérica, ventas de distribuidores según AS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marketing y contratación de las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del sector cayeron dos trimestres seguidos a principios de 2025 y subieron un 5,1 % en el 4T25; los pedidos de clientes nuevos de 4imprint cayeron un 12 % en 2025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y aranceles a productos de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90 % de los distribuidores subió precios en 2025 para compensar costes de importación; el 50 % de las ventas de 4imprint son productos hechos en China (60 % en 2024) [1,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Eventos presenciales, ferias y vuelta a la oficina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del sector cayeron un 20 % en 2020 y se recuperaron por encima de 2019 en 2022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hacia distribuidores con escala en marketing digital y marca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la mitad de las ventas de EE. UU. la hacen distribuidores con menos de 2,5 M USD de ventas; menos de 40 superan los 50 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Búsqueda con IA y diseño automático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añadió en 2025 como riesgo emergente los resúmenes con IA de los buscadores y la IA agéntica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distribuidores pequeños y grandes con catálogos parecidos; los grandes crecieron en 2025 (Custom Ink +15 %, BDA +17 %, Staples +4 %) mientras 4imprint caía un 1,6 %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dispersos (pedido medio de unos cientos de dólares; ningún cliente relevante), pero sin coste de cambio: comparan precio con facilidad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medianos de EE. UU. (Tier 1) que importan de Asia; 4imprint es su mayor cliente en muchos casos y negocia la repercusión de los aranceles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Abrir una tienda en línea es barato, pero ganar confianza y escala en marketing no: el gasto de marketing de 4imprint fue de 171 M USD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con otros usos del presupuesto de marketing (digital, eventos) y con compras directas en grandes plataformas de comercio electrónico [1].</w:t>
            </w:r>
          </w:p>
        </w:tc>
      </w:tr>
    </w:tbl>
    <w:p>
      <w:pPr>
        <w:spacing w:after="160" w:before="0"/>
      </w:pPr>
    </w:p>
    <w:p>
      <w:pPr>
        <w:pStyle w:val="Heading2"/>
      </w:pPr>
      <w:r>
        <w:t xml:space="preserve">Ciclo</w:t>
      </w:r>
    </w:p>
    <w:p>
      <w:pPr>
        <w:spacing w:after="100"/>
      </w:pPr>
      <w:r>
        <w:t xml:space="preserve">El sector salió de una fase floja: ASI midió +1,8 % en 2024 y +4,2 % en 2025, con dos trimestres de caída a principios de 2025 y +5,1 % en el 4T25, pero buena parte del crecimiento fue precio por los aranceles [11, 12]. En 2008-09 el sector cayó en torno a un 15-20 % y en 2020 un 20 %; 4imprint cayó un 35 % en 2020 y volvió a superar 2019 en 2022 [5]. En 2022 el sector creció con la vuelta a la oficina y la inflación. Los pedidos de clientes nuevos de 4imprint mejoraron en el 2T26 (−5 %), indicio de que lo peor de la demanda de pymes pasó [3].</w:t>
      </w:r>
    </w:p>
    <w:p>
      <w:pPr>
        <w:pStyle w:val="Heading2"/>
      </w:pPr>
      <w:r>
        <w:t xml:space="preserve">Regulación</w:t>
      </w:r>
    </w:p>
    <w:p>
      <w:pPr>
        <w:spacing w:after="100"/>
      </w:pPr>
      <w:r>
        <w:t xml:space="preserve">Lo que más mueve las cifras es la política arancelaria de EE. UU.: el Tribunal Supremo anuló los aranceles IEEPA el 20-feb-2026 y se ordenó devolverlos a los importadores; la Administración aplicó a continuación un recargo global temporal del 10-15 % (sección 122) sobre los aranceles de la sección 301 a China, que siguen [15, 16]. 4imprint no importa: compra a proveedores de EE. UU., que repercuten los costes; las devoluciones no le llegan directamente [3]. También pesan la normativa de privacidad de datos (marketing) y la de seguridad de productos (CPSIA, Proposición 65) [1].</w:t>
      </w:r>
    </w:p>
    <w:p>
      <w:pPr>
        <w:pStyle w:val="Heading2"/>
      </w:pPr>
      <w:r>
        <w:t xml:space="preserve">Tendencias y disrupción</w:t>
      </w:r>
    </w:p>
    <w:p>
      <w:pPr>
        <w:spacing w:after="100"/>
      </w:pPr>
      <w:r>
        <w:t xml:space="preserve">Tres tendencias. (1) Marca frente a marketing directo: 4imprint pasó del catálogo y los envíos de muestras a la publicidad de marca en televisión y vídeo y a los buscadores, con mejor rendimiento por dólar [1]. (2) Sustitución de la búsqueda tradicional por resúmenes con IA y agentes de compra, que puede reducir el tráfico de pago y orgánico hacia las tiendas en línea; la empresa no ve aún entrada de competidores basados en IA [1]. (3) Diversificación de fabricación fuera de China (el 50 % de las ventas frente al 60 % en 2024; 18 % de otros países asiáticos) [1]. La primera favorece al líder; la segunda es la mayor incógnita.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1.er distribuidor de artículos promocionales de Norteamérica por cuarto año (1.321,5 M USD en 2025 según ASI Counselor, ≈ 4,8 % de 27.700 M); top 5 en el Reino Unido [1,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HALO Branded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(Audax); venta con comerciales y crecimiento comprando distribuidores pequeños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Staples Promotional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de Staples (privada), venta a grandes cuentas; +4,0 % en 2025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Custom Ink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comercio electrónico de ropa personalizada con diseño en línea; +15,0 % en 2025: el competidor que más cuota gana en el canal digital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Proforma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propietarios franquiciados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marca para grandes empresas; +17,3 % en 2025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Cimpress (Vistaprint y National Pen)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CMPR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artículos promocionales en Norteamérica; el grupo factura 3737 M USD con margen EBITDA del 9 % y deuda neta alta [14,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Superior Group of Companies (BAMKO)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con la división de artículos de marca BAMKO; margen EBITDA del grupo 5 %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el cliente no gana nada porque otros compren en 4imprint.</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pero la retención es alta: los pedidos de clientes existentes se mantuvieron planos en 2025 con el mercado flojo (1.639.000)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en un sector sin marcas: ingresos por dólar de marketing de 7,86 USD frente a la norma de antes de 2020, y primera posición de ASI y PPAI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10,8 % frente al 5 % de margen EBITDA de Superior Group; escala en compras con proveedores Tier 1 y en marketing nacional que los distribuidores pequeños no pueden pagar [1,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 de distribución y bordado propios en Oshkosh, pero el mercado es lo bastante grande para varios distribuidores con escala (HALO, Staples, Custom Ink) [5].</w:t>
            </w:r>
          </w:p>
        </w:tc>
      </w:tr>
    </w:tbl>
    <w:p>
      <w:pPr>
        <w:spacing w:after="160" w:before="0"/>
      </w:pPr>
    </w:p>
    <w:p>
      <w:pPr>
        <w:pStyle w:val="Heading2"/>
      </w:pPr>
      <w:r>
        <w:t xml:space="preserve">Amenazas</w:t>
      </w:r>
    </w:p>
    <w:p>
      <w:pPr>
        <w:spacing w:after="100"/>
      </w:pPr>
      <w:r>
        <w:t xml:space="preserve">La erosión más probable viene del canal digital: Custom Ink (+15 %) y BDA (+17 %) crecieron en 2025 mientras 4imprint caía un 1,6 % [14], y los pedidos de clientes nuevos de 4imprint llevan dos años y medio cayendo [1, 3]. Si los resúmenes con IA y los agentes de compra reducen el valor de aparecer el primero en Google, la ventaja de escala en marketing pierde peso; probabilidad media a tres-cinco años. La competencia de plataformas generalistas (Amazon y Temu con personalización) es la segunda amenaza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14,4 %</w:t>
      </w:r>
      <w:r>
        <w:t xml:space="preserve">, EBITDA </w:t>
      </w:r>
      <w:r>
        <w:rPr>
          <w:b/>
          <w:bCs/>
        </w:rPr>
        <w:t xml:space="preserve">43,8 %</w:t>
      </w:r>
      <w:r>
        <w:t xml:space="preserve">, BPA </w:t>
      </w:r>
      <w:r>
        <w:rPr>
          <w:b/>
          <w:bCs/>
        </w:rPr>
        <w:t xml:space="preserve">49,8 %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Crecimiento 100 % orgánico: 4imprint no compra empresas [1]. Las ventas se recuperaron de la pandemia (787 M USD en 2021, +45 % en 2022 hasta 1.140 M y +16 % en 2023 hasta 1.327 M) y desde entonces están planas: +3 % en 2024 y −2 % en 2025 (1.347 M), con los pedidos de clientes nuevos −12 % en 2025 [1, 2]. El margen operativo pasó del 3,9 % de 2021 al 10,8 % de 2024 y 2025 por dos causas: margen bruto del 28,7 % al 32,4 % (precio y mezcla, más bordado e impresión propios) y eficiencia del marketing (ingresos por dólar de marketing de 7,86 USD frente a la norma de antes de 2020, gracias a la publicidad de marca) [1, 5]. En el 1S26 el margen bruto bajó al 31,5 % por los aranceles repercutidos por los proveedores y el margen operativo ajustado al 9,4 % [3]. FY2021 tuvo 53 semanas; el resto, 52.</w:t>
      </w:r>
    </w:p>
    <w:p>
      <w:pPr>
        <w:pStyle w:val="Heading2"/>
      </w:pPr>
      <w:r>
        <w:t xml:space="preserve">Ajustes y partidas no recurrentes</w:t>
      </w:r>
    </w:p>
    <w:p>
      <w:pPr>
        <w:spacing w:after="100"/>
      </w:pPr>
      <w:r>
        <w:t xml:space="preserve">Hasta 2025 no hubo partidas de ajuste: las cifras ajustadas y las publicadas coinciden [1]. En el 1S26 la empresa separa 5,2 M USD antes de impuestos (2,9 M en gastos operativos y 2,3 M netos en financieros; 5,1 M después de impuestos) por tratamientos fiscales inciertos: deja de considerar probable que se acepten ciertos tratamientos históricos del impuesto de sociedades, lo que recoloca pagos entre jurisdicciones (activo fiscal corriente de 19,0 M y pasivo de 19,5 M) y genera costes únicos de 4,6 M [3]. Es no recurrente y se excluye del BPA ajustado (173,2 frente a 155,1 centavos) y del LTM (2,9 M en el EBITDA de los últimos doce meses).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transcripciones; resume sus mensajes en las notas de resultados y en una retransmisión para analistas. En marzo de 2026 (resultados de 2025) el mensaje fue de resistencia: ventas −2 %, pedidos de clientes nuevos −12 % «constantes durante el año», margen operativo del 10,8 % sostenido por un margen bruto del 32,4 % y por la flexibilidad del marketing, y aviso de que los costes de los aranceles «se están repercutiendo» y podían afectar a ventas y márgenes de 2026 [2]. En agosto de 2026 (1S26) el tono mejoró: pedidos de clientes nuevos −9 % en el 1T y −5 % en el 2T, valor medio del pedido +3 % por subidas de precio «cuidadosamente consideradas», margen bruto del 31,5 % y guía de 2026 por encima de la horquilla de los analistas: ventas algo por encima de 1.350 M y beneficio antes de impuestos ajustado de ≈ 130 M [3]. Lo que no se cuantificó: cuánto margen bruto queda por recuperar con precio, qué parte del marketing va ya a buscadores con resúmenes de IA y por qué la cuota cae frente a Custom Ink, Staples o BDA, que crecieron en 2025 [1,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negativo (−21,3 M USD a fin de 2025 y −24,2 M en junio de 2026): existencias bajas (14,7 M) porque el modelo es de envío directo desde el proveedor, clientes que pagan con tarjeta y proveedores pagados a plazo [1, 3]. Por eso crecer genera caja. La caja y los depósitos oscilan con los dividendos extraordinarios (147,6 M en 2024, 132,8 M en 2025 tras pagar 73,1 M de extraordinario, 136,9 M en junio de 2026) [1, 3]. La política es no endeudarse y mantener caja suficiente para la inversión y el dividendo ordinario del año siguiente; el exceso se reparte con dividendos extraordinarios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437</w:t>
      </w:r>
      <w:r>
        <w:t xml:space="preserve">, conversión </w:t>
      </w:r>
      <w:r>
        <w:rPr>
          <w:b/>
          <w:bCs/>
        </w:rPr>
        <w:t xml:space="preserve">99 %</w:t>
      </w:r>
      <w:r>
        <w:t xml:space="preserve"> del beneficio neto; adquisiciones 0, dividendos 342, recompras 11.</w:t>
      </w:r>
    </w:p>
    <w:p>
      <w:pPr>
        <w:spacing w:after="100"/>
      </w:pPr>
      <w:r>
        <w:t xml:space="preserve">Conversión en caja muy alta: el flujo operativo subyacente fue de 158,0 M USD en 2025, el 109 % del resultado operativo (96 % en 2024) [1]. El capex es pequeño y en parte de expansión: 19,5 M en 2024 (ampliación del centro de distribución y placas solares, proyecto de 20 M) y 3,9 M en 2025; en 2026 ≈ 10 M por el traslado de las oficinas de Oshkosh al centro de distribución (7,4 M en el 1S26) [1, 3]. El capex de mantenimiento es del orden de la amortización (≈ 7 M, 0,5 % de las ventas; estimación propia). El flujo libre de la empresa (antes de dividendos) fue de 128,0 M en 2025 y 49,3 M en el 1S26 (74,6 M en el 1S25, con ganancias de cambio) [1, 3]. 2021 tuvo un flujo operativo de solo 11,4 M por la reconstrucción del circulante tras la pandemia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un solo negocio, sin compras, sin deuda, sin capitalización de desarrollo relevante (intangibles de software de ≈ 1 M) y sin partidas de ajuste hasta 2026 [1]. El único juicio contable crítico que señala la dirección es el reconocimiento de ingresos (agente o principal: 4imprint actúa como principal en pedidos que fabrican y envían los proveedores) [1]. La remuneración en acciones es pequeña (3,0 M USD en 2025, el 2 % del resultado operativo) [1]. La novedad es fiscal: en el 1S26 se reconocen 5,2 M de costes y un pasivo de 19,5 M por tratamientos del impuesto de sociedades que ya no se consideran probables de aceptar; la empresa los trata como no recurrentes [3]. EY audita desde el ejercicio 2019 (concurso de 2018) y habrá concurso en 2028 [1]. Altman y Beneish del motor: el capital invertido casi nulo hace que el Altman Z salga muy alto y que los índices de Beneish sean volátiles con pequeños cambios del circulante.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Tratamientos fiscales inciertos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fiscal de 19,5 M USD y costes únicos de 4,6 M; importe sujeto a cambio material en 12 meses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presionado por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31,5 % en el 1S26 frente a 32,8 % en el 1S25; no es contable, pero cambia la base del margen [3].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 M en 2025 (el 3 % del capital invertido medio); ha subido más de un 5 % en 0 de 4 años: sin compras. ROIC publicado 285,2 %; sin fondo de comercio, 292,9 %.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11,1 %.</w:t>
      </w:r>
    </w:p>
    <w:p>
      <w:pPr>
        <w:spacing w:after="100"/>
      </w:pPr>
      <w:r>
        <w:t xml:space="preserve">La rentabilidad sobre el capital es extraordinaria y lo es porque el negocio casi no usa capital: el circulante es negativo (los clientes pagan con tarjeta, los proveedores a plazo y no hay apenas existencias) y el inmovilizado se limita a 49 M USD de oficinas y centro de distribución [1]. Con la caja fuera, el ROIC del motor sale en el 285 % en 2025; con la caja dentro, la rentabilidad del capital empleado que publica la empresa es del 87 % antes de impuestos [1]. Cualquiera de las dos queda decenas de puntos por encima del WACC del 11,1 %: el crecimiento crea valor desde el primer dólar. Lo que mueve la rentabilidad es el margen (del 3,9 % de 2021 al 10,8 % de 2025), no la rotación. Frente a los cotizados del sector (Superior Group con margen EBITDA del 5 % y deuda, Cimpress con deuda neta de 4,6 veces el EBITDA) 4imprint está en otra liga [24, 35]. La duda no es la rentabilidad sino el crecimiento al que se aplica.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depósitos de 136,9 M USD al 27-jun-2026 + línea de circulante de 20 M USD con JPMorgan (SOFR + 1,6 %, hasta el 31-may-2030) y descubierto de 1 M GBP con Lloyds, sin disponer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solo arrendamientos de 2,9 M USD al 27-jun-2026 [3]. La línea de JPMorgan tiene covenants de beneficio neto mínimo y deuda/EBITDA, irrelevantes sin disposición [3]. Plan de pensiones de prestación definida en el Reino Unido cubierto con una póliza de anualidades desde 2023; la liquidación se inició en noviembre de 2025 y se espera cerrar en 2026 (activo de 0,3 M) [1]. Tratamientos fiscales inciertos: activo fiscal de 19,0 M, pasivo fiscal de 19,5 M y provisión de 5,7 M al 27-jun-2026, a usar en 12 meses; su importe «puede cambiar materialmente» [3]. No hay factoring ni confirming; los proveedores cobran en sus plazos y gran parte de los clientes pagan con tarjeta [1].</w:t>
      </w:r>
    </w:p>
    <w:p>
      <w:pPr>
        <w:pStyle w:val="Heading1"/>
      </w:pPr>
      <w:r>
        <w:t xml:space="preserve">12. Asignación de capital</w:t>
      </w:r>
    </w:p>
    <w:p>
      <w:pPr>
        <w:pStyle w:val="Confianza"/>
        <w:spacing w:after="100"/>
      </w:pPr>
      <w:r>
        <w:t xml:space="preserve">Confianza: Alta</w:t>
      </w:r>
    </w:p>
    <w:p>
      <w:pPr>
        <w:spacing w:after="100"/>
      </w:pPr>
      <w:r>
        <w:t xml:space="preserve">Prioridades declaradas: (1) inversión orgánica (marketing, personas, tecnología, instalaciones); (2) dividendo a cuenta y final que crece en línea con el BPA a lo largo del ciclo y que, como mínimo, se mantiene en una recesión; (3) compras de empresas, «no prioritarias a corto plazo»; (4) devolución del exceso de caja sobre la necesaria, sobre todo con dividendos extraordinarios [1]. Dividendo ordinario de 240 centavos por acción en 2024 y 2025 y a cuenta de 80 en 2026 [1, 3]; extraordinarios de 200 centavos (2022) y 250 (2024, pagado en junio de 2025, 73,1 M USD) [1]. No hay programa de recompras: la autocartera solo cubre los planes de empleados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dirección ha sido una asignadora de capital disciplinada: ningún deterioro ni compra fallida en diez años, todo el crecimiento orgánico y el exceso de caja devuelto. Entre 2021 y 2025 repartió ≈ 342 M USD en dividendos frente a ≈ 489 M de flujo operativo y ≈ 45 M de capex [1, 5, 6]. La dilución es nula (28,1-28,2 M de acciones diluidas desde 2021). La crítica posible es que no recompra acciones con la caja sobrante cuando la acción cae (como en 2025, a 13-15 veces beneficios), y que la inversión en marca, que se gasta en la cuenta, no se mide con un retorno publicado más allá de los ingresos por dólar de marketing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Lyons-Tarr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1991 (director de sistemas, director de operaciones) y presidente del negocio de marketing directo desde 2004; consejero delegado desde marzo de 2015. Con él las ventas pasaron de ≈ 550 M USD en 2015 a 1.347 M en 2025 y el margen operativo del ≈ 6 % al 10,8 %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Brukwicki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pública certificada, exdirectora financiera de TDS Telecom; más de 25 años en cotizadas. Directora financiera desde el 1-may-2025, sustituyendo a David Seekings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Forman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Exconsejero delegado de Essentra, Coats Group y Low &amp; Bonar; preside Topps Tiles. Consejero desde el 1-ene-2026 y presidente desde el 16-mar-2026, tras Paul Moody (presidente desde 2016)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Gibney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Britvic durante 17 años; preside la comisión de auditoría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creciendo a un ritmo similar al del 1S (+5 %) y beneficio antes de impuestos dentro de la horquilla de los analistas (ago-2024)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(1.367,9 M) y beneficio antes de impuestos de 154,4 M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de no menos de 149 M USD y ventas de 1.350 M (avance del 20-ene-2026, por encima de la horquilla de los analistas)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antes de impuestos de 150,8 M y ventas de 1.346,8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algo por encima de 1.350 M y beneficio antes de impuestos ajustado de ≈ 130 M (ago-2026), por encima de la horquilla de los analistas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(avance de enero de 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muchos años en la casa: el consejero delegado lleva 35 años en la empresa y once en el cargo, y tiene 271.523 acciones (≈ 12 M GBP, más de 20 veces su sueldo) [1]. La sucesión del director financiero (2025) y del presidente (2026) se hizo con relevos anunciados y periodos de solape [1]. La dirección es conservadora en sus guías: en 2025 y 2026 anunció resultados por encima de la horquilla de los analistas [2, 3]. El riesgo de sucesión está en el consejero delegado, que lleva el negocio de EE. UU. desde 2004; el informe anual no nombra sucesor.</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Forman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Lyons-Tarr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Brukwicki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Gibney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Christina Southall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Lindsay Beardsell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Jaz Rabadia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Remuneraciones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6,82 % en dic-2025 → 7,13 % en feb-2026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4,90 % en feb-2026, 5,03 % y de nuevo 4,97 % el 26-jun-2026 [1,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el 3-abr-2025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Montanaro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el 21-oct-2025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Lyons-Tarr 271.523 acciones, sin cambios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Michelle Brukwicki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para una empresa del FTSE 250: el consejero delegado cobró 775.045 USD en 2025 (sueldo de 571.784, bonus de 169.579 y nada del plan a largo plazo, que entregó su primer tramo en 2026) [1]. Sueldos de 2026: 582.000 USD el consejero delegado y 484.000 la directora financiera (+3 %) [1]. El bonus anual se paga en parte en acciones diferidas (plan DBP) y el plan a largo plazo (LTIP, desde 2023) mide el crecimiento del BPA y la rentabilidad total para el accionista, no el ROIC [1]. Hay cláusulas de recuperación (malus y clawback de hasta cinco años) y exigencia de tener acciones por el 200 % del sueldo [1]. El informe de remuneraciones de 2025 obtuvo un 95,21 % a favor y un 4,79 % en contra en la junta de 2025; la política, un 95,65 % [1].</w:t>
      </w:r>
    </w:p>
    <w:p>
      <w:pPr>
        <w:pStyle w:val="Heading2"/>
      </w:pPr>
      <w:r>
        <w:t xml:space="preserve">Operaciones vinculadas, estructura de control y defensas</w:t>
      </w:r>
    </w:p>
    <w:p>
      <w:pPr>
        <w:spacing w:after="100"/>
      </w:pPr>
      <w:r>
        <w:t xml:space="preserve">Sin accionista de control ni pactos: el mayor accionista es BlackRock con un 7,13 % y el capital está en manos de institucionales (≈ 87 %) [1]. Una acción, un voto; no hay clases de acciones, límites de voto ni blindajes estatutarios [1]. No hay operaciones vinculadas relevantes [1]. El tamaño (≈ 1.700 M USD de capitalización), la caja neta y el liderazgo del sector la harían atractiva para un comprador de capital riesgo, pero no hay ningún indicio de operación [21].</w:t>
      </w:r>
    </w:p>
    <w:p>
      <w:pPr>
        <w:pStyle w:val="Heading2"/>
      </w:pPr>
      <w:r>
        <w:t xml:space="preserve">Señales de alerta</w:t>
      </w:r>
    </w:p>
    <w:p>
      <w:pPr>
        <w:pStyle w:val="ListParagraph"/>
        <w:numPr>
          <w:ilvl w:val="0"/>
          <w:numId w:val="2"/>
        </w:numPr>
        <w:spacing w:after="60"/>
      </w:pPr>
      <w:r>
        <w:t xml:space="preserve">Ninguna relevante detectada tras revisar el informe anual 2025, los comunicados regulatorios de 12 meses y las operaciones de directivos; la única venta de directivos (directora financiera, junio de 2026) fue para pagar impuestos de una entrega de acciones [18,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5-ago-2026 (semestrales), «por encima de la horquilla de los analistas»: ventas de 2026 algo por encima de las de 2025 (1.350 M USD) y beneficio antes de impuestos ajustado de ≈ 130 M (150,8 M en 2025) [3]. Antes, el 20-may-2026, «en línea con lo esperado», ventas planas y pedidos −2 % en cuatro meses [3]. No hay objetivos a medio plazo publicados: la empresa retiró en 2023 su objetivo de 2.000 M USD de ventas al alcanzar el escalón de margen; la estrategia es ganar cuota con crecimiento orgánico «atractivo» [3]. El próximo avance (resultados de 2026) suele publicarse a finales de enero; resultados anuales en marzo de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(6 analistas) para ventas y BPA [24]; EBITDA, EBIT y DPA de MarketScreener (BPA 3,365, base publicada)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(6 analistas) [24]; MarketScreener (BPA 3,599)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57,56 – 78,57</w:t>
            </w:r>
          </w:p>
        </w:tc>
      </w:tr>
    </w:tbl>
    <w:p>
      <w:pPr>
        <w:spacing w:after="160" w:before="0"/>
      </w:pPr>
    </w:p>
    <w:p>
      <w:pPr>
        <w:pStyle w:val="Heading2"/>
      </w:pPr>
      <w:r>
        <w:t xml:space="preserve">Revisiones de estimaciones</w:t>
      </w:r>
    </w:p>
    <w:p>
      <w:pPr>
        <w:spacing w:after="100"/>
      </w:pPr>
      <w:r>
        <w:t xml:space="preserve">Tras la guía del 5-ago-2026, el BPA de 2026 del consenso subió de 3,12 USD hace 90 días a 3,48 y el de 2027 de 3,35 a 3,65 (+11 % y +9 %) [24]. Antes, en marzo de 2026, las estimaciones se habían recortado tras los resultados de 2025 y el aviso de aranceles (la acción cayó un 8,9 % ese día) [29]. Los objetivos de precio medios (5427 GBp, entre 4325 y 5904) están un 20 % por encima del precio [24]. Solo hay cinco o seis analistas (casas de bolsa de la empresa incluidas: Peel Hunt y Berenberg) y MarketScreener da un BPA de 2026 en base publicada (3,365, con las partidas fiscales) y Yahoo en base ajustada (3,48) [24,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en peniques subió un 48,6 % en 12 meses frente al +11,9 % del FTSE 250, pero en tres años apenas se movió (+0,7 % anual frente al +12,3 %) y en cinco y diez años batió al índice (+8,6 % y +10,4 % anual) [23]. La caída de 2024-2025 (−53,6 % desde el máximo de abril de 2024 al mínimo de abril de 2025) refleja el paso de crecer al 15 % a ventas planas y la caída de los pedidos de clientes nuevos; el rebote de 2026 viene de la guía de agosto, que sacó al BPA de su tendencia bajista [3, 23]. Beta de 1,0 mensual a cinco años frente al FTSE 250 (1,15 semanal; 1,52 semanal a dos años); Yahoo da 0,71 [23, 24]. Rentabilidad de precio sin dividendos; la rentabilidad por dividendo ordinario es de ≈ 4 % [24].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 +14,4 % / +17,9 % / +48,6 %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 +45,5 %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 a 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52 semanas (3.030 GBp el 20-oct-2025) con el avance del 20-ene-2026: resultados de 2025 por encima de la horquilla de los analistas [21,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(11-mar): beneficio −2 % y aviso de que los aranceles se repercuten en 2026; −8,9 % el día y −6,9 % el 11-mar en cierre [23,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Semestrales del 5-ago: guía de 2026 por encima de los analistas (beneficio antes de impuestos ajustado ≈ 130 M) y mejora de los pedidos de clientes nuevos en el 2T; +10 % el día, mejor valor del FTSE 250, y subida previa en julio [3, 23,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Recogida de beneficios tras la subida de agosto, con el ex-dividendo de 59,4 peniques a mediados de agosto; sin comunicado de la empresa entre el 5-ago y el 19-oct [21,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Semestrales: ventas +1 %, beneficio antes de impuestos ajustado −12 % y guía de 2026 por encima del consenso (≈ 130 M); 5,2 M de partidas fiscales no recurrentes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2026 del consenso sube un 11 % en 90 días; objetivo medio 5427 GBp, cuatro de cinco analistas recomiendan comprar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FMR (Fidelity) baja del 5,03 % al 4,97 %; BlackRock subió al 7,13 % en febrero. Movimientos pequeños, sin colocación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directora financiera recibe 9.371 acciones del LTIP y vende 4.399 para impuestos (≈ 37 GBP); el consejero delegado no vende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Forman sustituye a Paul Moody como presidente (relevo anunciado el 3-dic-2025)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siguen los de la sección 301 a China y un recargo global temporal; 4imprint no importa directamente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2027-01-20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resultados de 2026 hacia el 20-ene-2027 (el de 2025 fue el 20-ene-2026) y resultados anuales en marzo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48,6 % en 12 meses y está un 9,2 % por debajo del máximo de 52 semanas (5.135 GBp el 7-ago), sin avisos P de la herramienta. La subida tiene causa en hechos de la empresa (avance de enero, guía de agosto) y la caída de agosto-septiembre es recogida de beneficios sin noticia [3, 21]. No hay hechos pendientes que puedan mover el precio más de un 5 % en contra (ninguna colocación, ampliación, litigio ni oferta); la incertidumbre arancelaria es continua y ya está en la tesis.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Cierres de cada año en peniques de Yahoo pasados a USD con el GBPUSD del mismo día [23], para compararlos con el BPA en USD. El PER de los últimos 12 meses de 2021 (≈ 47 veces el BPA de 2021, todavía deprimido por la pandemia) se excluye. Con el BPA del año siguiente (la base de la regla a 12 meses) el múltiplo ha estado entre 13 y 15 veces desde 2021, frente a 15-20 antes de la pandemia, cuando la empresa crecía a doble dígito: el mercado ya paga a 4imprint como una empresa de crecimiento bajo [1, 23].</w:t>
      </w:r>
    </w:p>
    <w:p>
      <w:pPr>
        <w:pStyle w:val="Heading1"/>
      </w:pPr>
      <w:r>
        <w:t xml:space="preserve">18. Comparables cotizados</w:t>
      </w:r>
    </w:p>
    <w:p>
      <w:pPr>
        <w:pStyle w:val="Confianza"/>
        <w:spacing w:after="100"/>
      </w:pPr>
      <w:r>
        <w:t xml:space="preserve">Confianza: Media</w:t>
      </w:r>
    </w:p>
    <w:p>
      <w:pPr>
        <w:spacing w:after="100"/>
      </w:pPr>
      <w:r>
        <w:t xml:space="preserve">No hay otro distribuidor de artículos promocionales cotizado y puro: HALO, Staples Promotional Products, Custom Ink, Proforma y BDA son privados [5 de B]. Usamos los cotizados más cercanos por producto o por modelo: Cimpress (Vistaprint y National Pen) y Superior Group (BAMKO), que venden artículos de marca; Ennis y Deluxe, impresión y productos de marca para empresas; y distribuidores B2B por internet y catálogo con modelo parecido de captación y envío (Global Industrial, MSC Industrial, RS Group, Bunzl) [24]. Ninguno tiene caja neta y circulante negativo como 4imprint.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4imprint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Cimpress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Superior Group of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Ennis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Deluxe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Industrial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10,9x / 15,2x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15,1x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1,2x / 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4imprint cotiza a ≈ 16-17 veces el BPA adelantado, por encima de la mediana de los comparables (15,100000000000001x) y con menos crecimiento esperado de ventas (+1,8 % en 2027 frente a +4-5 % de los distribuidores B2B) [24]. La prima se justifica por el balance (caja neta de 134 M USD frente a deuda en casi todos los comparables), la conversión en caja y un ROIC muy superior; no por el crecimiento. Deluxe (5,6x) es un caso aparte por su deuda y su negocio de cheques en declive y distorsiona la media, no la mediana. Usaríamos el PER, porque los EV/EBITDA de Yahoo mezclan bases [24].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+0,8 % (guía de ventas «algo por encima» de 1.350 M) [3]. Después, +2,5 % en 2027 (consenso +1,8 %) y +4,5-5 % en 2028-2030, por debajo del 14,4 % anual de 2021-2025, que estaba inflado por la salida de la pandemia, y del ≈ 10 % anual de 2010-2019 [1, 5]. Hipótesis: los pedidos de clientes nuevos dejan de caer en 2027 (−5 % en el 2T26) y el precio aporta 2 puntos al año, el ritmo de 2025-2026 [3]. El mercado crece ≈ 3,5 % y la cuota apenas sube del 4,6 % al 4,7 %. Crecimiento terminal del 3,0 % (inflación de EE. UU. de ≈ 2,5 % y algo de volumen).</w:t>
      </w:r>
    </w:p>
    <w:p>
      <w:pPr>
        <w:keepNext/>
        <w:spacing w:after="100"/>
      </w:pPr>
      <w:r>
        <w:rPr>
          <w:b/>
          <w:bCs/>
        </w:rPr>
        <w:t xml:space="preserve">Márgenes.</w:t>
      </w:r>
    </w:p>
    <w:p>
      <w:pPr>
        <w:spacing w:after="100"/>
      </w:pPr>
      <w:r>
        <w:t xml:space="preserve">Margen EBITDA del 9,8 % en 2026 (margen operativo ajustado del 9,25 % de la guía más 0,55 puntos de amortizaciones), subiendo al 10,75 % en 2030, todavía por debajo del 11,3 % de 2024-2025 [1, 3]. Suponemos que la repercusión de los aranceles devuelve parte del margen bruto (31,5 % en el 1S26 frente al 32,4 % de 2025) y que la eficiencia del marketing se mantiene en ≈ 7,8 USD de ventas por dólar; no suponemos la vuelta al pico porque la IA en los buscadores puede encarecer la captación (riesgo principal).</w:t>
      </w:r>
    </w:p>
    <w:p>
      <w:pPr>
        <w:keepNext/>
        <w:spacing w:after="100"/>
      </w:pPr>
      <w:r>
        <w:rPr>
          <w:b/>
          <w:bCs/>
        </w:rPr>
        <w:t xml:space="preserve">Inversión y circulante.</w:t>
      </w:r>
    </w:p>
    <w:p>
      <w:pPr>
        <w:spacing w:after="100"/>
      </w:pPr>
      <w:r>
        <w:t xml:space="preserve">Capex del 1,0 % de las ventas en 2026 (traslado de las oficinas de Oshkosh, ≈ 13 M) y del 0,6 % después, algo por encima de la amortización (0,55 %) [1, 3]. Circulante del −1,6 % de las ventas, el de 2025 (−21,3 M): crecer libera algo de caja [1]. Los arrendamientos son mínimos (2,9 M) y van en el puente. Tipo impositivo del 25 %, el efectivo de 2024-2026 [1, 3].</w:t>
      </w:r>
    </w:p>
    <w:p>
      <w:pPr>
        <w:keepNext/>
        <w:spacing w:after="100"/>
      </w:pPr>
      <w:r>
        <w:rPr>
          <w:b/>
          <w:bCs/>
        </w:rPr>
        <w:t xml:space="preserve">Coste del capital.</w:t>
      </w:r>
    </w:p>
    <w:p>
      <w:pPr>
        <w:spacing w:after="100"/>
      </w:pPr>
      <w:r>
        <w:t xml:space="preserve">Todo en USD, la divisa de los flujos. Tasa libre del 5,09 % (bono del Tesoro de EE. UU. a 10 años del 16-oct-2026) [26]; beta de 1,0 (mensual a cinco años frente al FTSE 250; la semanal a dos años da 1,52 y Yahoo 0,71) [23, 24]; prima de mercado del 5,5 % y prima adicional de 0,5 puntos por tamaño (≈ 1.700 M USD) y concentración en un solo canal de captación. Sin deuda: WACC = coste del capital = 11,09 %. Con la prima implícita del mercado (4,2 %) el WACC sería del 9,8 % [27].</w:t>
      </w:r>
    </w:p>
    <w:p>
      <w:pPr>
        <w:keepNext/>
        <w:spacing w:after="100"/>
      </w:pPr>
      <w:r>
        <w:rPr>
          <w:b/>
          <w:bCs/>
        </w:rPr>
        <w:t xml:space="preserve">Valor terminal.</w:t>
      </w:r>
    </w:p>
    <w:p>
      <w:pPr>
        <w:spacing w:after="100"/>
      </w:pPr>
      <w:r>
        <w:t xml:space="preserve">Gordon con crecimiento del 3,0 %, entre la inflación esperada en USD y la tasa libre menos medio punto. El valor terminal pesa un 58 % del DCF. El múltiplo implícito (≈ 9-10 veces el EBITDA de salida) queda por debajo de la mediana de los comparables y del EV/EBITDA actual de 11,1x, porque la WACC del 11 % es exigente; con la prima del mercado el DCF sube a 63,60 USD.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 (reinvierte el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frente al 3,7 %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(hoy: 4,6 %)</w:t>
            </w:r>
          </w:p>
        </w:tc>
      </w:tr>
    </w:tbl>
    <w:p>
      <w:pPr>
        <w:spacing w:after="160" w:before="0"/>
      </w:pPr>
    </w:p>
    <w:p>
      <w:pPr>
        <w:spacing w:after="100"/>
      </w:pPr>
      <w:r>
        <w:t xml:space="preserve">La proyección apenas necesita inversión neta de la amortización (reinversión acumulada de 6 M, el 1 % del NOPAT, con un capex bruto medio del 0,7 % de las ventas). En un negocio de activos ligeros, el crecimiento medio del 3,7 % tiene que salir de subir precios y de ganar volumen sin capital nuevo, y la prueba es el poder de precios y la cuota (4,7 % del mercado en 2033e, frente al 4,6 %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−1 % en el 1S26 y valor medio +3 % por precio (1S25: pedidos −3 %, de 1,085 a 1,054 millones) [3, 7]; guía de ventas algo por encima de 2025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clientes nuevos estabilizados, existentes planos; precio +2 % (repercusión de aranceles)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ganar volumen con el mercado (+3,5 %) y la marca; precio +2 % (inflación)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cuota modesta (del 4,6 % al 4,7 % en 2033) [11,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 sin compras [1].</w:t>
            </w:r>
          </w:p>
        </w:tc>
      </w:tr>
    </w:tbl>
    <w:p>
      <w:pPr>
        <w:spacing w:after="160" w:before="0"/>
      </w:pPr>
    </w:p>
    <w:p>
      <w:pPr>
        <w:spacing w:after="100"/>
      </w:pPr>
      <w:r>
        <w:t xml:space="preserve">La calidad financia de sobra el crecimiento proyectado (3,7 % medio): no necesita capital y la cuota final (4,7 %) apenas sube. Pero el motor del crecimiento, la captación de clientes nuevos, lleva dos años y medio fallando: los pedidos de clientes nuevos cayeron un 12 % en 2025 y un 7 % en el 1S26, y la empresa perdió cuota en 2025 (−1,6 % frente a +4,2 % del mercado) mientras Custom Ink (+15 %) y BDA (+17 %) ganaban [3, 11, 14]. El foso (marca y escala en marketing) es estrecho y el canal digital por el que entra el cliente nuevo cambia con la IA. Por eso no basta con decir que se financia: el «Sí» exigiría ver dos semestres seguidos con pedidos de clientes nuevos al alza. El caso base no se rebaja porque ninguna prueba numérica falla y ya proyecta menos crecimiento que la historia; el veredicto queda en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 (base: 10,8 %)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(WACC: 11,1 %)</w:t>
            </w:r>
          </w:p>
        </w:tc>
      </w:tr>
    </w:tbl>
    <w:p>
      <w:pPr>
        <w:spacing w:after="160" w:before="0"/>
      </w:pPr>
    </w:p>
    <w:p>
      <w:pPr>
        <w:spacing w:after="100"/>
      </w:pPr>
      <w:r>
        <w:t xml:space="preserve">El DCF da 54,04 USD por acción (4.061 GBp), un 10,6 % por debajo del precio, con un WACC del 11,09 % y un valor terminal del 58 %. El DCF inverso dice que el precio de 60,42 USD descuenta un crecimiento anual del 6,3 % en 2027e-2033e (nuestro base: 4,1 %) o un margen EBITDA del 12,1 % (nuestro base: 10,8 %), y una rentabilidad implícita del 10,2 %, por debajo de nuestro coste de capital (11,1 %) y por encima del que hoy pide el mercado (9,8 %). Es decir, el precio no es exigente frente al mercado (con su prima, el DCF da 63,60 USD), pero sí frente a una empresa que lleva tres años sin crecer: pide volver a crecer al 6 % anual, más que el mercado, o márgenes por encima de su máximo de 2024-2025. Lo primero exige que la captación de clientes se recupere, justo lo que la IA en los buscadores pone en duda. Conservador frente a la historia larga (crecimiento del 10 % anual en 2010-2019), exigente frente a la reciente.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pymes sigue floja y la IA reduce el rendimiento de los buscadores: los clientes nuevos caen otros dos años, las ventas crecen un 0,5 % en 2027 y un 2,5 % en 2028 y el margen EBITDA pierde un punto (marketing más caro y aranceles sin repercutir del todo), como en 2020 o en el 1S26. WACC +0,5 puntos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captación deja de caer en 2027, el precio aporta 2 puntos al año y las ventas vuelven a crecer al 4,5-5 % desde 2028; el margen EBITDA se recupera hasta el 10,75 % sin volver al pico de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pedidos de clientes nuevos vuelven a crecer en 2027 (como en 2023), las ventas aceleran 1,5 puntos por encima del base y el margen recupera medio punto con la marca y el bordado propio; la empresa vuelve a ganar cuota como antes de 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52,49 USD (-13,1 %).</w:t>
      </w:r>
    </w:p>
    <w:p>
      <w:pPr>
        <w:spacing w:after="100"/>
      </w:pPr>
      <w:r>
        <w:t xml:space="preserve">La asimetría es desfavorable con nuestro coste de capital: el bajista pierde un 32,5 % (40,78 USD) y el alcista apenas gana un 1,1 % (61,08 USD), así que el precio ya descuenta casi el escenario alcista. Con la prima de riesgo del mercado la lectura mejora (bajista 46,78, alcista 72,17 USD), pero sigue sin compensar: el valor ponderado (60,98 USD) es el precio. El bajista no es cosmético: ya ocurrió en el 1S26 (margen operativo −1,3 puntos) y la caída de clientes nuevos dura desde 2024.</w:t>
      </w:r>
    </w:p>
    <w:p>
      <w:pPr>
        <w:pStyle w:val="Heading1"/>
      </w:pPr>
      <w:r>
        <w:t xml:space="preserve">22. Suma de partes</w:t>
      </w:r>
    </w:p>
    <w:p>
      <w:pPr>
        <w:pStyle w:val="Confianza"/>
        <w:spacing w:after="100"/>
      </w:pPr>
      <w:r>
        <w:t xml:space="preserve">Confianza: Alta</w:t>
      </w:r>
    </w:p>
    <w:p>
      <w:pPr>
        <w:spacing w:after="100"/>
      </w:pPr>
      <w:r>
        <w:t xml:space="preserve">No aplica: un solo negocio (marketing directo de artículos promocionales); el Reino Unido e Irlanda son el 2 % de las ventas y no ganan dinero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6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53,53 USD (-11,4 % sobre 60,42).</w:t>
      </w:r>
    </w:p>
    <w:p>
      <w:pPr>
        <w:spacing w:after="100"/>
      </w:pPr>
      <w:r>
        <w:t xml:space="preserve">Pesos: DCF 40 %, escenarios 40 % y comparables 20 %. El DCF es el método más fiable en un negocio sin deuda, con caja estable y sin compras; los escenarios recogen la asimetría de la captación de clientes. Los comparables pesan poco porque no hay ningún cotizado puro y todos tienen deuda; además dan un rango alto (49,81-62,74 USD por PER) que no cambia la conclusión. No hay transacciones con precio. La dispersión es pequeña: todos los métodos, salvo el EV/EBITDA de la parte alta, quedan entre 49 y 61 USD, por debajo o al nivel del precio. Con la prima del mercado el valor objetivo es de 60,98 USD (+0,9 %): la empresa no está cara frente al mercado, pero tampoco ofrece rentabilidad.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(16.6x) a mitad de camino hacia abajo, hacia la mediana de 5 años (14x)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spacing w:after="100"/>
      </w:pPr>
      <w:r>
        <w:rPr>
          <w:b/>
          <w:bCs/>
        </w:rPr>
        <w:t xml:space="preserve">Objetivo a 12 meses (ponderado):</w:t>
      </w:r>
      <w:r>
        <w:t xml:space="preserve"> 56,09 USD (4.214,76 GBp) · rentabilidad -3,2 % (base +2,3 %) · señal Mantener.</w:t>
      </w:r>
    </w:p>
    <w:p>
      <w:pPr>
        <w:spacing w:after="100"/>
      </w:pPr>
      <w:r>
        <w:t xml:space="preserve">Para comparar, con la regla v2 (historia al cierre, mismo precio): 12,8x / 15,1x / 18,2x, 2,6 %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(3,67 USD) coincide con el del consenso (3,65) y el de 2028e (3,91) supera en un 5 % al de MarketScreener (3,71), porque suponemos que las ventas vuelven a crecer un 4,5 % en 2028 (consenso +2,9 %) [24, 25]. La diferencia grande está en el múltiplo: el objetivo medio de los analistas (72,22 USD, 5.427 GBp) equivale a ≈ 19-20 veces el BPA de 2027, mientras la historia adelantada de 2021-2025 tiene una mediana de 14,0 veces y la regla común lleva el PER de 16,6 a 15,2. Nuestro precio base (59,43 USD) queda un 17,7 % por debajo del objetivo medio, fuera de su rango por abajo (mínimo 57,56 USD) solo en el bajista.</w:t>
      </w:r>
    </w:p>
    <w:p>
      <w:pPr>
        <w:keepNext/>
        <w:spacing w:after="100"/>
      </w:pPr>
      <w:r>
        <w:rPr>
          <w:b/>
          <w:bCs/>
        </w:rPr>
        <w:t xml:space="preserve">Del valor intrínseco al objetivo a 12 meses.</w:t>
      </w:r>
    </w:p>
    <w:p>
      <w:pPr>
        <w:spacing w:after="100"/>
      </w:pPr>
      <w:r>
        <w:t xml:space="preserve">El objetivo a 12 meses (56,09 USD ponderado, 4.215 GBp) y el valor intrínseco (53,53 USD) cuentan lo mismo: el precio de hoy (60,42 USD) ya paga la recuperación. La distancia entre ambos es pequeña (5 %), así que no hay tesis a varios años que el mercado no vea. Para que la acción suba un 15 % en un año harían falta dos cosas a la vez: BPA de 2028 por encima de 4,2 USD (el alcista) y un múltiplo de vuelta a 16-17 veces, lo que solo justificaría una vuelta clara al crecimiento de clientes nuevos en los avances de enero y agosto de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20-ene-2027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resultados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 130 M de beneficio antes de impuestos ajustado y pedidos de clientes nuevos en positivo en el 4T, el consenso de 2027 sube.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 posible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&gt; 150 M USD la empresa suele repartir un extraordinario (200-250 centavos en 2022 y 2024)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arancelaria de EE. UU. (sección 301 a China, recargos globales, devoluciones IEEPA a los proveedores)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son ≈ 13,5 M USD de resultado operativo (≈ 10 % del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avance de cuatro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pedidos de clientes nuevos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recuperación de la captación y del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Liquidación del plan de pensiones británico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un pasivo heredado; efecto en caja pequeño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cambia la búsqueda y encarece la captación de clientes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(escenario bajista: −32,5 %)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(la mayor parte del marketing es ya de marca, no de búsqueda) y 80 % de pedidos de clientes que repiten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dólar de marketing por debajo de 7,5 USD o pedidos de clientes nuevos cayendo más del 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prolongada de la demanda de pymes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marketing es flexible y se recorta con la demanda; caja neta de 134 M USD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totales cayendo más de un 3 % o recortes de empleo en pymes.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a productos chinos sin repercusión completa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de 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bruto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50 % de las ventas ya no es de China y los proveedores Tier 1 comparten el coste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31 %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competidores digitales (Custom Ink, BDA) y plataformas generalistas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servicio «4imprint Certain» y precio garantizado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4imprint por debajo del del mercado de ASI dos años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operativa en Oshkosh y en proveedores Tier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continuidad, varios proveedores por categoría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en el centro de distribución o fallos de un proveedor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fiscal por tratamientos inciertos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provisionado (19,5 M de pasivo y 4,6 M de costes)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al alza del importe en los resultados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dividendos en libras y acción en peniques con negocio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GBP por cada 5 % de GBPUSD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inversor en euros tiene exposición al dólar; la empresa no cubre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GBPUSD.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directivo reforzado en 2023-2025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retiro sin sucesor interno.</w:t>
            </w:r>
          </w:p>
        </w:tc>
      </w:tr>
    </w:tbl>
    <w:p>
      <w:pPr>
        <w:spacing w:after="160" w:before="0"/>
      </w:pPr>
    </w:p>
    <w:p>
      <w:pPr>
        <w:pStyle w:val="Heading2"/>
      </w:pPr>
      <w:r>
        <w:t xml:space="preserve">Pre-mortem</w:t>
      </w:r>
    </w:p>
    <w:p>
      <w:pPr>
        <w:spacing w:after="100"/>
      </w:pPr>
      <w:r>
        <w:t xml:space="preserve">Octubre de 2029: la acción vale un 40 % menos. Lo que pasó: en 2027 los pedidos de clientes nuevos siguieron cayendo pese a la mejora de la economía, porque Google y los asistentes de IA empezaron a responder «dónde comprar 500 bolsas con logo» con agentes que comparan precios y diseñan el artículo, y el clic de pago que 4imprint compraba a 7,8 USD de ventas por dólar pasó a 6,5. La empresa defendió el margen recortando marketing, y los clientes nuevos cayeron más; los existentes, que eran el 80 % de los pedidos, empezaron a irse a plataformas con diseño automático (Custom Ink, Vistaprint). Las ventas cayeron a 1.250 M USD en 2028 y el margen operativo al 8 %, con BPA de 2,7 USD; el mercado dejó de pagar 15 veces y pagó 12. Las señales que lo habrían anticipado: ingresos por dólar de marketing por debajo de 7,5 USD en el 1S27, pedidos de clientes nuevos sin volver a crecer en 2027 y la cuota de 4imprint en la lista de ASI cayendo por tercer año.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Amenaza · </w:t>
      </w:r>
      <w:r>
        <w:rPr>
          <w:b/>
          <w:bCs/>
        </w:rPr>
        <w:t xml:space="preserve">Efecto en valor (3-5 años):</w:t>
      </w:r>
      <w:r>
        <w:t xml:space="preserve"> −15 %</w:t>
      </w:r>
    </w:p>
    <w:p>
      <w:pPr>
        <w:spacing w:after="100"/>
      </w:pPr>
      <w:r>
        <w:t xml:space="preserve">La IA toca el centro del modelo: 4imprint gana porque capta clientes por internet y su marca más barato que los distribuidores pequeños, y el 13 % de sus ventas (171 M USD) es marketing [1]. Tres vías: (1) los resúmenes con IA de Google reducen los clics a tiendas y pueden encarecer la búsqueda de pago (la empresa lo declara riesgo emergente desde 2025) [1]; (2) los agentes de compra pueden comparar precios entre distribuidores y comoditizar el servicio; (3) el diseño automático favorece a plataformas de autoservicio (Custom Ink +15 % en 2025) frente al servicio humano de arte gratuito de 4imprint [14]. A favor: el sector solo vende a través de distribuidores, la marca reduce la dependencia de Google y la IA puede abaratar el 4 % de las ventas que cuesta la atención comercial. Cuantificación: si las ventas por dólar de marketing bajan de 7,86 a 7,0 USD, el marketing pasa del 12,7 % al 14,3 % de las ventas y el BPA cae ≈ 15 %. Señal: ingresos por dólar de marketing y pedidos de clientes nuevos de cada semestre.</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afectan a las cifras. (1) Cadena de suministro: el 50 % de las ventas son productos fabricados en China (60 % en 2024), y el riesgo de trabajo forzoso (ley UFLPA de EE. UU.) puede bloquear importaciones de los proveedores; el 88 % del gasto está con proveedores que comparten información y la empresa financió once auditorías en 2025 [1]. (2) Emisiones: alcance 1 y 2 pequeños (oficinas y centro de distribución con placas solares) y objetivos de reducción fijados en 2025; el alcance 3 está en los productos [1]. (3) Seguridad del producto (CPSIA, Proposición 65 de California): retiradas puntuales que dañarían una marca cuya promesa es la certeza [1].</w:t>
      </w:r>
    </w:p>
    <w:p>
      <w:pPr>
        <w:pStyle w:val="Heading2"/>
      </w:pPr>
      <w:r>
        <w:t xml:space="preserve">Controversias</w:t>
      </w:r>
    </w:p>
    <w:p>
      <w:pPr>
        <w:spacing w:after="100"/>
      </w:pPr>
      <w:r>
        <w:t xml:space="preserve">No hemos encontrado sanciones, litigios materiales ni incidentes en los últimos tres años en el informe anual 2025 ni en los comunicados regulatorios de 12 meses [1, 21]. La única cuestión abierta es fiscal: los tratamientos del impuesto de sociedades que la empresa dejó de considerar probables en el 1S26 (pasivo de 19,5 M USD), que no es una sanción [3].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clientes nuevos llega hoy por búsqueda orgánica y de pago, y cómo ha cambiado el coste por cliente nuevo desde que Google amplió los resúmenes con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entre el escenario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4imprint perdió cuota en 2025 (−1,6 % frente a +4,2 % del mercado) mientras Custom Ink y BDA crecían más de un 15 %?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ciclo de las pymes de un problema propio del modelo.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margen bruto quedan por recuperar con precio y qué parte de las devoluciones IEEPA de los proveedores se trasladará a 4imprint?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bruto es ≈ 10 %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retorno medido de la publicidad de marca frente a la búsqueda, y a qué nivel de ventas por dólar de marketing recortaría la empresa la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margen sostenible.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recompra acciones cuando la caja supera lo necesario y la acción cotiza a 13-15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130-150 M de caja, una recompra sumaría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tratamientos fiscales se discuten y puede el pasivo de 19,5 M crecer con otros ejercicios?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partida contable abierta.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¿Mantiene la dirección algún objetivo de ventas a medio plazo tras retirar el de 2.000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él, el mercado no tiene ancla para el crecimiento.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UK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 a 4imprint como compañía de calidad del FTSE 250 con rentabilidades a largo plazo muy altas y la ve barata tras la caída de 2025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 Bell (noticias para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la subida de la guía y el mayor valor del pedido por precio; el margen bruto presionado por aranceles aparece como el matiz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Hargreaves Lansdown (noticias para clientes)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guía «pese a los aranceles»; sin entrar en la caída de clientes nuevos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Kalkine Media y DirectorsTalk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Repasan la demanda de clientes del semestre, el dividendo (≈ 4 %) y el potencial frente al objetivo medio de los analistas [33,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caja neta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240 centavos ordinarios y caja de 136,9 M USD sin deuda; el dividendo cubre ≈ 1,4 veces el BPA de 2026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la demanda de pymes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clientes nuevos mejoraron (−9 % → −5 %) pero siguen cayendo; el informe no supone recuperación plena hasta 2028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bajó 1,3 puntos en el 1S26; la repercusión de precios ha funcionado en parte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la IA en la captación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no aparece en el debate de particulares, aunque la empresa lo declara como riesgo emergente: el informe lo trata como riesgo principal [1].</w:t>
            </w:r>
          </w:p>
        </w:tc>
      </w:tr>
    </w:tbl>
    <w:p>
      <w:pPr>
        <w:spacing w:after="160" w:before="0"/>
      </w:pPr>
    </w:p>
    <w:p>
      <w:pPr>
        <w:spacing w:after="100"/>
      </w:pPr>
      <w:r>
        <w:t xml:space="preserve">El sentimiento de los particulares es positivo y algo autocomplaciente: se centra en el dividendo, la caja y el historial a largo plazo, y casi nadie discute la caída de la captación de clientes ni el efecto de la IA en los buscadores, que es la objeción de fondo del informe. No hay euforia ni capitulación; el sentimiento va con el de los analistas (cuatro de cinco comprar). No aporta un riesgo nuevo; sí confirma que el riesgo de IA está poco descontado en la conversación.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38 (17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4,7 % en 2033e frente al 4,6 %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-1,6 % frente a -1,6 %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«Baja» (las reglas discrepan (absoluta Vender, relativa Mantener))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crecimiento del mercado a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ASI y PPAI (solo dan el año cerrado); 2) informe anual de 4imprint (no da previsión); 3) búsqueda de previsiones de ASI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serie 2026e-2028e al 3-3,5 % anual (estimación propia, la tasa histórica)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20-may-2026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«Result of AGM» en Investegate y ticker.app (403 al texto); 2) web de inversores (documentos de la junta, sin acta);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los votos de la junta de 2025 del informe anual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ASI y PrintandPromo de las compras de HALO (Star Promotions 2024, Think It Then Ink It 2024, What's Happening Promotions 2025): sin precio; 2) compra de HALO por Audax (2016): sin términos; 3) búsqueda de múltiplos EV/EBITDA de distribuidores de promocionales: ninguna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sector se consolida con compras pequeñas de distribuidores privados sin precio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FCA (ninguna por encima del 0,5 % publicada para FOUR); 2) Yahoo (sin dato); 3) Stock Analysis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cita CDP: B); 2) web de sostenibilidad de la empresa; 3) búsqueda de las calificaciones en las webs de MSCI y Sustainalytics (de pago o sin ficha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CDP</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&amp; Accounts 2025 (52 semanas al 27-dic-2025): cuentas, notas, segmentos, riesgos, remuneración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4imprint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https://filings.xbrl.org/213800G95T751RN2CT94/2025-12-27/ESEF/GB/0/213800G95T751RN2CT94-2025-12-27/reports/213800G95T751RN2CT94-2025-12-27-T01.xhtml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results for the period ended 27 December 2025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https://investors.4imprint.com/media/v4okh2w0/results-announcement-fy-2025-final.pdf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for the 26 weeks ended 27 June 2026 (cuentas semestrales, partidas de ajuste fiscales,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https://investors.4imprint.com/media/av0ltear/4imprint-2026-interim-announcement-final-clean.pdf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&amp; Accounts 2024 (52 semanas al 28-dic-2024)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https://filings.xbrl.org/213800G95T751RN2CT94/2024-12-28/ESEF/GB/0/213800G95T751RN2CT94-2024-12-28/reports/213800G95T751RN2CT94-2024-12-28-T01.xhtml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&amp; Accounts 2023 (52 semanas al 30-dic-2023), con el registro financiero de cinco años 2019-2023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https://filings.xbrl.org/213800G95T751RN2CT94/2023-12-30/ESEF/GB/0/213800G95T751RN2CT94-2023-12-30/reports/213800G95T751RN2CT94-2023-12-30-T01.xhtml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&amp; Accounts 2022 (52 semanas al 31-dic-2022; comparativo 2021)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https://filings.xbrl.org/213800G95T751RN2CT94/2022-12-31/ESEF/GB/0/213800G95T751RN2CT94-2022-12-31/reports/213800G95T751RN2CT94-2022-12-31-T01.xhtml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2024 y 2025 (26 semanas al 29-jun-2024 y al 28-jun-2025)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https://investors.4imprint.com/investors/latest-news/2025/half-year-results-for-the-26-weeks-ended-28-june-2025/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and Notice of Final Results (20-ene-2026)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https://investors.4imprint.com/media/cwshw5ek/4imprint-january-2026-trading-update.pdf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Trading Update and Notice of Results (20-may-2026)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https://investors.4imprint.com/media/04ibv3jr/4imprint-trading-update-20-may-2026.pdf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2020-2025 en xBRL-JSON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(LEI 213800G95T751RN2CT94)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https://filings.xbrl.org/213800G95T751RN2CT94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American Promotional Products Industry Grows 4.2% in 2025 to Record $27.7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Advertising Specialty Institute (ASI)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https://asicentral.com/press-releases/north-america-promo-industry-grows-4-percent-in-2025/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 Reports Record $26.6 Billion in Annual Sales for Promo Products Industry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Advertising Specialty Institute (ASI)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https://asicentral.com/press-releases/asi-reports-record-26-6-billion-in-annual-sales-for-promo-products-industry/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PPAI Research: U.S. distributor sales reached new height in 2025 but hampered by volatility (27.100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Promotional Products Association International (PPAI)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https://www.ppai.org/media-hub/ppai-research-u-s-distributor-sales-reached-new-height-in-2025-but-hampered-by-volatility/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Counselor Top 40 Distributors 2026 (ventas de 2025 en EE. UU. y Canadá)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 Counselor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https://members.asicentral.com/news/strategy/july-2026/counselor-top-40-distributors-2026/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 Court Strikes Down IEEPA Tariffs, But White House Announces New 10% Global Tariff in Response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Honigman LLP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https://www.honigman.com/alert-3240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Understanding the new US tariff rules and refund steps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Sweden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https://www.business-sweden.com/insights/articles/Understanding-the-new-US-tariff-rules-and-refund-steps/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Cimpress, Superior Group, Deluxe y Ennis (ventas, margen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https://finance.yahoo.com/quote/CMPR/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(4-jun-2026): entrega del LTIP a la directora financiera y venta para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https://www.ticker.app/lse/FOUR/rns/2026-06-04/DirectorPDMR-Shareholding/9930G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(15-may-2026): opciones del plan de compra de acciones de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(RNS 5153E)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https://data.fca.org.uk/artefacts/NSM/RNS/ee65576e-bf5f-46c9-9503-8f942f398087.html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FMR LLC baja del 5 % (4,97 %) el 26-jun-2026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https://www.ticker.app/lse/FOUR/rns/2026-06-30/Holding(s)-in-Company/2551K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comunicados regulatorios de 4imprint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https://www.investegate.co.uk/company/FOUR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2024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https://investors.4imprint.com/investors/latest-news/2024/half-year-results-for-the-26-weeks-ended-29-june-2024/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FOUR.L, FTSE 250 (^FTMC) e iShares Russell 2000 (IWM) y GBPUSD=X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https://finance.yahoo.com/quote/FOUR.L/history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ventas, recomendaciones y objetivos de 4imprint y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https://finance.yahoo.com/quote/FOUR.L/analysis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estimaciones 2026-2028 (ventas, EBITDA, EBIT, BPA, DPA, caja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https://www.marketscreener.com/quote/stock/4IMPRINT-GROUP-PLC-4002215/finances/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lifts guidance as price rises help average order value grow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https://www.ajbell.co.uk/news/articles/4imprint-lifts-guidance-price-rises-help-average-order-value-grow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shares fall after full-year results (−8,9 % a 3.520 peniques)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MoneyAM /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https://old.moneyam.com/action/news/showArticle?id=7383518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Página de resultados semestrales con cotización de 4.540 GBX a las 16:36 del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https://investors.4imprint.com/investors/latest-news/2026/half-year-results-for-the-26-weeks-ended-27-june-2026/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£503 buys 14 shares in this FTSE 250 stock that returned 23.9% annually for the last 15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https://www.twelfthmagpie.com/tickers/lse-four/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raises FY guidance despite tariff-related headwinds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https://www.hl.co.uk/shares/stock-market-news/company--news/4imprint-raises-fy-guidance-despite-tariff-related-headwinds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(LSE:FOUR): what does the current half-year customer-demand update mean?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GROUP PLC (FOUR.L) Stock Analysis: Strong Dividend Yield &amp; Potential Upside for Investors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DirectorsTalk Interviews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https://www.directorstalkinterviews.com/4imprint-group-plc-ord-38-613p-four-l-investor-outlook-highlights-robust-roe-and-dividend-yield/4121260009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 4imprint frente a sus pares y su historia: cálculo propio con las cuentas de 2019-2025 y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informes/4imprint-2026-10-19/notas/propio.mjs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https://en.wikipedia.org/wiki/4imprint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Bemrose Corporation plc: Change of Name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2000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https://www.investegate.co.uk/announcement/rns/4imprint-group--four/change-of-name-/194314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4imprint - contrarian compounder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Sweet Stocks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https://sweetstocks.substack.com/p/4imprint-contrarian-compounder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86,4 %</w:t>
      </w:r>
      <w:r>
        <w:t xml:space="preserve"> · Secciones con menos del 60 % de campos cubiertos: </w:t>
      </w:r>
      <w:r>
        <w:rPr>
          <w:b/>
          <w:bCs/>
        </w:rPr>
        <w:t xml:space="preserve">capital, transacciones</w:t>
      </w:r>
      <w:r>
        <w:t xml:space="preserve"> · Generado el 19 oct 2026.</w:t>
      </w:r>
    </w:p>
    <w:p>
      <w:pPr>
        <w:pStyle w:val="Nota"/>
        <w:spacing w:after="100"/>
      </w:pPr>
      <w:r>
        <w:t xml:space="preserve">Cuentas en USD (moneda de presentación) y acción en peniques de Londres (GBp): precio, objetivo y niveles se pasan a USD con el GBPUSD de cierre del 19-oct-2026 (1,3308; 0,013308 USD por penique) y los cierres históricos con el de cada fin de año. Ejercicios de 52 o 53 semanas que acaban a finales de diciembre (2021 tuvo 53 y acabó el 1-ene-2022); se etiquetan por el año natural. La herramienta del XBRL desplazó un año las etiquetas de 2020-2021 y no da activo ni pasivo total: se tomaron del registro de cinco años [5, 10]. «Caja» es efectivo más depósitos bancarios (medida de la empresa). El BPA de 2026e y de los escenarios es ajustado (sin 5,1 M USD de partidas fiscales no recurrentes del 1S26). El precio es el cierre de Londres del mismo día del corte (4.540 GBp) [30].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4imprint Group plc (FOUR)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(40,62 – 69,09)</c:v>
                </c:pt>
                <c:pt idx="1">
                  <c:v>Precio objetivo de los analistas (57,56 – 78,57)</c:v>
                </c:pt>
                <c:pt idx="2">
                  <c:v>Comparables: PER NTM (49,81 – 62,74)</c:v>
                </c:pt>
                <c:pt idx="3">
                  <c:v>DCF (WACC y g ± 0,5) (49,54 – 59,77)</c:v>
                </c:pt>
                <c:pt idx="4">
                  <c:v>Escenarios (bajista – alcista) (40,78 – 61,08)</c:v>
                </c:pt>
                <c:pt idx="5">
                  <c:v>DCF con la prima implícita del mercado (4,2 %)</c:v>
                </c:pt>
                <c:pt idx="6">
                  <c:v>Precio actual (60,42)</c:v>
                </c:pt>
              </c:strCache>
            </c:strRef>
          </c:cat>
          <c:val>
            <c:numRef>
              <c:f>Hoja1!$B$2:$B$8</c:f>
              <c:numCache>
                <c:formatCode>#,##0.0</c:formatCode>
                <c:ptCount val="7"/>
                <c:pt idx="0">
                  <c:v>40.62</c:v>
                </c:pt>
                <c:pt idx="1">
                  <c:v>57.56</c:v>
                </c:pt>
                <c:pt idx="2">
                  <c:v>49.81</c:v>
                </c:pt>
                <c:pt idx="3">
                  <c:v>49.54</c:v>
                </c:pt>
                <c:pt idx="4">
                  <c:v>40.78</c:v>
                </c:pt>
                <c:pt idx="5">
                  <c:v>59.51</c:v>
                </c:pt>
                <c:pt idx="6">
                  <c:v>60.12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(40,62 – 69,09)</c:v>
                </c:pt>
                <c:pt idx="1">
                  <c:v>Precio objetivo de los analistas (57,56 – 78,57)</c:v>
                </c:pt>
                <c:pt idx="2">
                  <c:v>Comparables: PER NTM (49,81 – 62,74)</c:v>
                </c:pt>
                <c:pt idx="3">
                  <c:v>DCF (WACC y g ± 0,5) (49,54 – 59,77)</c:v>
                </c:pt>
                <c:pt idx="4">
                  <c:v>Escenarios (bajista – alcista) (40,78 – 61,08)</c:v>
                </c:pt>
                <c:pt idx="5">
                  <c:v>DCF con la prima implícita del mercado (4,2 %)</c:v>
                </c:pt>
                <c:pt idx="6">
                  <c:v>Precio actual (60,42)</c:v>
                </c:pt>
              </c:strCache>
            </c:strRef>
          </c:cat>
          <c:val>
            <c:numRef>
              <c:f>Hoja1!$C$2:$C$8</c:f>
              <c:numCache>
                <c:formatCode>#,##0.0</c:formatCode>
                <c:ptCount val="7"/>
                <c:pt idx="0">
                  <c:v>28.470000000000006</c:v>
                </c:pt>
                <c:pt idx="1">
                  <c:v>21.00999999999999</c:v>
                </c:pt>
                <c:pt idx="2">
                  <c:v>12.93</c:v>
                </c:pt>
                <c:pt idx="3">
                  <c:v>10.230000000000004</c:v>
                </c:pt>
                <c:pt idx="4">
                  <c:v>20.299999999999997</c:v>
                </c:pt>
                <c:pt idx="5">
                  <c:v>8.830000000000005</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773.7</c:v>
                </c:pt>
                <c:pt idx="1">
                  <c:v>1120.5</c:v>
                </c:pt>
                <c:pt idx="2">
                  <c:v>1302.6</c:v>
                </c:pt>
                <c:pt idx="3">
                  <c:v>1342.7</c:v>
                </c:pt>
                <c:pt idx="4">
                  <c:v>1321.5</c:v>
                </c:pt>
              </c:numCache>
            </c:numRef>
          </c:val>
        </c:ser>
        <c:ser>
          <c:idx val="1"/>
          <c:order val="1"/>
          <c:tx>
            <c:strRef>
              <c:f>Hoja1!$C$1</c:f>
              <c:strCache>
                <c:ptCount val="1"/>
                <c:pt idx="0">
                  <c:v>Reino Unido e Irlanda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13.6</c:v>
                </c:pt>
                <c:pt idx="1">
                  <c:v>19.8</c:v>
                </c:pt>
                <c:pt idx="2">
                  <c:v>23.9</c:v>
                </c:pt>
                <c:pt idx="3">
                  <c:v>25.2</c:v>
                </c:pt>
                <c:pt idx="4">
                  <c:v>25.3</c:v>
                </c:pt>
              </c:numCache>
            </c:numRef>
          </c:val>
        </c:ser>
        <c:ser>
          <c:idx val="2"/>
          <c:order val="2"/>
          <c:tx>
            <c:strRef>
              <c:f>Hoja1!$D$1</c:f>
              <c:strCache>
                <c:ptCount val="1"/>
                <c:pt idx="0">
                  <c:v>Costes centrales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Reino Unido e Irlanda</c:v>
                </c:pt>
                <c:pt idx="2">
                  <c:v>Costes centrales</c:v>
                </c:pt>
              </c:strCache>
            </c:strRef>
          </c:cat>
          <c:val>
            <c:numRef>
              <c:f>Hoja1!$B$2:$B$4</c:f>
              <c:numCache>
                <c:formatCode>General</c:formatCode>
                <c:ptCount val="3"/>
                <c:pt idx="0">
                  <c:v>98.1</c:v>
                </c:pt>
                <c:pt idx="1">
                  <c:v>1.9</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Norteamérica (EE. UU. y Canadá)</c:v>
                </c:pt>
                <c:pt idx="1">
                  <c:v>Reino Unido e Irlanda</c:v>
                </c:pt>
              </c:strCache>
            </c:strRef>
          </c:cat>
          <c:val>
            <c:numRef>
              <c:f>Hoja1!$B$2:$B$3</c:f>
              <c:numCache>
                <c:formatCode>0"%"</c:formatCode>
                <c:ptCount val="2"/>
                <c:pt idx="0">
                  <c:v>98.1</c:v>
                </c:pt>
                <c:pt idx="1">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(Norteamérica, ventas de distribuidores según ASI))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26600</c:v>
                </c:pt>
                <c:pt idx="1">
                  <c:v>27700</c:v>
                </c:pt>
                <c:pt idx="2">
                  <c:v>28500</c:v>
                </c:pt>
                <c:pt idx="3">
                  <c:v>29500</c:v>
                </c:pt>
                <c:pt idx="4">
                  <c:v>30500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4imprint</c:v>
                </c:pt>
                <c:pt idx="1">
                  <c:v>HALO Branded Solutions</c:v>
                </c:pt>
                <c:pt idx="2">
                  <c:v>Staples Promotional Products</c:v>
                </c:pt>
                <c:pt idx="3">
                  <c:v>Custom Ink</c:v>
                </c:pt>
                <c:pt idx="4">
                  <c:v>Proforma</c:v>
                </c:pt>
                <c:pt idx="5">
                  <c:v>BDA</c:v>
                </c:pt>
                <c:pt idx="6">
                  <c:v>Cimpress (Vistaprint y National Pen)</c:v>
                </c:pt>
                <c:pt idx="7">
                  <c:v>Superior Group of Companies (BAMKO)</c:v>
                </c:pt>
              </c:strCache>
            </c:strRef>
          </c:cat>
          <c:val>
            <c:numRef>
              <c:f>Hoja1!$B$2:$B$9</c:f>
              <c:numCache>
                <c:formatCode>0.0"%"</c:formatCode>
                <c:ptCount val="8"/>
                <c:pt idx="0">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787.3</c:v>
                </c:pt>
                <c:pt idx="1">
                  <c:v>1140.3</c:v>
                </c:pt>
                <c:pt idx="2">
                  <c:v>1326.5</c:v>
                </c:pt>
                <c:pt idx="3">
                  <c:v>1367.9</c:v>
                </c:pt>
                <c:pt idx="4">
                  <c:v>1346.8</c:v>
                </c:pt>
                <c:pt idx="5">
                  <c:v>1358</c:v>
                </c:pt>
                <c:pt idx="6">
                  <c:v>1392</c:v>
                </c:pt>
                <c:pt idx="7">
                  <c:v>1454</c:v>
                </c:pt>
                <c:pt idx="8">
                  <c:v>1527</c:v>
                </c:pt>
                <c:pt idx="9">
                  <c:v>1603</c:v>
                </c:pt>
                <c:pt idx="10">
                  <c:v>1675</c:v>
                </c:pt>
                <c:pt idx="11">
                  <c:v>1742</c:v>
                </c:pt>
                <c:pt idx="12">
                  <c:v>1803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35.6</c:v>
                </c:pt>
                <c:pt idx="1">
                  <c:v>108.4</c:v>
                </c:pt>
                <c:pt idx="2">
                  <c:v>142.6</c:v>
                </c:pt>
                <c:pt idx="3">
                  <c:v>154.9</c:v>
                </c:pt>
                <c:pt idx="4">
                  <c:v>152.1</c:v>
                </c:pt>
                <c:pt idx="5">
                  <c:v>133</c:v>
                </c:pt>
                <c:pt idx="6">
                  <c:v>141</c:v>
                </c:pt>
                <c:pt idx="7">
                  <c:v>151</c:v>
                </c:pt>
                <c:pt idx="8">
                  <c:v>161</c:v>
                </c:pt>
                <c:pt idx="9">
                  <c:v>172</c:v>
                </c:pt>
                <c:pt idx="10">
                  <c:v>180</c:v>
                </c:pt>
                <c:pt idx="11">
                  <c:v>187</c:v>
                </c:pt>
                <c:pt idx="12">
                  <c:v>194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28.7</c:v>
                </c:pt>
                <c:pt idx="1">
                  <c:v>28.2</c:v>
                </c:pt>
                <c:pt idx="2">
                  <c:v>30.3</c:v>
                </c:pt>
                <c:pt idx="3">
                  <c:v>31.8</c:v>
                </c:pt>
                <c:pt idx="4">
                  <c:v>32.4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c:v>
                </c:pt>
                <c:pt idx="1">
                  <c:v>9.5</c:v>
                </c:pt>
                <c:pt idx="2">
                  <c:v>10.8</c:v>
                </c:pt>
                <c:pt idx="3">
                  <c:v>11.3</c:v>
                </c:pt>
                <c:pt idx="4">
                  <c:v>11.3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c:v>
                </c:pt>
                <c:pt idx="1">
                  <c:v>9</c:v>
                </c:pt>
                <c:pt idx="2">
                  <c:v>10.3</c:v>
                </c:pt>
                <c:pt idx="3">
                  <c:v>10.8</c:v>
                </c:pt>
                <c:pt idx="4">
                  <c:v>10.8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2.9</c:v>
                </c:pt>
                <c:pt idx="1">
                  <c:v>7</c:v>
                </c:pt>
                <c:pt idx="2">
                  <c:v>8</c:v>
                </c:pt>
                <c:pt idx="3">
                  <c:v>8.6</c:v>
                </c:pt>
                <c:pt idx="4">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5</c:v>
                </c:pt>
                <c:pt idx="3">
                  <c:v>1.4</c:v>
                </c:pt>
                <c:pt idx="4">
                  <c:v>-1.2</c:v>
                </c:pt>
                <c:pt idx="5">
                  <c:v>-1.9</c:v>
                </c:pt>
                <c:pt idx="6">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c:v>
                </c:pt>
                <c:pt idx="1">
                  <c:v>28</c:v>
                </c:pt>
                <c:pt idx="2">
                  <c:v>19</c:v>
                </c:pt>
                <c:pt idx="3">
                  <c:v>17</c:v>
                </c:pt>
                <c:pt idx="4">
                  <c:v>16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c:v>
                </c:pt>
                <c:pt idx="1">
                  <c:v>8</c:v>
                </c:pt>
                <c:pt idx="2">
                  <c:v>5</c:v>
                </c:pt>
                <c:pt idx="3">
                  <c:v>7</c:v>
                </c:pt>
                <c:pt idx="4">
                  <c:v>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47</c:v>
                </c:pt>
                <c:pt idx="1">
                  <c:v>38</c:v>
                </c:pt>
                <c:pt idx="2">
                  <c:v>35</c:v>
                </c:pt>
                <c:pt idx="3">
                  <c:v>37</c:v>
                </c:pt>
                <c:pt idx="4">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6.800000000000001</c:v>
                </c:pt>
                <c:pt idx="1">
                  <c:v>67.7</c:v>
                </c:pt>
                <c:pt idx="2">
                  <c:v>125.89999999999999</c:v>
                </c:pt>
                <c:pt idx="3">
                  <c:v>111.6</c:v>
                </c:pt>
                <c:pt idx="4">
                  <c:v>125.1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22.6</c:v>
                </c:pt>
                <c:pt idx="1">
                  <c:v>80.1</c:v>
                </c:pt>
                <c:pt idx="2">
                  <c:v>106.2</c:v>
                </c:pt>
                <c:pt idx="3">
                  <c:v>117.2</c:v>
                </c:pt>
                <c:pt idx="4">
                  <c:v>113.6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42.8</c:v>
                </c:pt>
                <c:pt idx="1">
                  <c:v>131.8</c:v>
                </c:pt>
                <c:pt idx="2">
                  <c:v>187.9</c:v>
                </c:pt>
                <c:pt idx="3">
                  <c:v>264.2</c:v>
                </c:pt>
                <c:pt idx="4">
                  <c:v>285.2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11.1</c:v>
                </c:pt>
                <c:pt idx="1">
                  <c:v>11.1</c:v>
                </c:pt>
                <c:pt idx="2">
                  <c:v>11.1</c:v>
                </c:pt>
                <c:pt idx="3">
                  <c:v>11.1</c:v>
                </c:pt>
                <c:pt idx="4">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27.2</c:v>
                </c:pt>
                <c:pt idx="1">
                  <c:v>71.8</c:v>
                </c:pt>
                <c:pt idx="2">
                  <c:v>77.3</c:v>
                </c:pt>
                <c:pt idx="3">
                  <c:v>73.3</c:v>
                </c:pt>
                <c:pt idx="4">
                  <c:v>65.2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-0.83</c:v>
                </c:pt>
                <c:pt idx="1">
                  <c:v>-0.67</c:v>
                </c:pt>
                <c:pt idx="2">
                  <c:v>-0.65</c:v>
                </c:pt>
                <c:pt idx="3">
                  <c:v>-0.92</c:v>
                </c:pt>
                <c:pt idx="4">
                  <c:v>-0.85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c:v>
                </c:pt>
                <c:pt idx="1">
                  <c:v>18.7</c:v>
                </c:pt>
                <c:pt idx="2">
                  <c:v>110.8</c:v>
                </c:pt>
                <c:pt idx="3">
                  <c:v>65.5</c:v>
                </c:pt>
                <c:pt idx="4">
                  <c:v>142.8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0.8</c:v>
                </c:pt>
                <c:pt idx="1">
                  <c:v>1.2</c:v>
                </c:pt>
                <c:pt idx="2">
                  <c:v>1.1</c:v>
                </c:pt>
                <c:pt idx="3">
                  <c:v>2</c:v>
                </c:pt>
                <c:pt idx="4">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FMR LLC (Fidelity)</c:v>
                </c:pt>
                <c:pt idx="2">
                  <c:v>Norges Bank</c:v>
                </c:pt>
                <c:pt idx="3">
                  <c:v>Montanaro Asset Management</c:v>
                </c:pt>
                <c:pt idx="4">
                  <c:v>Consejo y directivos</c:v>
                </c:pt>
              </c:strCache>
            </c:strRef>
          </c:cat>
          <c:val>
            <c:numRef>
              <c:f>Hoja1!$B$2:$B$6</c:f>
              <c:numCache>
                <c:formatCode>0.0"%"</c:formatCode>
                <c:ptCount val="5"/>
                <c:pt idx="0">
                  <c:v>7.13</c:v>
                </c:pt>
                <c:pt idx="1">
                  <c:v>4.97</c:v>
                </c:pt>
                <c:pt idx="2">
                  <c:v>2.99</c:v>
                </c:pt>
                <c:pt idx="3">
                  <c:v>2.94</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39.8</c:v>
                </c:pt>
                <c:pt idx="1">
                  <c:v>7</c:v>
                </c:pt>
                <c:pt idx="2">
                  <c:v>-2.9</c:v>
                </c:pt>
                <c:pt idx="3">
                  <c:v>88.6</c:v>
                </c:pt>
                <c:pt idx="4">
                  <c:v>-26.3</c:v>
                </c:pt>
                <c:pt idx="5">
                  <c:v>9.9</c:v>
                </c:pt>
                <c:pt idx="6">
                  <c:v>51.6</c:v>
                </c:pt>
                <c:pt idx="7">
                  <c:v>6.9</c:v>
                </c:pt>
                <c:pt idx="8">
                  <c:v>6.2</c:v>
                </c:pt>
                <c:pt idx="9">
                  <c:v>-20.8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3.7</c:v>
                </c:pt>
                <c:pt idx="1">
                  <c:v>14.7</c:v>
                </c:pt>
                <c:pt idx="2">
                  <c:v>-15.6</c:v>
                </c:pt>
                <c:pt idx="3">
                  <c:v>25</c:v>
                </c:pt>
                <c:pt idx="4">
                  <c:v>-6.4</c:v>
                </c:pt>
                <c:pt idx="5">
                  <c:v>14.6</c:v>
                </c:pt>
                <c:pt idx="6">
                  <c:v>-19.7</c:v>
                </c:pt>
                <c:pt idx="7">
                  <c:v>4.4</c:v>
                </c:pt>
                <c:pt idx="8">
                  <c:v>4.7</c:v>
                </c:pt>
                <c:pt idx="9">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29.3</c:v>
                </c:pt>
                <c:pt idx="1">
                  <c:v>12.7</c:v>
                </c:pt>
                <c:pt idx="2">
                  <c:v>10.8</c:v>
                </c:pt>
                <c:pt idx="3">
                  <c:v>10.2</c:v>
                </c:pt>
                <c:pt idx="4">
                  <c:v>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10.5</c:v>
                </c:pt>
                <c:pt idx="1">
                  <c:v>10.5</c:v>
                </c:pt>
                <c:pt idx="2">
                  <c:v>10.5</c:v>
                </c:pt>
                <c:pt idx="3">
                  <c:v>10.5</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4imprint</c:v>
                </c:pt>
                <c:pt idx="1">
                  <c:v>Cimpress</c:v>
                </c:pt>
                <c:pt idx="2">
                  <c:v>Superior Group of Companies</c:v>
                </c:pt>
                <c:pt idx="3">
                  <c:v>Ennis</c:v>
                </c:pt>
                <c:pt idx="4">
                  <c:v>Deluxe</c:v>
                </c:pt>
                <c:pt idx="5">
                  <c:v>Global Industrial</c:v>
                </c:pt>
                <c:pt idx="6">
                  <c:v>MSC Industrial Direct</c:v>
                </c:pt>
                <c:pt idx="7">
                  <c:v>RS Group</c:v>
                </c:pt>
                <c:pt idx="8">
                  <c:v>Bunzl</c:v>
                </c:pt>
              </c:strCache>
            </c:strRef>
          </c:cat>
          <c:val>
            <c:numRef>
              <c:f>Hoja1!$B$2:$B$10</c:f>
              <c:numCache>
                <c:formatCode>0.0"x"</c:formatCode>
                <c:ptCount val="9"/>
                <c:pt idx="0">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88</c:v>
                </c:pt>
                <c:pt idx="1">
                  <c:v>99</c:v>
                </c:pt>
                <c:pt idx="2">
                  <c:v>107</c:v>
                </c:pt>
                <c:pt idx="3">
                  <c:v>115</c:v>
                </c:pt>
                <c:pt idx="4">
                  <c:v>123</c:v>
                </c:pt>
                <c:pt idx="5">
                  <c:v>128</c:v>
                </c:pt>
                <c:pt idx="6">
                  <c:v>133</c:v>
                </c:pt>
                <c:pt idx="7">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589</c:v>
                </c:pt>
                <c:pt idx="1">
                  <c:v>824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60,42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40.78</c:v>
                </c:pt>
                <c:pt idx="1">
                  <c:v>54.04</c:v>
                </c:pt>
                <c:pt idx="2">
                  <c:v>61.08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60,42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(40,62 – 69,09)</c:v>
                </c:pt>
                <c:pt idx="1">
                  <c:v>Precio objetivo de los analistas (57,56 – 78,57)</c:v>
                </c:pt>
                <c:pt idx="2">
                  <c:v>Comparables: PER NTM (49,81 – 62,74)</c:v>
                </c:pt>
                <c:pt idx="3">
                  <c:v>DCF (WACC y g ± 0,5) (49,54 – 59,77)</c:v>
                </c:pt>
                <c:pt idx="4">
                  <c:v>Escenarios (bajista – alcista) (40,78 – 61,08)</c:v>
                </c:pt>
                <c:pt idx="5">
                  <c:v>DCF con la prima implícita del mercado (4,2 %)</c:v>
                </c:pt>
                <c:pt idx="6">
                  <c:v>Precio actual (60,42)</c:v>
                </c:pt>
              </c:strCache>
            </c:strRef>
          </c:cat>
          <c:val>
            <c:numRef>
              <c:f>Hoja1!$B$2:$B$8</c:f>
              <c:numCache>
                <c:formatCode>#,##0.0</c:formatCode>
                <c:ptCount val="7"/>
                <c:pt idx="0">
                  <c:v>40.62</c:v>
                </c:pt>
                <c:pt idx="1">
                  <c:v>57.56</c:v>
                </c:pt>
                <c:pt idx="2">
                  <c:v>49.81</c:v>
                </c:pt>
                <c:pt idx="3">
                  <c:v>49.54</c:v>
                </c:pt>
                <c:pt idx="4">
                  <c:v>40.78</c:v>
                </c:pt>
                <c:pt idx="5">
                  <c:v>59.51</c:v>
                </c:pt>
                <c:pt idx="6">
                  <c:v>60.12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(40,62 – 69,09)</c:v>
                </c:pt>
                <c:pt idx="1">
                  <c:v>Precio objetivo de los analistas (57,56 – 78,57)</c:v>
                </c:pt>
                <c:pt idx="2">
                  <c:v>Comparables: PER NTM (49,81 – 62,74)</c:v>
                </c:pt>
                <c:pt idx="3">
                  <c:v>DCF (WACC y g ± 0,5) (49,54 – 59,77)</c:v>
                </c:pt>
                <c:pt idx="4">
                  <c:v>Escenarios (bajista – alcista) (40,78 – 61,08)</c:v>
                </c:pt>
                <c:pt idx="5">
                  <c:v>DCF con la prima implícita del mercado (4,2 %)</c:v>
                </c:pt>
                <c:pt idx="6">
                  <c:v>Precio actual (60,42)</c:v>
                </c:pt>
              </c:strCache>
            </c:strRef>
          </c:cat>
          <c:val>
            <c:numRef>
              <c:f>Hoja1!$C$2:$C$8</c:f>
              <c:numCache>
                <c:formatCode>#,##0.0</c:formatCode>
                <c:ptCount val="7"/>
                <c:pt idx="0">
                  <c:v>28.470000000000006</c:v>
                </c:pt>
                <c:pt idx="1">
                  <c:v>21.00999999999999</c:v>
                </c:pt>
                <c:pt idx="2">
                  <c:v>12.93</c:v>
                </c:pt>
                <c:pt idx="3">
                  <c:v>10.230000000000004</c:v>
                </c:pt>
                <c:pt idx="4">
                  <c:v>20.299999999999997</c:v>
                </c:pt>
                <c:pt idx="5">
                  <c:v>8.830000000000005</c:v>
                </c:pt>
                <c:pt idx="6">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