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70,24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73,56 USD · mercado 80,39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+4,7 % · mercado +14,5 %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143.739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143.739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140.753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73,56 USD</w:t>
      </w:r>
      <w:r>
        <w:t xml:space="preserve"> frente a 70,24 · con la prima implícita del mercado: 80,39 (+14,5 %) · Rentabilidad total esperada a 12 meses </w:t>
      </w:r>
      <w:r>
        <w:rPr>
          <w:b/>
          <w:bCs/>
        </w:rPr>
        <w:t xml:space="preserve">+4,7 %</w:t>
      </w:r>
      <w:r>
        <w:t xml:space="preserve"> · Alcista / bajista +38,5 % / -39,8 %</w:t>
      </w:r>
    </w:p>
    <w:p>
      <w:pPr>
        <w:spacing w:after="100"/>
      </w:pPr>
      <w:r>
        <w:rPr>
          <w:b/>
        </w:rPr>
        <w:t xml:space="preserve">La recomendación y por qué.</w:t>
      </w:r>
      <w:r>
        <w:t xml:space="preserve"> Mantener, con convicción media. El valor objetivo es de 73,56 USD frente a un precio de 70,24 (cierre del 8-oct-2026): una rentabilidad total esperada del 4,7 %, sin dividendo, con un alcista de +38,5 % y un bajista de −39,8 % (asimetría de 0,97 veces). Con la prima de riesgo que hoy pide el mercado (4,2 %), el objetivo sube a 80,39 USD y la rentabilidad al 14,5 %, a medio punto del umbral de compra. Uber gana más que nunca y cotiza a un múltiplo razonable, pero el precio ya paga lo que proyectamos y el riesgo del coche autónomo pesa tanto como su potencial.</w:t>
      </w:r>
    </w:p>
    <w:p>
      <w:pPr>
        <w:spacing w:after="100"/>
      </w:pPr>
      <w:r>
        <w:rPr>
          <w:b/>
        </w:rPr>
        <w:t xml:space="preserve">El negocio.</w:t>
      </w:r>
      <w:r>
        <w:t xml:space="preserve"> Uber tiene el 51,5 % del mercado mundial de VTC [29] y un ROIC del 19,9 %, el doble de su WACC del 10,68 %.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y supera los 500.000 viajes de pago a la semana; Tesla, en seis metrópolis sin conductor [32, 34, 35].</w:t>
      </w:r>
    </w:p>
    <w:p>
      <w:pPr>
        <w:spacing w:after="100"/>
      </w:pPr>
      <w:r>
        <w:rPr>
          <w:b/>
        </w:rPr>
        <w:t xml:space="preserve">Finanzas.</w:t>
      </w:r>
      <w:r>
        <w:t xml:space="preserve"> El flujo libre que publica Uber (10.116 M USD en los doce meses a junio) está inflado: no resta la remuneración en acciones (1.938 M) y suma el aumento de las reservas de seguros, cuya caja queda restringida [1, 4]. Por eso el DCF parte del EBITDA contable, que sí lleva dentro esa remuneración y las reservas legales que se repiten todos los años.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a 71-76 USD [62].</w:t>
      </w:r>
    </w:p>
    <w:p>
      <w:pPr>
        <w:spacing w:after="100"/>
      </w:pPr>
      <w:r>
        <w:rPr>
          <w:b/>
        </w:rPr>
        <w:t xml:space="preserve">Valoración.</w:t>
      </w:r>
      <w:r>
        <w:t xml:space="preserve"> El DCF vale 74,56 USD y los comparables, con el EBITDA de todos después de remuneración en acciones, 76,44 (EV/EBITDA) y 82,43 (PER); la suma de partes 67,82. El DCF inverso dice que el precio descuenta un crecimiento anual de los ingresos del 8,1 % en 2027e-2035e, frente al 9,1 % de nuestra base, que coincide con el consenso a ±2 % hasta 2028. No discrepamos del consenso en las cifras: el precio ya descuenta una desaceleración algo más rápida, que es la forma en que el mercado pone precio al coche autónomo. Los analistas apuntan a 100,86 USD [79]; nosotros no vemos ese recorrido sin resolver antes esa duda.</w:t>
      </w:r>
    </w:p>
    <w:p>
      <w:pPr>
        <w:spacing w:after="100"/>
      </w:pPr>
      <w:r>
        <w:rPr>
          <w:b/>
        </w:rPr>
        <w:t xml:space="preserve">Riesgos y catalizadores.</w:t>
      </w:r>
      <w:r>
        <w:t xml:space="preserve"> El riesgo mayor es la desintermediación: en el bajista (Waymo y Tesla con aplicación propia en las grandes ciudades) el valor cae a 42,30 USD. Dos puntos menos de margen bajan el DCF a 65,39 USD; medio punto más de WACC, a 69,87.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69,88 USD y venderíamos por encima de 89,38.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73,56 USD</w:t>
      </w:r>
      <w:r>
        <w:t xml:space="preserve"> (+4,7 % sobre 70,24; rentabilidad total esperada +4,7 %) · con la prima implícita del mercado: 80,39 (+14,5 %)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(70,24 USD, 13,8 veces el EBITDA contable de los próximos 12 meses) descuenta un crecimiento anual de los ingresos del 8,1 % entre 2027 y 2035, frente al 9,1 % que proyectamos y que coincide con el consenso. Es el múltiplo más bajo desde que es rentable, en 2023: 18,6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 -39,8 %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69,88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69,88 y 89,38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89,38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69,88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8,1 %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13,8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42,30 USD (−39,8 %) frente a un alcista de 97,26 USD; asimetría de 0,97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 / 16,6x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3,49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18,6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75,44.</w:t>
      </w:r>
    </w:p>
    <w:p>
      <w:pPr>
        <w:spacing w:after="100"/>
      </w:pPr>
      <w:r>
        <w:t xml:space="preserve">Con el mismo criterio, Uber cotiza a 13,8 veces el EBITDA de los próximos 12 meses frente a una mediana de 15,0 veces, y a 16,6 veces el beneficio frente a 19,5. Aplicadas a Uber, esas medianas dan 76,44 y 82,43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13,8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13,8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10,7 %)</w:t>
            </w:r>
          </w:p>
        </w:tc>
      </w:tr>
    </w:tbl>
    <w:p>
      <w:pPr>
        <w:spacing w:after="160" w:before="0"/>
      </w:pPr>
    </w:p>
    <w:p>
      <w:pPr>
        <w:spacing w:after="100"/>
      </w:pPr>
      <w:r>
        <w:t xml:space="preserve">El DCF vale 74,56 USD por acción, un 6,2 % sobre el precio de 70,24, con un valor terminal que pesa el 55 %. El DCF inverso dice que el precio descuenta un crecimiento de los ingresos del 8,1 % anual en 2027e-2035e, frente al 9,1 % de nuestra base, con el mismo margen final; o una rentabilidad implícita del 11,1 %,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84,41 USD. La sensibilidad muestra dónde está el riesgo: dos puntos menos de margen en todos los años bajan el valor a 65,39 USD, y medio punto más de WACC a 69,87.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72,17 USD (+2,7 %).</w:t>
      </w:r>
    </w:p>
    <w:p>
      <w:pPr>
        <w:spacing w:after="100"/>
      </w:pPr>
      <w:r>
        <w:t xml:space="preserve">Con nuestro WACC, el alcista vale 97,26 USD (38,5 %) y el bajista 42,30 USD (−39,8 %): la asimetría es de 0,97 veces, sin ventaja. El valor ponderado (72,17 USD) apenas supera al precio. El bajista pesa tanto porque el coche autónomo ataca a la vez crecimiento y margen; y no es cosmético: es lo que el mercado ya teme y explica la caída del 31 % en un año [68]. Con la prima de riesgo del mercado, el alcista sube a 111,46 USD y el bajista a 46,86, y la asimetría pasa a 1,76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−3,5 %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(-3,5 %);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73,56 USD (+4,7 % sobre 70,24).</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−39,8 % en el escenario bajista (42,30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(65,39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19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(61,94 a 90,94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historial de cotizaciones diario (cierre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acción ordinaria de Uber en la NYSE (USD); cuentas en USD y US GAAP. Precio: cierre del 8-oct-2026 (70,24 USD, Stock Analysis [100]); Yahoo aún no lo publicaba a la hora del análisis, así que las rentabilidades, la beta y la volatilidad llegan al 7-oct, y las participadas cotizadas del puente y los comparables también van a precios del 7-oct (68,45 USD para Uber ese día).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70,24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Hoja1!$B$2:$B$11</c:f>
              <c:numCache>
                <c:formatCode>#,##0</c:formatCode>
                <c:ptCount val="10"/>
                <c:pt idx="0">
                  <c:v>65.41</c:v>
                </c:pt>
                <c:pt idx="1">
                  <c:v>70</c:v>
                </c:pt>
                <c:pt idx="2">
                  <c:v>56.32</c:v>
                </c:pt>
                <c:pt idx="3">
                  <c:v>71.12</c:v>
                </c:pt>
                <c:pt idx="4">
                  <c:v>57.04</c:v>
                </c:pt>
                <c:pt idx="5">
                  <c:v>67.6</c:v>
                </c:pt>
                <c:pt idx="6">
                  <c:v>42.3</c:v>
                </c:pt>
                <c:pt idx="7">
                  <c:v>57.86</c:v>
                </c:pt>
                <c:pt idx="8">
                  <c:v>78.46</c:v>
                </c:pt>
                <c:pt idx="9">
                  <c:v>69.89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Hoja1!$C$2:$C$11</c:f>
              <c:numCache>
                <c:formatCode>#,##0</c:formatCode>
                <c:ptCount val="10"/>
                <c:pt idx="0">
                  <c:v>34.94</c:v>
                </c:pt>
                <c:pt idx="1">
                  <c:v>80</c:v>
                </c:pt>
                <c:pt idx="2">
                  <c:v>55.24</c:v>
                </c:pt>
                <c:pt idx="3">
                  <c:v>35.61999999999999</c:v>
                </c:pt>
                <c:pt idx="4">
                  <c:v>5.170000000000002</c:v>
                </c:pt>
                <c:pt idx="5">
                  <c:v>15.930000000000007</c:v>
                </c:pt>
                <c:pt idx="6">
                  <c:v>54.96000000000001</c:v>
                </c:pt>
                <c:pt idx="7">
                  <c:v>19.909999999999997</c:v>
                </c:pt>
                <c:pt idx="8">
                  <c:v>12.850000000000009</c:v>
                </c:pt>
                <c:pt idx="9">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13.8</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13.8</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70,24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c:v>
                </c:pt>
                <c:pt idx="1">
                  <c:v>74.56</c:v>
                </c:pt>
                <c:pt idx="2">
                  <c:v>97.26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70,24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Hoja1!$B$2:$B$11</c:f>
              <c:numCache>
                <c:formatCode>#,##0</c:formatCode>
                <c:ptCount val="10"/>
                <c:pt idx="0">
                  <c:v>65.41</c:v>
                </c:pt>
                <c:pt idx="1">
                  <c:v>70</c:v>
                </c:pt>
                <c:pt idx="2">
                  <c:v>56.32</c:v>
                </c:pt>
                <c:pt idx="3">
                  <c:v>71.12</c:v>
                </c:pt>
                <c:pt idx="4">
                  <c:v>57.04</c:v>
                </c:pt>
                <c:pt idx="5">
                  <c:v>67.6</c:v>
                </c:pt>
                <c:pt idx="6">
                  <c:v>42.3</c:v>
                </c:pt>
                <c:pt idx="7">
                  <c:v>57.86</c:v>
                </c:pt>
                <c:pt idx="8">
                  <c:v>78.46</c:v>
                </c:pt>
                <c:pt idx="9">
                  <c:v>69.89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Hoja1!$C$2:$C$11</c:f>
              <c:numCache>
                <c:formatCode>#,##0</c:formatCode>
                <c:ptCount val="10"/>
                <c:pt idx="0">
                  <c:v>34.94</c:v>
                </c:pt>
                <c:pt idx="1">
                  <c:v>80</c:v>
                </c:pt>
                <c:pt idx="2">
                  <c:v>55.24</c:v>
                </c:pt>
                <c:pt idx="3">
                  <c:v>35.61999999999999</c:v>
                </c:pt>
                <c:pt idx="4">
                  <c:v>5.170000000000002</c:v>
                </c:pt>
                <c:pt idx="5">
                  <c:v>15.930000000000007</c:v>
                </c:pt>
                <c:pt idx="6">
                  <c:v>54.96000000000001</c:v>
                </c:pt>
                <c:pt idx="7">
                  <c:v>19.909999999999997</c:v>
                </c:pt>
                <c:pt idx="8">
                  <c:v>12.850000000000009</c:v>
                </c:pt>
                <c:pt idx="9">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