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Gamma Communications plc</w:t>
      </w:r>
    </w:p>
    <w:p>
      <w:pPr>
        <w:spacing w:after="60"/>
        <w:rPr>
          <w:color w:val="52514E"/>
          <w:sz w:val="22"/>
          <w:szCs w:val="22"/>
        </w:rPr>
      </w:pPr>
      <w:r>
        <w:rPr>
          <w:color w:val="52514E"/>
          <w:sz w:val="22"/>
          <w:szCs w:val="22"/>
        </w:rPr>
        <w:t xml:space="preserve">GAMA · Bolsa de Londres (Main Market, FTSE 250; en el AIM hasta mayo de 2025) · ISIN GB00BQS10J50 · Telecomunicaciones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10,88 GBP (1.088,00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13,16 GBP (1.316,00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+23,0 % (base +19,6 %)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12,03 GBP (1.203,00 GBp) · mercado 13,39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Alta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986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Gamma Communications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GAMA / GB00BQS10J50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Londres (Main Market, FTSE 250; en el AIM hasta mayo de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250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Telecomunicaciones / Comunicaciones de empresa en la nube (UCaaS) y servicios de voz</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Londres (domicilio social en Mánchester)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https://gammagroup.co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10,88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6,87 – 12,07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986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1.031 M GBP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12.4 M GBP/día (3 meses; ≈ 1,1 M de acciones)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Alta · Objetivo a 12 meses </w:t>
      </w:r>
      <w:r>
        <w:rPr>
          <w:b/>
          <w:bCs/>
        </w:rPr>
        <w:t xml:space="preserve">13,16 GBP (1.316,00 GBp)</w:t>
      </w:r>
      <w:r>
        <w:t xml:space="preserve"> frente a 10,88 (1.088,00 GBp) · Rentabilidad a 12 meses </w:t>
      </w:r>
      <w:r>
        <w:rPr>
          <w:b/>
          <w:bCs/>
        </w:rPr>
        <w:t xml:space="preserve">+23,0 % (base +19,6 %)</w:t>
      </w:r>
      <w:r>
        <w:t xml:space="preserve"> · Valor intrínseco 12,03 GBP (1.203,00 GBp) · con la prima implícita del mercado: 13,39 (1.339,00 GBp) (+23,1 %) · Alcista / bajista +16,5 % / -19,8 %</w:t>
      </w:r>
    </w:p>
    <w:p>
      <w:pPr>
        <w:spacing w:after="100"/>
      </w:pPr>
      <w:r>
        <w:rPr>
          <w:b/>
        </w:rPr>
        <w:t xml:space="preserve">La recomendación y por qué.</w:t>
      </w:r>
      <w:r>
        <w:t xml:space="preserve"> Mantener, con convicción alta en que no es una compra. Gamma está vendida: Epiris (Bradbury Bidco) ofrece 1.120 p en efectivo por acción, oferta recomendada por el consejo y declarada final el 19-oct-2026; las juntas son el 2-nov y el cierre se espera en el 1T 2027 [11, 18]. Al cierre del 21-oct (1.088 p, 15:38 UTC) el diferencial es del 2,9 %. La regla a 12 meses da Comprar de forma mecánica (objetivo de 13,16 GBP, ponderada del 23,0 %, base del 19,6 %; valor intrínseco de 12,03 GBP, +10,6 %), pero no puede cumplirse con el precio topado por la oferta; si la oferta fracasa, el precio volvería hacia el de antes del proceso (732 p). Nos apartamos de la regla y la regla 13 descarta la compra. Los criterios del motor sugieren una convicción baja porque las reglas absoluta y relativa discrepan; nuestra convicción es alta porque la decisión no depende de la tasa de descuento sino de un precio fijo en efectivo: la bajaría una oferta rival creíble, y la cambiaría por completo que la oferta fracasara el 2-nov.</w:t>
      </w:r>
    </w:p>
    <w:p>
      <w:pPr>
        <w:spacing w:after="100"/>
      </w:pPr>
      <w:r>
        <w:rPr>
          <w:b/>
        </w:rPr>
        <w:t xml:space="preserve">El negocio.</w:t>
      </w:r>
      <w:r>
        <w:t xml:space="preserve"> Mayorista de comunicaciones de empresa: telefonía en la nube, voz para Teams, Webex y Zoom, contact center y fibra, vendidos sobre todo por distribuidores a pymes del Reino Unido (72 % de las ventas) y en Alemania (19 %) [1]. El 89-90 % de los ingresos es recurrente [2]. ROIC del 23,6 %, ≈ 13 puntos sobre el WACC (10,5 %): calidad «Sí». Sostenibilidad del crecimiento: «Sí» (proyectamos un 3,4 % anual, con cuota a la baja y casi sin capital).</w:t>
      </w:r>
    </w:p>
    <w:p>
      <w:pPr>
        <w:spacing w:after="100"/>
      </w:pPr>
      <w:r>
        <w:rPr>
          <w:b/>
        </w:rPr>
        <w:t xml:space="preserve">Finanzas.</w:t>
      </w:r>
      <w:r>
        <w:t xml:space="preserve"> Ventas de 645,8 M GBP en 2025 (+11,5 %, pero +1 % orgánico) y EBITDA ajustado de 141,7 M (21,9 %) [2]. En el 1S 2026, +4,2 % y +2,3 %, con el Reino Unido pyme perdiendo un 7 % de margen bruto y Alemania ganando un 30 % [3]. Deuda neta de 3,8 M a junio de 2026 tras pagar Starface (≈ 165 M) con caja; conversión de caja del 93-97 % [3].</w:t>
      </w:r>
    </w:p>
    <w:p>
      <w:pPr>
        <w:spacing w:after="100"/>
      </w:pPr>
      <w:r>
        <w:rPr>
          <w:b/>
        </w:rPr>
        <w:t xml:space="preserve">Equipo y gobierno.</w:t>
      </w:r>
      <w:r>
        <w:t xml:space="preserve"> Consejero delegado (Andrew Belshaw, en Gamma desde 2007) que cumple la guía, pero con un crecimiento orgánico parado en el Reino Unido. El presidente fue reelegido con solo un 79 % en mayo de 2026 y el consejo ha vendido la empresa a un precio inferior al de cualquier cierre de año entre 2019 y 2024 [11, 12].</w:t>
      </w:r>
    </w:p>
    <w:p>
      <w:pPr>
        <w:spacing w:after="100"/>
      </w:pPr>
      <w:r>
        <w:rPr>
          <w:b/>
        </w:rPr>
        <w:t xml:space="preserve">Valoración.</w:t>
      </w:r>
      <w:r>
        <w:t xml:space="preserve"> DCF de 11,68 GBP (+7,4 %), y el DCF inverso descuenta un 2,1 % de crecimiento frente al 3,5 % del base: el negocio vale algo más que la oferta, pero no mucho. La oferta paga 7,5 veces el EBITDA ajustado y ≈ 11,7 veces el BPA de 2026e, tras una subasta de seis meses en la que nadie pagó más [11].</w:t>
      </w:r>
    </w:p>
    <w:p>
      <w:pPr>
        <w:spacing w:after="100"/>
      </w:pPr>
      <w:r>
        <w:rPr>
          <w:b/>
        </w:rPr>
        <w:t xml:space="preserve">Riesgos y catalizadores.</w:t>
      </w:r>
      <w:r>
        <w:t xml:space="preserve"> El riesgo inmediato es binario: la junta del 2-nov. A largo plazo, Microsoft Teams, Zoom y RingCentral vendiendo la voz directamente; el fin del apagado del cobre, que ha sostenido la demanda y termina en enero de 2027; Alemania como única palanca de crecimiento; y la IA, que es a la vez tráfico nuevo para la red y una amenaza para el cobro por puesto (saldo ligeramente negativo).</w:t>
      </w:r>
    </w:p>
    <w:p>
      <w:pPr>
        <w:spacing w:after="100"/>
      </w:pPr>
      <w:r>
        <w:rPr>
          <w:b/>
        </w:rPr>
        <w:t xml:space="preserve">Qué cambiaría la decisión.</w:t>
      </w:r>
      <w:r>
        <w:t xml:space="preserve"> Si la oferta fracasa y la acción cae por debajo de ≈ 11,62 GBP sin oferta, la regla y la tesis (negocio de calidad a ≈ 8-10 veces el beneficio) se reabrirían: habría que rehacer el análisis con el precio nuevo. Una oferta rival por encima de 1.120 p cambiaría el cálculo del arbitraje, no la tesis.</w:t>
      </w:r>
    </w:p>
    <w:p>
      <w:r>
        <w:br w:type="page"/>
      </w:r>
    </w:p>
    <w:p>
      <w:pPr>
        <w:pStyle w:val="Heading1"/>
      </w:pPr>
      <w:r>
        <w:t xml:space="preserve">Resumen ejecutivo</w:t>
      </w:r>
    </w:p>
    <w:p>
      <w:pPr>
        <w:spacing w:after="100"/>
      </w:pPr>
      <w:r>
        <w:rPr>
          <w:b/>
          <w:bCs/>
        </w:rPr>
        <w:t xml:space="preserve">Recomendación: Mantener</w:t>
      </w:r>
      <w:r>
        <w:t xml:space="preserve"> · Convicción: Alta · Horizonte: 12 meses · Objetivo a 12 meses: </w:t>
      </w:r>
      <w:r>
        <w:rPr>
          <w:b/>
          <w:bCs/>
        </w:rPr>
        <w:t xml:space="preserve">13,16 GBP (1.316,00 GBp)</w:t>
      </w:r>
      <w:r>
        <w:t xml:space="preserve"> (rentabilidad +23,0 % (base +19,6 %)) · Valor intrínseco: 12,03 GBP (1.203,00 GBp) (+10,6 % sobre 10,88) · con la prima implícita del mercado: 13,39 (1.339,00 GBp) (+23,1 %)</w:t>
      </w:r>
    </w:p>
    <w:p>
      <w:pPr>
        <w:spacing w:after="100"/>
      </w:pPr>
      <w:r>
        <w:t xml:space="preserve">Gamma es un negocio de calidad (ROIC del 23,6 %, 90 % de ingresos recurrentes, caja neta casi nula) con un problema de crecimiento: el Reino Unido pyme, que da casi la mitad del margen bruto, ha dejado de crecer y el apagado del cobre, que empujó las migraciones, se acaba en enero de 2027. Alemania (Placetel y Starface) crece, pero se compró caro.</w:t>
      </w:r>
    </w:p>
    <w:p>
      <w:pPr>
        <w:spacing w:after="100"/>
      </w:pPr>
      <w:r>
        <w:t xml:space="preserve">El mercado lo castigó hasta 7,8 veces el beneficio en abril de 2026, y el consejo aprovechó el interés del capital privado para vender a 1.120 p, 11,7 veces el BPA de 2026e. Ese precio está cerca de nuestro valor en solitario (11,68-12,03 GBP).</w:t>
      </w:r>
    </w:p>
    <w:p>
      <w:pPr>
        <w:spacing w:after="100"/>
      </w:pPr>
      <w:r>
        <w:t xml:space="preserve">La tesis de inversión ya no existe: con la oferta final sobre la mesa, el accionista cobra 11,20 GBP en el 1T 2027 o, si fracasa, vuelve a un precio sin prima. Comprar hoy es arbitraje (≈ 3 %), no value.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 GBP (1.316,00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0,92 = 8,97 · 12,3x × 1,04 = 12,79 · 16,6x × 1,09 = 18,09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 / 19,6 %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13,93 (nuestro base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12,03 GBP (1.203,00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(GBp al tipo de 0,0100 GBP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 GBP (1.088,00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 / -19,8 %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 frente a 10,5 % y 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13,39 GBP (1.339,00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 frente a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11,62 (1.162,00 GBp)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11,62 y 14,87 (1.162,00 y 1.487,00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14,87 (1.487,00 GBp)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de forma mecánica (ponderada del 23,0 %, base del 19,6 %, valor intrínseco de 12,03 GBP sobre el precio) porque aplica un PER de 12,3 veces al BPA de 2028e, pero ese objetivo no puede cumplirse: Gamma está bajo una oferta en efectivo de 1.120 p, recomendada y declarada final, con juntas el 2-nov-2026 y cierre esperado en el 1T 2027 [11, 18]. Comprar hoy a 1.088 p da como mucho un 2,9 % en 3-5 meses (≈ 8-9 % anualizado) y expone a una caída del 20-33 % si la oferta fracasa. Es un arbitraje de fusiones, no una inversión value. Para quien ya tiene acciones: Mantener y cobrar 1.120 p (o vender en bolsa si necesita la liquidez antes). La regla 13 descarta la compra por el mismo motivo.</w:t>
      </w:r>
    </w:p>
    <w:p>
      <w:pPr>
        <w:pStyle w:val="Heading2"/>
      </w:pPr>
      <w:r>
        <w:t xml:space="preserve">Qué cambiaría la recomendación</w:t>
      </w:r>
    </w:p>
    <w:p>
      <w:pPr>
        <w:pStyle w:val="ListParagraph"/>
        <w:numPr>
          <w:ilvl w:val="0"/>
          <w:numId w:val="2"/>
        </w:numPr>
        <w:spacing w:after="60"/>
      </w:pPr>
      <w:r>
        <w:t xml:space="preserve">Oferta aprobada el 2-nov: Mantener hasta el cobro de 1.120 p en el 1T 2027.</w:t>
      </w:r>
    </w:p>
    <w:p>
      <w:pPr>
        <w:pStyle w:val="ListParagraph"/>
        <w:numPr>
          <w:ilvl w:val="0"/>
          <w:numId w:val="2"/>
        </w:numPr>
        <w:spacing w:after="60"/>
      </w:pPr>
      <w:r>
        <w:t xml:space="preserve">Oferta fracasada y precio sin prima por debajo de ≈ 11,62 GBP: rehacer el análisis; la regla podría dar Comprar sobre un negocio de calidad a ≈ 8-10 veces el beneficio.</w:t>
      </w:r>
    </w:p>
    <w:p>
      <w:pPr>
        <w:pStyle w:val="ListParagraph"/>
        <w:numPr>
          <w:ilvl w:val="0"/>
          <w:numId w:val="2"/>
        </w:numPr>
        <w:spacing w:after="60"/>
      </w:pPr>
      <w:r>
        <w:t xml:space="preserve">Oferta rival por encima de 1.120 p: Mantener y cobrar la mejor oferta.</w:t>
      </w:r>
    </w:p>
    <w:p>
      <w:pPr>
        <w:pStyle w:val="ListParagraph"/>
        <w:numPr>
          <w:ilvl w:val="0"/>
          <w:numId w:val="2"/>
        </w:numPr>
        <w:spacing w:after="60"/>
      </w:pPr>
      <w:r>
        <w:t xml:space="preserve">Crecimiento orgánico del Reino Unido pyme negativo dos años seguidos tras 2027: rebajar el valor intrínseco.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oferta de 1.120 p se cierra (diferencial del 2,9 %, ≈ 8-9 % anualizado hasta el 1T 2027); los fondos de arbitraje tienen ≈ la mitad del capital.</w:t>
      </w:r>
    </w:p>
    <w:p>
      <w:pPr>
        <w:keepNext/>
        <w:spacing w:after="100"/>
      </w:pPr>
      <w:r>
        <w:rPr>
          <w:b/>
          <w:bCs/>
        </w:rPr>
        <w:t xml:space="preserve">Lo que creemos nosotros.</w:t>
      </w:r>
    </w:p>
    <w:p>
      <w:pPr>
        <w:spacing w:after="100"/>
      </w:pPr>
      <w:r>
        <w:t xml:space="preserve">Coincidimos: la probabilidad de cierre es alta. Discrepamos de los antiguos objetivos de los analistas (1.393 p): el crecimiento orgánico británico parado y la competencia de las plataformas no justifican los 15-25 veces de 2019-2024; la oferta paga lo que vale, no menos.</w:t>
      </w:r>
    </w:p>
    <w:p>
      <w:pPr>
        <w:keepNext/>
        <w:spacing w:after="100"/>
      </w:pPr>
      <w:r>
        <w:rPr>
          <w:b/>
          <w:bCs/>
        </w:rPr>
        <w:t xml:space="preserve">Por qué podemos tener razón.</w:t>
      </w:r>
    </w:p>
    <w:p>
      <w:pPr>
        <w:spacing w:after="100"/>
      </w:pPr>
      <w:r>
        <w:t xml:space="preserve">Nuestro DCF (11,68 GBP) y el ponderado (12,03) quedan un 4-7 % sobre la oferta; el bajista (8,73) está por encima del precio sin oferta (7,32): la oferta no es un regalo pero tampoco un robo.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10,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Oferta en efectivo</w:t>
      </w:r>
      <w:r>
        <w:t xml:space="preserve">: 1.120 p, recomendada y final; cierre esperado en el 1T 2027.</w:t>
      </w:r>
    </w:p>
    <w:p>
      <w:pPr>
        <w:pStyle w:val="ListParagraph"/>
        <w:numPr>
          <w:ilvl w:val="0"/>
          <w:numId w:val="2"/>
        </w:numPr>
        <w:spacing w:after="60"/>
      </w:pPr>
      <w:r>
        <w:rPr>
          <w:b/>
        </w:rPr>
        <w:t xml:space="preserve">Calidad</w:t>
      </w:r>
      <w:r>
        <w:t xml:space="preserve">: ROIC del 23,6 % y 89-90 % de ingresos recurrentes.</w:t>
      </w:r>
    </w:p>
    <w:p>
      <w:pPr>
        <w:pStyle w:val="ListParagraph"/>
        <w:numPr>
          <w:ilvl w:val="0"/>
          <w:numId w:val="2"/>
        </w:numPr>
        <w:spacing w:after="60"/>
      </w:pPr>
      <w:r>
        <w:rPr>
          <w:b/>
        </w:rPr>
        <w:t xml:space="preserve">Balance limpio</w:t>
      </w:r>
      <w:r>
        <w:t xml:space="preserve">: deuda neta de 3,8 M y conversión de caja del 93-97 %.</w:t>
      </w:r>
    </w:p>
    <w:p>
      <w:pPr>
        <w:pStyle w:val="ListParagraph"/>
        <w:numPr>
          <w:ilvl w:val="0"/>
          <w:numId w:val="2"/>
        </w:numPr>
        <w:spacing w:after="60"/>
      </w:pPr>
      <w:r>
        <w:rPr>
          <w:b/>
        </w:rPr>
        <w:t xml:space="preserve">Alemania</w:t>
      </w:r>
      <w:r>
        <w:t xml:space="preserve">: margen bruto +30 % en el 1S 2026 y ≈ 15 % de cuota en puestos de nube.</w:t>
      </w:r>
    </w:p>
    <w:p>
      <w:pPr>
        <w:pStyle w:val="ListParagraph"/>
        <w:numPr>
          <w:ilvl w:val="0"/>
          <w:numId w:val="2"/>
        </w:numPr>
        <w:spacing w:after="60"/>
      </w:pPr>
      <w:r>
        <w:rPr>
          <w:b/>
        </w:rPr>
        <w:t xml:space="preserve">Socio de las plataformas</w:t>
      </w:r>
      <w:r>
        <w:t xml:space="preserve">: voz de 555.000 puestos de Teams y ≈ 90.000 de Webex.</w:t>
      </w:r>
    </w:p>
    <w:p>
      <w:pPr>
        <w:pStyle w:val="Heading2"/>
      </w:pPr>
      <w:r>
        <w:t xml:space="preserve">En contra</w:t>
      </w:r>
    </w:p>
    <w:p>
      <w:pPr>
        <w:pStyle w:val="ListParagraph"/>
        <w:numPr>
          <w:ilvl w:val="0"/>
          <w:numId w:val="2"/>
        </w:numPr>
        <w:spacing w:after="60"/>
      </w:pPr>
      <w:r>
        <w:rPr>
          <w:b/>
        </w:rPr>
        <w:t xml:space="preserve">Precio topado</w:t>
      </w:r>
      <w:r>
        <w:t xml:space="preserve">: como mucho un 2,9 % hasta 1.120 p.</w:t>
      </w:r>
    </w:p>
    <w:p>
      <w:pPr>
        <w:pStyle w:val="ListParagraph"/>
        <w:numPr>
          <w:ilvl w:val="0"/>
          <w:numId w:val="2"/>
        </w:numPr>
        <w:spacing w:after="60"/>
      </w:pPr>
      <w:r>
        <w:rPr>
          <w:b/>
        </w:rPr>
        <w:t xml:space="preserve">Riesgo binario</w:t>
      </w:r>
      <w:r>
        <w:t xml:space="preserve">: si la oferta fracasa, vuelta hacia 730-900 p.</w:t>
      </w:r>
    </w:p>
    <w:p>
      <w:pPr>
        <w:pStyle w:val="ListParagraph"/>
        <w:numPr>
          <w:ilvl w:val="0"/>
          <w:numId w:val="2"/>
        </w:numPr>
        <w:spacing w:after="60"/>
      </w:pPr>
      <w:r>
        <w:rPr>
          <w:b/>
        </w:rPr>
        <w:t xml:space="preserve">Reino Unido pyme a la baja</w:t>
      </w:r>
      <w:r>
        <w:t xml:space="preserve">: margen bruto −7 % en el 1S 2026.</w:t>
      </w:r>
    </w:p>
    <w:p>
      <w:pPr>
        <w:pStyle w:val="ListParagraph"/>
        <w:numPr>
          <w:ilvl w:val="0"/>
          <w:numId w:val="2"/>
        </w:numPr>
        <w:spacing w:after="60"/>
      </w:pPr>
      <w:r>
        <w:rPr>
          <w:b/>
        </w:rPr>
        <w:t xml:space="preserve">Fin del apagado del cobre</w:t>
      </w:r>
      <w:r>
        <w:t xml:space="preserve">: el motor de migraciones se acaba en enero de 2027.</w:t>
      </w:r>
    </w:p>
    <w:p>
      <w:pPr>
        <w:pStyle w:val="ListParagraph"/>
        <w:numPr>
          <w:ilvl w:val="0"/>
          <w:numId w:val="2"/>
        </w:numPr>
        <w:spacing w:after="60"/>
      </w:pPr>
      <w:r>
        <w:rPr>
          <w:b/>
        </w:rPr>
        <w:t xml:space="preserve">Plataformas e IA</w:t>
      </w:r>
      <w:r>
        <w:t xml:space="preserve">: Teams, Zoom y RingCentral pueden saltarse al operador; la IA amenaza el cobro por puesto.</w:t>
      </w:r>
    </w:p>
    <w:p>
      <w:pPr>
        <w:pStyle w:val="Heading2"/>
      </w:pPr>
      <w:r>
        <w:t xml:space="preserve">Qué tiene que pasar para que la tesis funcione</w:t>
      </w:r>
    </w:p>
    <w:p>
      <w:pPr>
        <w:spacing w:after="100"/>
      </w:pPr>
      <w:r>
        <w:t xml:space="preserve">La tesis (cobrar 1.120 p) depende solo de la junta del 2-nov-2026 y de la sanción del tribunal. La señal en contra sería una participación baja o el voto en contra anunciado de un accionista grande; si la oferta fracasa, habría que rehacer el análisis con el precio nuevo y con el Reino Unido pyme y Alemania como claves.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Votación de la junta del tribunal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Aplazada al 2-nov-2026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75 % del valor votado a favor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cobro de 1.120 p.</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Diferencial con la oferta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(1.088 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duda del cierre.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Reino Unido pyme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(1S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competencia y el fin del cobre.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Alemania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(1S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apuesta de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Puestos de Teams con voz de Gamma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555.000 (+19 %)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Caída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Canal y amenaza a la vez.</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14,4x / 11,0x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Gamma nació como mayorista de telefonía para el canal de distribuidores del Reino Unido: vendía líneas, minutos y troncales SIP a pequeños instaladores que atendían a pymes, sobre una red de voz propia [1]. Cotizó en el AIM de Londres y creció con el paso de las centralitas a la nube (Horizon), la voz para Microsoft Teams y la venta directa a grandes empresas (Enterprise) [1]. Desde 2017 salió al continente (Países Bajos, España, con resultados flojos y deterioros en 2022-2023) y, con Andrew Belshaw como consejero delegado desde 2022, se volcó en Alemania: Placetel (2024, comprada a Cisco) y Starface (2025, 196 M EUR) [4, 7]. En mayo de 2025 pasó al mercado principal y entró en el FTSE 250 [2]. Tras dos caídas fuertes de la acción (2022 y 2025), el consejo abrió en abril de 2026 un proceso con varios interesados que acabó en la oferta de Epiris a 1.120 p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 año en bolsa: +82 %; BPA ajustado de 40,8 p (+35 %) con el paso a la nube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Mission Labs (contact center), Satisnet, Allnet y Desatel; máximo histórico de cotización (≈ 1.850 p)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Belshaw, consejero delegado; deterioro del fondo de comercio de España; la acción cae un 34 %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Placetel a Cisco (Alemania), Coolwave y BrightCloud; primeras recompras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Starface (196 M EUR); paso al mercado principal y al FTSE 250; la acción cae un 40 % por la debilidad del Reino Unido [1,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Periodo de oferta desde el 7-abr; oferta recomendada de Epiris a 1.120 p el 1-sep, declarada final el 19-oct; juntas el 2-nov [11,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Gamma Communications vende telefonía y comunicaciones de empresa: líneas y centralitas en la nube, voz dentro de Microsoft Teams, Webex y Zoom, contact center, fibra, móvil y ciberseguridad [1]. En el Reino Unido (72 % de las ventas) vende sobre todo a través de ≈ 1.000 distribuidores que atienden a cientos de miles de pymes, y directamente a grandes empresas y sector público (Enterprise); en Alemania (19 %) vende por internet (Placetel) y por distribuidores (Starface); tiene negocios menores en los Países Bajos y España [2]. Emplea a 2.243 personas [1].</w:t>
      </w:r>
    </w:p>
    <w:p>
      <w:pPr>
        <w:pStyle w:val="Heading2"/>
      </w:pPr>
      <w:r>
        <w:t xml:space="preserve">Cómo gana dinero</w:t>
      </w:r>
    </w:p>
    <w:p>
      <w:pPr>
        <w:spacing w:after="100"/>
      </w:pPr>
      <w:r>
        <w:t xml:space="preserve">Cobra cuotas mensuales por puesto, línea, troncal o conexión, más el consumo de llamadas: el 89-90 % de los ingresos es recurrente [2]. Su margen bruto es del 54 % (71 % en Alemania, donde la plataforma es propia), y el EBITDA ajustado del 21,9 % [2]. Gana más cuando el cliente usa su plataforma propia (Horizon, Starface) que cuando revende la de otro (Webex, Teams), y menos en conectividad de fibra que en el cobre antiguo. La caja se convierte casi entera (93-97 %) porque el negocio pide poca inversión (≈ 4 % de las ventas)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Gamma Business (Reino Unido pyme y Service Provider)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Gamma Enterprise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Gamma Germany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Europa (Países Bajos y España)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Gamma Business (Reino Unido pyme y Service Provider)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Gamma Enterprise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Gamma Germany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Europa (Países Bajos y España)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Sin concentración de clientes finales: cientos de miles de pymes a través de ≈ 1.000 distribuidores en el Reino Unido (canal indirecto) y venta directa a grandes cuentas y sector público en Enterprise [1]. La dependencia está en el canal: los distribuidores eligen qué plataforma vender y pueden pasar a otra (RingCentral, 8x8, Zoom Phone o la de los propios operadores). Poder de precios moderado: subidas anuales ligadas a la inflación en contratos de pymes; en 2026 la dirección calcula que el Reino Unido pyme pierde ≈ 2 puntos por precios y 2-3 por puestos [8]. Proveedores clave: BT Openreach (acceso), Cisco (Webex), Microsoft (Teams), Amazon (Connect).</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Puestos en la nube en el Reino Unido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2025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Puestos en la nube en Alemania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(proforma)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Placetel y Starface; ≈ 15 % de cuota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Troncales SIP en el Reino Unido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heredado que baja a medida que las centralitas pasan a la nube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Puestos de Teams con voz de Gamma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Gamma vende la voz que va dentro de Microsoft Teams (Operator Connect y Direct Routing)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 (1S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reconocen a lo largo del tiempo [2,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Webex for Gamma (miles de puestos)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90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Junio de 2026; una de las mayores bases de Webex Calling mayorista del mundo [3].</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Mercado relevante: comunicaciones de empresa en la nube (telefonía en la nube o UCaaS, voz para Teams y Webex, contact center) y los servicios de voz y conectividad que las acompañan, para pymes y empresas del Reino Unido y Alemania, que dan el 91 % de las ventas de Gamma [2]. Se mide en puestos (usuarios con línea en la nube): Gamma tiene ≈ 13-14 % de los del Reino Unido y ≈ 15 % de los de Alemania según su consejero delegado [8], lo que da ≈ 8 millones de puestos en el Reino Unido y ≈ 4 millones en Alemania (estimación propia). En libras, el mercado se aproxima como las ventas de Gamma divididas por su cuota (≈ 4.600 M GBP en 2025, estimación propia que incluye la voz y la conectividad ligadas).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4.600 M GBP en 2025 (estimación propia: 645,8 M de ventas de Gamma ÷ ≈ 14 % de cuota en puestos) [2, 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GBP (estimación propia a partir de la cuota en puestos y del crecimiento de usuarios de nube previsto por Cavel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centralitas locales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Usuarios de nube +7 % anual en el Reino Unido y +16 % en Alemania en 2025-2028 (Cavell, citado por Gamma)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Apagado de la red de cobre británica (PSTN, 31-ene-2027)</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Empuja migraciones a fibra y nube, pero la fibra cuesta más a Gamma: ≈ 4 M de margen bruto perdido en 2025 y otro tanto en 2026; el efecto termina a finales de 2027 [1,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Plataformas de colaboración (Teams, Zoom, Webex) con voz</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Gamma vende la voz de 555.000 puestos de Teams y ≈ 90.000 de Webex: es canal y competidor a la vez [2,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Economía de las pymes británicas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Reino Unido pyme perdió margen bruto (−7 % en el 1S 2026) por puestos y precios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en contact center y agentes de voz</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Lanzamientos de Placetel AI y del «AI concierge»; los agentes de IA usan números y llamadas, pero pueden reducir puestos humanos de contact center [3, 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proveedores de UCaaS (RingCentral, 8x8, Zoom Phone, Teams Phone, NFON, operadores) y precios que bajan en el Reino Unido pyme [3,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Pymes atomizadas, pero el distribuidor decide la plataforma y negocia margen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Openreach en acceso; Microsoft, Cisco y Amazon fijan las condiciones de sus plataformas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plataformas de colaboración pueden vender voz directamente; la red propia y la interconexión regulada son barreras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Teams Phone de Microsoft, móviles y apps de mensajería sustituyen la línea fija [1].</w:t>
            </w:r>
          </w:p>
        </w:tc>
      </w:tr>
    </w:tbl>
    <w:p>
      <w:pPr>
        <w:spacing w:after="160" w:before="0"/>
      </w:pPr>
    </w:p>
    <w:p>
      <w:pPr>
        <w:pStyle w:val="Heading2"/>
      </w:pPr>
      <w:r>
        <w:t xml:space="preserve">Ciclo</w:t>
      </w:r>
    </w:p>
    <w:p>
      <w:pPr>
        <w:spacing w:after="100"/>
      </w:pPr>
      <w:r>
        <w:t xml:space="preserve">En el Reino Unido el paso a la nube está avanzado (≈ 60 % de penetración según los analistas en la conferencia [8]) y el apagado del cobre de enero de 2027 adelanta migraciones que luego no se repetirán. Alemania está a mitad de camino y crece; el resto de Europa es pequeño. La demanda depende poco del ciclo (las líneas son esenciales), pero las altas de puestos y las subidas de precio sí dependen de la confianza de las pymes.</w:t>
      </w:r>
    </w:p>
    <w:p>
      <w:pPr>
        <w:pStyle w:val="Heading2"/>
      </w:pPr>
      <w:r>
        <w:t xml:space="preserve">Regulación</w:t>
      </w:r>
    </w:p>
    <w:p>
      <w:pPr>
        <w:spacing w:after="100"/>
      </w:pPr>
      <w:r>
        <w:t xml:space="preserve">Ofcom regula la interconexión, la portabilidad y el apagado del PSTN (31-ene-2027) [1]. En Alemania, la Bundesnetzagentur. Riesgo de normas sobre llamadas de emergencia y protección de vulnerables en el paso a voz por internet, que encarecen las migraciones [1].</w:t>
      </w:r>
    </w:p>
    <w:p>
      <w:pPr>
        <w:pStyle w:val="Heading2"/>
      </w:pPr>
      <w:r>
        <w:t xml:space="preserve">Tendencias y disrupción</w:t>
      </w:r>
    </w:p>
    <w:p>
      <w:pPr>
        <w:spacing w:after="100"/>
      </w:pPr>
      <w:r>
        <w:t xml:space="preserve">Convergencia de telefonía, colaboración y contact center en una sola plataforma; venta de voz dentro de Teams, Zoom y Webex; IA en atención al cliente (agentes de voz, transcripción, resúmenes); fibra hasta el local (78 % de cobertura en el Reino Unido [1]); en Alemania, paso del hardware local a la nube, que es donde Starface tiene su base instalada.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del canal de distribuidores de comunicaciones de empresa en el Reino Unido (≈ 13-14 % de los puestos en la nube) y «principal retador» en Alemania (≈ 15 %) [1,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 (Teams Phone)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Teams es la plataforma de colaboración dominante; Gamma vende la voz que va dentro (555.000 puestos), así que Teams es a la vez canal y amenaza si Microsoft vende directamente sus planes de llamadas [2].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RingCentral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RNG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UCaaS mundial con canal de operadores; EBITDA del 16 % de las ventas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Zoom Communications (Zoom Phone)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Colaboración con telefonía propia; Gamma es socio en Zoom Provider Exchange [8,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8x8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EGHT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UCaaS con fuerte presencia en el Reino Unido; ventas planas y deuda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NFON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NFN.DE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Telefonía en la nube alemana por distribuidores, el rival más directo de Starface y Placetel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Operadores (BT, Vodafone, Telekom)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 y 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Venden telefonía y conectividad directamente a pymes y grandes empresas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1.000 distribuidores que comparten portal, red y productos: cuantos más productos, más difícil cambiar de mayorista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89-90 % recurrentes; el distribuidor tendría que migrar a sus clientes; troncales y números portados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propias (Horizon, Starface) pero muchas se licencian (Cisco, Broadsoft); sin patentes relevantes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propia de voz e interconexión; margen EBITDA ajustado del 21,9 % frente al 10-20 % de rivales mayores [5,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mayorista del canal británico; en Alemania todavía construye escala [2].</w:t>
            </w:r>
          </w:p>
        </w:tc>
      </w:tr>
    </w:tbl>
    <w:p>
      <w:pPr>
        <w:spacing w:after="160" w:before="0"/>
      </w:pPr>
    </w:p>
    <w:p>
      <w:pPr>
        <w:pStyle w:val="Heading2"/>
      </w:pPr>
      <w:r>
        <w:t xml:space="preserve">Amenazas</w:t>
      </w:r>
    </w:p>
    <w:p>
      <w:pPr>
        <w:spacing w:after="100"/>
      </w:pPr>
      <w:r>
        <w:t xml:space="preserve">Lo que más puede erosionar el foso: (1) Microsoft vendiendo la voz de Teams directamente, sin operador; (2) los distribuidores grandes cambiando de mayorista o integrándose en grupos con su propia plataforma (consolidación del canal); (3) el fin del apagado del cobre, que ha sostenido altas y conversaciones con clientes y termina en enero de 2027 [1, 8]; (4) la IA si reduce los puestos humanos de atención; (5) en Alemania, NFON y los operadores con precios agresivos.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2021-2025: ingresos </w:t>
      </w:r>
      <w:r>
        <w:rPr>
          <w:b/>
          <w:bCs/>
        </w:rPr>
        <w:t xml:space="preserve">9,6 %</w:t>
      </w:r>
      <w:r>
        <w:t xml:space="preserve">, EBITDA </w:t>
      </w:r>
      <w:r>
        <w:rPr>
          <w:b/>
          <w:bCs/>
        </w:rPr>
        <w:t xml:space="preserve">10,4 %</w:t>
      </w:r>
      <w:r>
        <w:t xml:space="preserve">, BPA </w:t>
      </w:r>
      <w:r>
        <w:rPr>
          <w:b/>
          <w:bCs/>
        </w:rPr>
        <w:t xml:space="preserve">5,9 %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447,7 M GBP en 2021 a 645,8 M en 2025 (TCAC del 9,6 %) y 659,2 M en los 12 meses a junio de 2026 [2, 3, 4]. Casi todo el crecimiento reciente es comprado: en 2025 los ingresos crecieron un 11,5 %, pero sin compras solo un 1 %, el margen bruto bajó un 1 % y el EBITDA ajustado quedó plano [2]. El EBITDA ajustado subió de 95,4 M a 141,7 M (21,9 % de las ventas) [2]. En el 1S 2026, ventas +4,2 % y EBITDA ajustado +2,3 % (72,5 M); Alemania crece (margen bruto +30 %, +11 % orgánico) y el Reino Unido pyme baja (margen bruto −7 %) por el apagado de la red de cobre (PSTN), precios y pérdida de puestos [3]. El 89-90 % de los ingresos es recurrente (se reconoce «a lo largo del tiempo»: cuotas de puestos en la nube, llamadas, líneas): 572,0 M de 645,8 M en 2025 [2, 9]. Lo de una vez son equipos (teléfonos y centralitas Starface), instalación y proyectos de Enterprise.</w:t>
      </w:r>
    </w:p>
    <w:p>
      <w:pPr>
        <w:pStyle w:val="Heading2"/>
      </w:pPr>
      <w:r>
        <w:t xml:space="preserve">Ajustes y partidas no recurrentes</w:t>
      </w:r>
    </w:p>
    <w:p>
      <w:pPr>
        <w:spacing w:after="100"/>
      </w:pPr>
      <w:r>
        <w:t xml:space="preserve">El BPA ajustado de la empresa excluye la amortización de intangibles de compras (18,6 M en 2025), los extraordinarios (10,6 M en 2025: 5,1 de costes de Starface, 2,2 de la salida al mercado principal y 3,3 de reestructuración en el Reino Unido), otros ajustes (0,2 M; 1,4 en 2024 por el nuevo ERP), la actualización financiera de los pagos aplazados de compras y el crédito fiscal del patent box de años anteriores [2]. BPA diluido de 2025: 69,3 p estatutario frente a 94,5 p ajustado [2]. Los extraordinarios se han repetido en 2022 (deterioro de España 12,2 M), 2023 (16,0 M, con 12,7 de deterioro de intangibles) y 2025: el DCF resta 0,4 puntos de margen por ellos. En 2026 habrá costes de la oferta (asesores) en el 2S [3].</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 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Gamma publica semestres, no trimestres; EBITDA ajustado y BPA ajustado diluido de la empresa (2S 2025 = año − 1S) [2, 3, 6]. 1S 2026 (7-sep-2026, ya dentro de la oferta de Epiris): ingresos de 330,0 M GBP (+4,2 %), margen bruto de 178,1 M, EBITDA ajustado de 72,5 M (+2,3 %), BPA ajustado plano (47,7 p) por más amortización propia y menos intereses cobrados, y BPA estatutario +18 % (40,2 p) porque en 2025 hubo extraordinarios [3]. Conversión de caja del 97 % y deuda neta de 3,8 M [3]. La empresa espera 2026 en el rango del consenso (EBITDA ajustado 138,0-144,6 M y BPA ajustado 90,0-96,6 p, rango del 23-mar-2026) [2]. No hubo presentación a analistas: la empresa está en oferta.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Starface (Alemania, telefonía para pymes en la nube y en local), comprada el 19-feb-2025 por 196 M EUR (≈ 165 M GBP) sin caja ni deuda; aportó 35,7 M de ingresos y 9,4 M de BAI en 2025 [1, 7]. Año completo de Placetel (comprada a Cisco en septiembre de 2024) [1].; 2024: Placetel (Alemania, septiembre), Coolwave (Irlanda, mayorista de voz) y BrightCloud (contact center) [4].; 2023: Pragma/EnableX (≈ 19,5 M) y deterioro del fondo de comercio y los intangibles de España [4].; 2021: Mission Labs (40,8 M, contact center sobre Amazon Connect), Satisnet (ciberseguridad), Allnet y Desatel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casi sin deuda: la compra de Starface (152,2 M de caja en febrero de 2025) se pagó con caja (153,7 M a fin de 2024) y la línea de crédito, y la deuda neta ya bajó a 9,3 M en diciembre de 2025 y 3,8 M en junio de 2026, aun con 66 M de recompras [2, 3]. Con arrendamientos y pasivos de compras, ≈ 38 M, 0,3 veces el EBITDA ajustado. El fondo de comercio y los intangibles (396,8 M) son ya el 64 % del activo por Starface: el riesgo de deterioro está en los Países Bajos (holgura de solo 2,4 M en la prueba de 2025) y en Alemania si el crecimiento decae [1]. El circulante comercial es pequeño (existencias + clientes − proveedores = 15,6 M, 2,4 % de las ventas), más 54,5 M de activos de contrato (comisiones a distribuidores diferidas)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326</w:t>
      </w:r>
      <w:r>
        <w:t xml:space="preserve">, conversión </w:t>
      </w:r>
      <w:r>
        <w:rPr>
          <w:b/>
          <w:bCs/>
        </w:rPr>
        <w:t xml:space="preserve">112 %</w:t>
      </w:r>
      <w:r>
        <w:t xml:space="preserve"> del beneficio neto; adquisiciones 264, dividendos 76, recompras 72.</w:t>
      </w:r>
    </w:p>
    <w:p>
      <w:pPr>
        <w:spacing w:after="100"/>
      </w:pPr>
      <w:r>
        <w:t xml:space="preserve">Flujo operativo de 88,4 M GBP en 2025 (92,9 en 2024) tras impuestos y 9,4 M de extraordinarios en caja; inversión de 24,3 M (3,8 % de las ventas: plataformas propias y desarrollo capitalizado) y 5,1 M de arrendamientos: flujo libre de ≈ 59 M (≈ 63 de media en 2021-2025) [2, 4]. En los 12 meses a junio de 2026, ≈ 74 M [3]. Conversión de caja ajustada del 93 % en 2025 y del 97 % en el 1S 2026 [2, 3]. En 2021-2025 el flujo libre (≈ 316 M) pagó compras por 264 M, dividendos por 76 M y recompras por 72 M: la caja bajó de 52,8 a 23,7 M y se usó la línea de crédito [2, 4]. La dirección guía una inversión de ≈ 27-28 M al año («no vamos a entrar en la carrera armamentística de la IA») [8].</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Deloitte fue reelegido tras un concurso en 2024 y cambió el socio responsable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limpias y conservadoras: el BPA ajustado solo excluye amortizaciones de compras, extraordinarios identificados y efectos contables de las compras, y el EBITDA ajustado no excluye la remuneración en acciones (1,9 M en 2025) [1, 2]. Los extraordinarios no son raros (2022, 2023 y 2025) y vienen casi siempre de compras: deterioros de España (2022-2023) y costes de Starface (2025) [2, 4]. La señal más importante es la calidad del crecimiento: el crecimiento orgánico fue del 1 % en 2025 y el del Reino Unido pyme es negativo en 2026; las cifras de crecimiento publicadas dependen de Alemania comprada [2, 3]. Los activos de contrato (54,5 M, comisiones pagadas a distribuidores que se amortizan) suben más rápido que las ventas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frente a estatutario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94,5 p frente a 69,3 p en 2025; la diferencia es sobre todo amortización de compras (18,6 M) y extraordinarios (10,6 M)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débil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+1 % y margen bruto −1 % sin compras en 2025; Reino Unido pyme −7 % de margen bruto en el 1S 2026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Extraordinarios repetidos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12,5 M en 2022, 16,0 M en 2023 y 10,8 M en 2025; deterioros de España en dos años seguidos [2,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de comercio e intangibles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396,8 M, el 64 % del activo; holgura de 2,4 M en los Países Bajos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214 M en 2025 (el 52 % del capital invertido medio); ha subido más de un 5 % en 2 de 4 años: compra única grande. ROIC publicado 23,6 %; sin fondo de comercio, 48,7 %.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19,6 % · </w:t>
      </w:r>
      <w:r>
        <w:rPr>
          <w:b/>
          <w:bCs/>
        </w:rPr>
        <w:t xml:space="preserve">WACC</w:t>
      </w:r>
      <w:r>
        <w:t xml:space="preserve">: 10,5 %.</w:t>
      </w:r>
    </w:p>
    <w:p>
      <w:pPr>
        <w:spacing w:after="100"/>
      </w:pPr>
      <w:r>
        <w:t xml:space="preserve">Gamma crea valor con holgura: ROIC del 23,6 % en 2025 según el motor (30,0 % en 2024 y 25-28 % en 2021-2023), frente a un WACC del 10,5 %: +13 puntos [1]. Sin fondo de comercio el ROIC es del 48,7 %: el negocio británico necesita muy poco capital (inversión del ≈ 4-5 % de las ventas, circulante pequeño) [1]. La bajada de 2025 es Starface: el capital invertido pasó de 223 a 319 M por el fondo de comercio y los intangibles comprados, que ya son la mitad del capital, mientras el beneficio comprado (9,4 M de BAI en 2025) aún no compensa [1]. El ROIC incremental de 2021-2025 es del 19,6 %. La empresa da un ROCE del 27,8 % en 2025 y del 30 % en los 12 meses a junio de 2026 [1, 9]. Riesgo: si Alemania no crece lo previsto, el ROIC bajará hacia el 20 % y habrá deterioros como los de España.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21,8 M GBP a 30-jun-2026 y línea de crédito revolvente de 130 M (104,5 M sin disponer) [3]. Covenants: deuda neta ≤ 3 veces el EBITDA y cobertura de intereses ≥ 4 veces; margen de SONIA + 1,5-2,25 % [1]. Vencimiento de la línea: sin confirmar en las cuentas leídas (se pone 2029 como estimación).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calificación crediticia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de compras de 18,0 M GBP a 30-jun-2026 (8,0 a corto y 10,0 a largo): aplazados de Placetel y contingentes de Pragma (hasta 9,8 M) [1, 3]; a fin de 2025 eran 23,0 M (13,6 aplazados, 7,9 contingentes y 1,5 de opción de venta) [1]. Arrendamientos de 16,4 M [3]. Recompra: el programa del 13-ene-2026 dejó 21,5 M en «otras cuentas a pagar» a 30-jun (la parte aún no ejecutada); tras junio se compraron 703.820 acciones más (≈ 7,0 M) y está suspendido [3]. Sin pensiones de prestación definida [1].</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inversión orgánica, compras selectivas (sobre todo Alemania), dividendo progresivo (≈ 25-30 % del beneficio ajustado) y recompras con el exceso de caja [1]. Por la oferta de Epiris no se pagarán más dividendos antes de que se cierre (la oferta se reduciría en el mismo importe) y la recompra está suspendida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STARFACE (Alemania)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línea de crédito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35,7 M de ingresos y 9,4 M de BAI en 2025; con Placetel, ≈ 600.000 puestos en la nube y ≈ 15 % de cuota en Alemania [1,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Placetel (Alemania, comprada a Cisco)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 pago aplazado de 13,1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por internet a pymes; crece al 13-15 % según la dirección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Coolwave y BrightCloud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Voz mayorista internacional y contact center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Pragma/EnableX</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Contingente de 6,4 M (hasta 9,8) pendiente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Mission Labs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Contact center sobre Amazon Connect; base del negocio de CCaaS (48.000 puestos) [2, 4].</w:t>
            </w:r>
          </w:p>
        </w:tc>
      </w:tr>
    </w:tbl>
    <w:p>
      <w:pPr>
        <w:spacing w:after="160" w:before="0"/>
      </w:pPr>
    </w:p>
    <w:p>
      <w:pPr>
        <w:spacing w:after="100"/>
      </w:pPr>
      <w:r>
        <w:t xml:space="preserve">Asignación de capital buena en conjunto: ROCE del 27,8 % en 2025 y del 30 % en el 12 meses a junio de 2026 según la empresa [1, 9], dividendo creciente todos los años de 2018 (9,3 p) a 2025 (22,2 p) y recompras desde 2024 (66 M hasta junio de 2026). Lo débil son las compras fuera de los mercados fuertes: España (deteriorada en 2022-2023) y los Países Bajos (holgura mínima). Alemania es la gran apuesta: Placetel y Starface costaron ≈ 200 M GBP y Starface se pagó a ≈ 13 veces el EBITDA [7], más del doble de lo que el mercado pagaba por la propia Gamma (≈ 6 veces antes de la oferta).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Belshaw</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Gamma desde 2007 (director financiero del canal y del grupo); consejero delegado desde 2022. Con él llegaron las compras alemanas (Placetel, Starface), la salida al mercado principal y las recompras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Damien Maltarp</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Incorporado el 10-ago-2026 en sustitución de Bill Castell, que salió el 31-mar-2026 [13].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Rachael Matzopoulos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Secretaria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Secretaria del consejo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«en el rango de las expectativas del mercado»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125,5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Rango de consenso (sep-2025): EBITDA ajustado 139,4-143,1 M y BPA 89,9-93,9 p</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141,7 M y 94,5 p</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Rango de consenso (mar-2026): EBITDA ajustado 138,0-144,6 M y BPA 90,0-96,6 p</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 72,5 M y 47,7 p)</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curso</w:t>
            </w:r>
          </w:p>
        </w:tc>
      </w:tr>
    </w:tbl>
    <w:p>
      <w:pPr>
        <w:spacing w:after="160" w:before="0"/>
      </w:pPr>
    </w:p>
    <w:p>
      <w:pPr>
        <w:spacing w:after="100"/>
      </w:pPr>
      <w:r>
        <w:t xml:space="preserve">Equipo que cumple lo que anuncia: Gamma guía con el rango de los analistas y lo ha cumplido en 2024 y 2025 [2, 6]. Pero en mayo de 2025 avisó de «debilidad continuada en el Reino Unido» y la acción cayó ≈ 10 % en un día, y los resultados de 2025 (24-mar-2026) trajeron una guía de 2026 plana y otra caída del 11,9 % [2]. El consejo vendió la empresa al primer ciclo de precio bajo: un resultado aceptable para el accionista a corto plazo, pero que dice que el propio consejo no veía fácil volver a cotizar a los múltiplos de antes en solitario [11]. Cambio de director financiero en 2026.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Hellawell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 al nombramiento)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 ESG;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Belshaw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Damien Maltarp</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Rachel Addison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Auditoría y Riesgos;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Charlotta Ginman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Shaun Gregory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ESG;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Xavier Robert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inversiones de Bridgepoint)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 Jagusz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Deloitte fue reelegido tras un concurso en 2024 y cambió el socio responsable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Liontrust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2025 (20-mar-2026)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Jupiter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Allianz Global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Aegon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Fondos de arbitraje de fusiones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50 % del interés económico según el consejo (19-oct-2026), comprado tras el anuncio de la oferta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1,37 M GBP en 2025: 0,60 M de fijo (salario de 575.000, +21 % en el año), 0,57 M de bonus y 0,20 M del plan a largo plazo [1]. El bonus se liga en un 60 % al BAI ajustado, un 20 % al margen bruto y un 20 % a objetivos personales (65,8 % cobrado); el plan a largo plazo, al BPA ajustado y a la rentabilidad total frente al FTSE 250 [1]. Ratio frente al empleado mediano: 27 veces [1]. La política de remuneración tuvo un 97,95 % a favor y el informe un 99,96 % en la junta de 2026 [12]. En septiembre de 2026 se concedieron 143.163 opciones del plan a largo plazo al consejero delegado y 134.052 al nuevo director financiero (parte para compensar lo que dejó en su anterior empleo) [14]: con la oferta, se liberarán en la medida que permitan las reglas del plan.</w:t>
      </w:r>
    </w:p>
    <w:p>
      <w:pPr>
        <w:pStyle w:val="Heading2"/>
      </w:pPr>
      <w:r>
        <w:t xml:space="preserve">Operaciones vinculadas, estructura de control y defensas</w:t>
      </w:r>
    </w:p>
    <w:p>
      <w:pPr>
        <w:spacing w:after="100"/>
      </w:pPr>
      <w:r>
        <w:t xml:space="preserve">Sin accionista de control: el mayor era Liontrust con el 9,87 % antes de la oferta [1]; hoy ≈ la mitad del interés económico está en fondos de arbitraje de fusiones, que compran para cobrar la diferencia hasta 1.120 p. Una acción, un voto; 6 de 8 consejeros independientes; presidente separado del consejero delegado [1]. Los consejeros solo tienen 114.824 acciones (0,13 %), todas comprometidas a votar a favor de la oferta [11]. Acciones con derecho de voto: 89.285.079 a 30-sep-2026 [15].</w:t>
      </w:r>
    </w:p>
    <w:p>
      <w:pPr>
        <w:pStyle w:val="Heading2"/>
      </w:pPr>
      <w:r>
        <w:t xml:space="preserve">Señales de alerta</w:t>
      </w:r>
    </w:p>
    <w:p>
      <w:pPr>
        <w:pStyle w:val="ListParagraph"/>
        <w:numPr>
          <w:ilvl w:val="0"/>
          <w:numId w:val="2"/>
        </w:numPr>
        <w:spacing w:after="60"/>
      </w:pPr>
      <w:r>
        <w:t xml:space="preserve">El presidente, Martin Hellawell, fue reelegido en la junta de mayo de 2026 con solo un 79,35 % a favor (el resto de resoluciones, por encima del 97 %); el consejo dijo no conocer el motivo [12].</w:t>
      </w:r>
    </w:p>
    <w:p>
      <w:pPr>
        <w:pStyle w:val="ListParagraph"/>
        <w:numPr>
          <w:ilvl w:val="0"/>
          <w:numId w:val="2"/>
        </w:numPr>
        <w:spacing w:after="60"/>
      </w:pPr>
      <w:r>
        <w:t xml:space="preserve">El consejo aceptó una oferta de capital privado a 1.120 p, un 27 % por debajo del cierre de 2024 (1.530 p) y un 32 % por debajo del máximo de 2021, tras 18 meses de caída: los accionistas que entraron antes de 2025 salen con pérdidas [11].</w:t>
      </w:r>
    </w:p>
    <w:p>
      <w:pPr>
        <w:pStyle w:val="ListParagraph"/>
        <w:numPr>
          <w:ilvl w:val="0"/>
          <w:numId w:val="2"/>
        </w:numPr>
        <w:spacing w:after="60"/>
      </w:pPr>
      <w:r>
        <w:t xml:space="preserve">Cambio de director financiero en 2026 (salida en marzo y llegada en agosto) [13].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la empresa espera un EBITDA ajustado y un BPA ajustado dentro del rango de los analistas: 138,0-144,6 M GBP y 90,0-96,6 p (rango del 23-mar-2026; en mayo, 138,1-142,8 M de EBITDA) [25]. Inversión de ≈ 27-28 M al año. Desde la oferta (1-sep-2026) no hay más guía ni dividendos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5 analistas (BPA ajustado) [17]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7 analistas [17]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10,80 – 15,70</w:t>
            </w:r>
          </w:p>
        </w:tc>
      </w:tr>
    </w:tbl>
    <w:p>
      <w:pPr>
        <w:spacing w:after="160" w:before="0"/>
      </w:pPr>
    </w:p>
    <w:p>
      <w:pPr>
        <w:pStyle w:val="Heading2"/>
      </w:pPr>
      <w:r>
        <w:t xml:space="preserve">Revisiones de estimaciones</w:t>
      </w:r>
    </w:p>
    <w:p>
      <w:pPr>
        <w:spacing w:after="100"/>
      </w:pPr>
      <w:r>
        <w:t xml:space="preserve">El consenso de BPA ajustado es de 92,9 p para 2026 (5 analistas) y 100,3 p para 2027 (7) [17]. Los objetivos de precio de Yahoo (media de 1393 p, entre 1080 y 1570) son viejos: la mayoría de los analistas dejó de publicar cuando empezó el periodo de oferta (7-abr-2026) y hoy el precio lo fija la oferta de 1.120 p [11, 17]. Sin consenso de EBITDA gratuito.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Rentabilidad total en GBP. La acción fue una de las mejores del FTSE 250 entre 2016 y 2020 (+82 % en 2019) y una de las peores desde 2021: −34 % en 2022 y −40 % en 2025, con una caída máxima del −62 % entre noviembre de 2021 y marzo de 2026 [16]. A cinco años pierde un 9,9 % anual frente al +0,9 % del FTSE 250 [16]. La caída la explica el múltiplo, no el beneficio: el BPA ajustado subió de 64,0 p (2021) a 94,5 p (2025) mientras el PER adelantado bajaba de ≈ 23 a ≈ 10 veces, porque el crecimiento orgánico se paró en el Reino Unido [16, 17]. Desde abril de 2026 la cotización la mueve la venta de la empresa: +17 % el 8-abr al conocerse el interés de compradores, y desde septiembre se queda pegada a la oferta de 1.120 p [11, 16]. Beta de 0,99 (mensual a cinco años) y 0,83 (semanal ajustada); volatilidad del 34 % [16].</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 / +14,5 % / +14,4 % / +6,7 %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 +55,2 %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descarta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 oferta en efectivo de 1.120 p, final y recomendada, fija el precio: comprar hoy rinde como mucho un 2,9 % en 3-5 meses y, si la oferta fracasa el 2-nov o en el tribunal, el precio caería hacia el valor sin oferta. Revisar solo si la oferta no se completa.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2026-03-24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crecimiento orgánico del 1 %, Reino Unido pyme débil y guía de 2026 plana (EBITDA ajustado 138,0-144,6 M frente a 141,7 M en 2025)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del periodo de oferta (7-abr: conversaciones con varios interesados; +16,7 % el 8-abr) y nombres de los posibles compradores (Providence, Epiris, Oakley/Giacom)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Providence anuncia que no hará oferta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de Oakley (12-jun) y de Providence (24-jun): el mercado reduce la probabilidad de una oferta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Conversaciones con Waterland/Giacom confirmadas el 21-ago y, el 1-sep, oferta en firme de Epiris a 1.120 p [11,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Bidco declara la oferta de 1.120 p FINAL (no se subirá salvo oferta rival); juntas aplazadas al 2-nov por falta de quórum (votos por debajo del 40 %), ≈ 50 % del interés económico en fondos de arbitraje; autorización de competencia alemana recibida; cierre esperado en el 1T 2027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descarta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Mientras la oferta siga viva, la acción no puede subir más del ≈ 3 % hasta 1.120 p: la regla a 12 meses no aplica. Se reabriría solo si la oferta fracasa (votación del 2-nov o tribunal) y el precio cae.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del tribunal y junta general aplazadas al 2-nov-2026: el esquema necesita mayoría de accionistas y el 75 % del valor votado; si no se aprueba, la acción volvería hacia su valor sin oferta (732 p el 7-abr) [18,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descarta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 binario pendiente que puede mover el precio más de un 30 %.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Nursery Road Capital compra 150.000 acciones a 1.088 p (Form 8.3): los arbitrajistas siguen comprando con un diferencial del ≈ 3 %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Waterland anuncia que no hará oferta (Regla 2.8): no hay rival a la vista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2026: EBITDA ajustado +2,3 %, Reino Unido pyme −7 % de margen bruto, Alemania +30 %; sin dividendo a cuenta y recompra suspendida por la oferta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recomendada de Bradbury Bidco (Epiris, con HarbourVest y Limewood) a 1.120 p en efectivo: 1.015 M GBP por el capital diluido y ≈ 1.079 M de valor empresa; prima del 53 % sobre los 732 p del 7-abr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descarta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el 19-oct.</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2026-03-20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 de Damien Maltarp como director financiero (desde el 10-ago) tras la salida de Bill Castell (31-mar)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No salta ningún aviso P de la herramienta, pero el precio no se mueve por el negocio: desde el 1-sep-2026 cotiza a un 2-5 % por debajo de la oferta de Epiris (1.120 p) [11, 16]. La subida de abril a octubre (+55 % desde el mínimo de 687 p del 30-mar) es la prima de la oferta, no una revalorización del negocio. Hay un hecho binario pendiente que puede mover el precio más de un 5 %: las juntas del 2-nov-2026 (tribunal y general) y la sanción del tribunal; la oferta es final, no hay rival (Providence, Oakley y Waterland se retiraron) y la autorización alemana ya está [18, 22, 24]. Veredicto: descarta. La regla de compra a 12 meses no tiene sentido para una acción que va a desaparecer de bolsa en el 1T 2027 a un precio fijo.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Cierres de cada año en GBP (Yahoo) [16]. En base adelantada (precio de cierre ÷ BPA ajustado del año siguiente), Gamma cotizó a 23-26 veces en 2019-2021, cuando crecía al 15-25 % con el paso a la nube en el Reino Unido, a 13-16 veces en 2022-2024 y a ≈ 10 veces a finales de 2025, con el crecimiento orgánico parado; el 7-abr-2026, antes de la oferta, a ≈ 7,7 veces el BPA ajustado de 2026 [17]. La oferta paga ≈ 11,7 veces el BPA de 2026 y ≈ 7,5 veces el EBITDA ajustado de los 12 meses a junio [11].</w:t>
      </w:r>
    </w:p>
    <w:p>
      <w:pPr>
        <w:pStyle w:val="Heading1"/>
      </w:pPr>
      <w:r>
        <w:t xml:space="preserve">18. Comparables cotizados</w:t>
      </w:r>
    </w:p>
    <w:p>
      <w:pPr>
        <w:pStyle w:val="Confianza"/>
        <w:spacing w:after="100"/>
      </w:pPr>
      <w:r>
        <w:t xml:space="preserve">Confianza: Media</w:t>
      </w:r>
    </w:p>
    <w:p>
      <w:pPr>
        <w:spacing w:after="100"/>
      </w:pPr>
      <w:r>
        <w:t xml:space="preserve">Proveedores cotizados de telefonía en la nube y voz para empresas: RingCentral, Zoom, 8x8 y NFON (los rivales directos), Bandwidth y Sinch (voz y mensajería mayorista, como el negocio de Service Provider) y Five9 (contact center) [18]. Ninguno es igual: los estadounidenses venden directo y con remuneración en acciones muy alta (su BPA ajustado la excluye, el de Gamma no), NFON es pequeña y casi sin beneficio. No hay un mayorista de canal británico cotizado comparable.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Gamma Communications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RingCentral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Zoom Communications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8x8</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Bandwidth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NFON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Five9</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15,9x / 18,9x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15,2x / 20,4x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 2,2x / 2,7x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r>
    </w:tbl>
    <w:p>
      <w:pPr>
        <w:spacing w:after="160" w:before="0"/>
      </w:pPr>
    </w:p>
    <w:p>
      <w:pPr>
        <w:spacing w:after="100"/>
      </w:pPr>
      <w:r>
        <w:t xml:space="preserve">A 1.088 p, Gamma cotiza a ≈ 11 veces nuestro BPA ajustado de los próximos 12 meses, por debajo de la mediana de los comparables (15,2x) aunque con un BPA de más calidad (incluye la remuneración en acciones) y con caja neta casi nula [17]. Antes de la oferta cotizaba a ≈ 7,7 veces, menos que 8x8 (5,5x, endeudada y sin crecimiento) y muy por debajo de RingCentral y Zoom (15-16x). El EV/EBITDA de la oferta (≈ 7,5 veces) también queda por debajo de los comparables (12-20 veces) [11]: el mercado y el comprador ven a Gamma como un negocio británico maduro con un trozo alemán que crece, no como una plataforma de software.</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Gamma Communications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Epiris (Bradbury Bidco)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en efectivo de 1.120 p, recomendada y final; EV/EBITDA ajustado de los 12 meses a junio de 2026 [11].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STARFACE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Gamma Communications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196 M EUR sobre ventas de ≈ 44 M EUR y EBITDA ajustado de ≈ 15 M EUR de 2024 [7].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Inteliquent (EE. UU., voz mayorista)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Sinch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1.140 M USD sobre ventas de 533 M y EBITDA de 135 M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Vonage (EE. UU., UCaaS y API)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Ericsson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6.200 M USD: precio de plataforma de API en plena burbuja; se excluye [28].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8,4x (8,0x – 10,8x)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12,07 – 16,50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 única transacción que importa es la propia oferta de Epiris: 1.079 M GBP de valor empresa, 7,5 veces el EBITDA ajustado y 1,64 veces las ventas, con una prima del 53 % sobre el precio sin oferta [11]. Hubo una subasta de seis meses con al menos cinco interesados (Providence, Epiris, Oakley/Giacom, Waterland/Giacom y otros que pujaban por partes); ninguno pagó más [21, 22, 23, 24]. Es un buen indicio del valor de control. Gamma pagó por Starface casi el doble en múltiplo (13,1 veces el EBITDA): un negocio alemán que crece se paga mucho más que el británico maduro [7].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(+2,6 %, fijo) es el consenso de ventas (662,6 M) y encaja con el 1S (+4,2 %) y con un 2S más flojo en el Reino Unido pyme [3, 17]. Después, +3,0 % en 2027e (consenso +2,8 %), con el último año del freno del apagado del cobre, y +4,0-4,5 % en 2028e-2029e cuando ese freno desaparece y Alemania pesa más; bajada hasta el 2,5 % en 2033e. Muy por debajo del 9,6 % anual de 2021-2025, que fue comprado: el orgánico de 2025 fue del 1 % [2]. El mercado de usuarios de nube crece al 7 % en el Reino Unido y al 16 % en Alemania según Cavell [1], pero el Reino Unido pyme pierde puestos y precio [8].</w:t>
      </w:r>
    </w:p>
    <w:p>
      <w:pPr>
        <w:keepNext/>
        <w:spacing w:after="100"/>
      </w:pPr>
      <w:r>
        <w:rPr>
          <w:b/>
          <w:bCs/>
        </w:rPr>
        <w:t xml:space="preserve">Márgenes.</w:t>
      </w:r>
    </w:p>
    <w:p>
      <w:pPr>
        <w:spacing w:after="100"/>
      </w:pPr>
      <w:r>
        <w:t xml:space="preserve">Margen EBITDA del DCF = EBITDA ajustado menos 0,4 puntos por extraordinarios que se repiten: 20,9 % en 2026e (ajustado del 21,3 %, centro de la guía de 138-145 M [2]) y subida hasta el 22,0 % en 2030e. La subida (1,1 puntos) es la mezcla: Alemania tiene un 71 % de margen bruto frente al 54 % del grupo y crece más [2], el ahorro de 7 M de la reestructuración de 2025 y el fin del freno del cobre (≈ 4 M de margen bruto al año). El margen ajustado ya fue del 21,7-21,9 % en 2024-2025: no se proyecta nada que no se haya visto.</w:t>
      </w:r>
    </w:p>
    <w:p>
      <w:pPr>
        <w:keepNext/>
        <w:spacing w:after="100"/>
      </w:pPr>
      <w:r>
        <w:rPr>
          <w:b/>
          <w:bCs/>
        </w:rPr>
        <w:t xml:space="preserve">Inversión y circulante.</w:t>
      </w:r>
    </w:p>
    <w:p>
      <w:pPr>
        <w:spacing w:after="100"/>
      </w:pPr>
      <w:r>
        <w:t xml:space="preserve">Inversión (capex y arrendamientos) del 5,0 % de las ventas en 2026e (guía de capex de 27-28 M más ≈ 5 M de arrendamientos [8]) que baja al 4,5 %, frente al 4,6 % de 2025. Amortización de activos propios del 3,6-4,0 % (3,3 % en 2025, subiendo por el desarrollo capitalizado); la de intangibles de compras se deja fuera porque no es caja ni desgrava. Circulante del 5,8 % de las ventas incluidos los activos y pasivos de contrato, como en 2025. Sin compras nuevas.</w:t>
      </w:r>
    </w:p>
    <w:p>
      <w:pPr>
        <w:keepNext/>
        <w:spacing w:after="100"/>
      </w:pPr>
      <w:r>
        <w:rPr>
          <w:b/>
          <w:bCs/>
        </w:rPr>
        <w:t xml:space="preserve">Coste del capital.</w:t>
      </w:r>
    </w:p>
    <w:p>
      <w:pPr>
        <w:spacing w:after="100"/>
      </w:pPr>
      <w:r>
        <w:t xml:space="preserve">Tasa libre del 5,30 % (gilt a 10 años del Bank of England, 16-oct-2026 [19]); beta de 0,90, entre la ajustada semanal a cinco años (0,83) y la mensual (0,99) frente al FTSE 250 [16]; prima de mercado del 5,5 % y 0,5 puntos de prima adicional por tamaño (≈ 1.000 M GBP) y por la dependencia de las pymes británicas. Coste de la deuda del 6,0 % (SONIA + 1,5-2,25 % [1]) y peso de la deuda del 4 % (préstamos, arrendamientos y pasivos de compras). WACC del 10,5 %. Con la prima implícita del mercado (4,2 % [20]) sería del 9,4 %.</w:t>
      </w:r>
    </w:p>
    <w:p>
      <w:pPr>
        <w:keepNext/>
        <w:spacing w:after="100"/>
      </w:pPr>
      <w:r>
        <w:rPr>
          <w:b/>
          <w:bCs/>
        </w:rPr>
        <w:t xml:space="preserve">Valor terminal.</w:t>
      </w:r>
    </w:p>
    <w:p>
      <w:pPr>
        <w:spacing w:after="100"/>
      </w:pPr>
      <w:r>
        <w:t xml:space="preserve">Crecimiento a perpetuidad del 2,0 %, el objetivo de inflación del Reino Unido, coherente con un gilt del 5,3 %: el negocio británico es maduro y Alemania se habrá normalizado en 2033. El múltiplo de salida implícito queda cerca de 7-8 veces el EBITDA, el de la oferta de Epiris (7,5 veces) [11]. El valor terminal pesa un 57 %.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M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(reinvierte el 37 %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 (histórico: 19,6 %)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 frente al 3,4 %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 (hoy: 14,0 %)</w:t>
            </w:r>
          </w:p>
        </w:tc>
      </w:tr>
    </w:tbl>
    <w:p>
      <w:pPr>
        <w:spacing w:after="160" w:before="0"/>
      </w:pPr>
    </w:p>
    <w:p>
      <w:pPr>
        <w:spacing w:after="100"/>
      </w:pPr>
      <w:r>
        <w:t xml:space="preserve">La proyección apenas necesita inversión neta de la amortización (reinversión acumulada de 58 M, el 7 % del NOPAT, con un capex bruto medio del 4,7 % de las ventas). En un negocio de activos ligeros, el crecimiento medio del 3,4 % tiene que salir de subir precios y de ganar volumen sin capital nuevo, y la prueba es el poder de precios y la cuota (12,4 % del mercado en 2033e, frente al 14,0 %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1,5 % (puestos de nube en Alemania +11 % y Webex for Gamma, menos troncales SIP y puestos del Reino Unido pyme), precio neutro (≈ −2 puntos en el Reino Unido pyme compensados con subidas en otros negocios [8]) y 1,1 puntos de perímetro y divisa (Starface en enero-febrero, que en 2025 no estaba, y el euro)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2,5 % con Alemania y Service Provider; precio del 0,5 %; último año del freno del cobre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3 % y precio del 1 %: sin el freno del cobre y con Alemania ≈ 20 % de las ventas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3,5 % y precio del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3 % y precio del 1 %: converge hacia un crecimiento maduro.</w:t>
            </w:r>
          </w:p>
        </w:tc>
      </w:tr>
    </w:tbl>
    <w:p>
      <w:pPr>
        <w:spacing w:after="160" w:before="0"/>
      </w:pPr>
    </w:p>
    <w:p>
      <w:pPr>
        <w:spacing w:after="100"/>
      </w:pPr>
      <w:r>
        <w:t xml:space="preserve">El crecimiento proyectado (3,4 % medio) está muy por debajo del histórico (9,6 % con compras) y del mercado de usuarios de nube (7 % en el Reino Unido y 16 % en Alemania según Cavell [1]), y apenas pide capital: la reinversión acumulada es el 7 % del beneficio operativo y el ROIC actual (23,6 %) financiaría un 8,6 % anual. La cuota final (12,4 % en 2033e frente al 14 % de hoy) incluso baja: el caso base ya supone que el Reino Unido pyme pierde terreno frente a Teams, Zoom y RingCentral. El motor da también «Sí». El riesgo no es de capital sino de precio y de puestos en el Reino Unido; lo recoge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 (base: 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20,9 % (base: 22,0 %)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 (WACC: 10,5 %)</w:t>
            </w:r>
          </w:p>
        </w:tc>
      </w:tr>
    </w:tbl>
    <w:p>
      <w:pPr>
        <w:spacing w:after="160" w:before="0"/>
      </w:pPr>
    </w:p>
    <w:p>
      <w:pPr>
        <w:spacing w:after="100"/>
      </w:pPr>
      <w:r>
        <w:t xml:space="preserve">El DCF da 11,68 GBP por acción (1.168 p), un 7,4 % sobre el precio y un 4,3 % sobre la oferta de 1.120 p, con un WACC del 10,5 % y un valor terminal del 57 %. El DCF inverso dice que el precio descuenta un crecimiento del 2,1 % anual con nuestros márgenes, frente al 3,5 % del caso base y al 9,6 % histórico: el precio de hoy no es exigente, y sin la oferta (732 p) descontaba un negocio en declive. Con la prima de riesgo que pide hoy el mercado (4,2 %) el DCF sube a ≈ 13,5 GBP. Lectura: la oferta de Epiris paga aproximadamente el valor de Gamma en solitario con nuestra tasa (algo menos), no un precio de control generoso; el bajista (crecimiento 2 puntos menor y margen 1,5 puntos menor: el Reino Unido pyme sigue cayendo y Alemania se frena) vale 8,73 GBP.</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 vende directamente la voz de Teams, los distribuidores británicos se consolidan y renegocian, el Reino Unido pyme pierde un 3-5 % de margen bruto al año durante varios años y Alemania se frena por NFON y los operadores: crecimiento 2 puntos menor y margen 1,5 puntos menor. Es lo que ya pasó en 2025 (orgánico +1 %) prolongado.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Reino Unido pyme se estabiliza tras el apagado del cobre (2027), Alemania crece al 10-15 % y Enterprise y Service Provider crecen poco: ventas +3-4,5 % y margen EBITDA ajustado del 22,4 % en 2030e.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 mantiene el 15 % de crecimiento, Webex for Gamma y la voz para Teams y Zoom ganan escala y la IA (agentes de voz por su red) suma tráfico: un punto más de crecimiento y medio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GBP) · precio actual 10,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11,19 GBP (+2,8 %).</w:t>
      </w:r>
    </w:p>
    <w:p>
      <w:pPr>
        <w:spacing w:after="100"/>
      </w:pPr>
      <w:r>
        <w:t xml:space="preserve">La asimetría del negocio en solitario es desfavorable: el alcista vale 12,68 GBP (+16,5 %) y el bajista 8,73 (−19,8 %). Pero lo que decide hoy no es esto sino la oferta: con 1.120 p sobre la mesa, el inversor que compra a 1.088 p gana un 2,9 % si se cierra y pierde un 20-33 % si fracasa (hacia el bajista o hacia el precio de antes de la oferta, 732 p). Con una probabilidad de cierre del 90 %, el valor esperado es de ≈ 10,9-11,0 GBP: no compensa.</w:t>
      </w:r>
    </w:p>
    <w:p>
      <w:pPr>
        <w:pStyle w:val="Heading1"/>
      </w:pPr>
      <w:r>
        <w:t xml:space="preserve">22. Suma de partes</w:t>
      </w:r>
    </w:p>
    <w:p>
      <w:pPr>
        <w:pStyle w:val="Confianza"/>
        <w:spacing w:after="100"/>
      </w:pPr>
      <w:r>
        <w:t xml:space="preserve">Confianza: Baja</w:t>
      </w:r>
    </w:p>
    <w:p>
      <w:pPr>
        <w:spacing w:after="100"/>
      </w:pPr>
      <w:r>
        <w:t xml:space="preserve">No aplica como método: los negocios comparten red, plataforma y canal. Como referencia, el consejo recibió propuestas por partes del grupo durante la subasta [11], y Alemania (110,2 M de ventas y 22,5 M de EBITDA ajustado en 2025) valdría a los 13 veces que se pagó por Starface ≈ 290 M GBP, más de un cuarto del valor empresa de la oferta con el 16 % del EBITDA [1, 7].</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GBP) · precio actual 10,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12,03 GBP (+10,6 % sobre 10,88).</w:t>
      </w:r>
    </w:p>
    <w:p>
      <w:pPr>
        <w:spacing w:after="100"/>
      </w:pPr>
      <w:r>
        <w:t xml:space="preserve">Pesos: DCF 45 %, escenarios 30 %, transacciones 15 % y comparables 10 %. El DCF es el método más fiable para un negocio de ingresos recurrentes y poca inversión. Las transacciones pesan más de lo normal porque la referencia principal es la propia oferta de Epiris (7,5 veces el EBITDA ajustado), salida de una subasta de seis meses con al menos cinco interesados [11, 21]. Los comparables pesan poco: los estadounidenses (RingCentral, Zoom, Five9) cotizan a 15-20 veces el EBITDA con crecimientos y políticas de remuneración en acciones distintos, y dan valores muy altos que no se pagarían por Gamma. El valor objetivo de la síntesis es de 12,03 GBP (+10,6 %), un 7 % sobre la oferta: Epiris compra a un precio razonable, sin regalo para el accionista.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(11.2x) × 1.1 (tope: la mediana de 5 años, 14.4x,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+68,3 %</w:t>
            </w:r>
          </w:p>
        </w:tc>
      </w:tr>
    </w:tbl>
    <w:p>
      <w:pPr>
        <w:spacing w:after="160" w:before="0"/>
      </w:pPr>
    </w:p>
    <w:p>
      <w:pPr>
        <w:spacing w:after="100"/>
      </w:pPr>
      <w:r>
        <w:rPr>
          <w:b/>
          <w:bCs/>
        </w:rPr>
        <w:t xml:space="preserve">Objetivo a 12 meses (ponderado):</w:t>
      </w:r>
      <w:r>
        <w:t xml:space="preserve"> 13,16 GBP (1.316,00 GBp) · rentabilidad +23,0 % (base +19,6 %) · señal Comprar.</w:t>
      </w:r>
    </w:p>
    <w:p>
      <w:pPr>
        <w:spacing w:after="100"/>
      </w:pPr>
      <w:r>
        <w:t xml:space="preserve">Para comparar, con la regla v2 (historia al cierre, mismo precio): 9,8x / 11,2x / 14,6x, 12,7 % Mantener; con el tope anterior del base (×1,3, 14-oct mediodía): 26,2 %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2026e (0,944 GBP) está un 1,6 % por encima del consenso (0,929) y dentro del rango de la empresa (0,900-0,966) [2, 17]; el de 2027e (0,977) queda un 2,6 % por debajo (1,003) porque no incluye recompras (suspendidas por la oferta). La gran diferencia no está en el BPA sino en el precio: la regla común lleva el PER de 11,2 a 12,3 veces, pero el precio no puede pasar de 1.120 p mientras la oferta esté viva. Los objetivos de los analistas (1.393 p de media) son anteriores a la oferta.</w:t>
      </w:r>
    </w:p>
    <w:p>
      <w:pPr>
        <w:keepNext/>
        <w:spacing w:after="100"/>
      </w:pPr>
      <w:r>
        <w:rPr>
          <w:b/>
          <w:bCs/>
        </w:rPr>
        <w:t xml:space="preserve">Del valor intrínseco al objetivo a 12 meses.</w:t>
      </w:r>
    </w:p>
    <w:p>
      <w:pPr>
        <w:spacing w:after="100"/>
      </w:pPr>
      <w:r>
        <w:t xml:space="preserve">El objetivo a 12 meses de la regla (13,16 GBP ponderado; base 12,79) daría un 23,0 % de rentabilidad ponderada y un 19,6 % en el base (con un dividendo que no se pagará), y el valor intrínseco (12,03 GBP) está un 10,6 % sobre el precio: mecánicamente, Comprar. Pero es un objetivo inalcanzable: la oferta de 1.120 p es final, la empresa dejará de cotizar en el 1T 2027 si se aprueba el 2-nov, y el accionista recibirá 11,20 GBP, un 2,9 % más que hoy [18]. Si la oferta fracasa, el precio de partida no sería el actual sino uno cercano al de antes de la oferta (7,32 GBP, 7,8 veces el BPA de 2026e). Por eso la recomendación es Mantener y no Comprar.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del tribunal y junta general sobre el esquema de Epiris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la acción va hacia 1.120 p hasta el cierre; rechazo: caída hacia 730-900 p</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2027-01-31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Apagado de la red de cobre británica (PSTN)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freno de margen bruto (≈ 4 M al año) a lo largo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Sanción del tribunal y cierre de la oferta; exclusión de cotización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de 1.120 p en efectivo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Oferta rival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por encima de 1.120 p; improbable: Providence, Oakley y Waterland ya se retiraron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oferta fracasa (votación del 2-nov, tribunal o condición incumplida)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Corporativo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−33 % (hacia 730-870 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recomendada y final, ≈ 50 % del capital en fondos de arbitraje que votarán a favor, autorización alemana ya obtenida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baja en la junta del 2-nov o un accionista grande que anuncie su voto en contra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 Teams, Zoom y RingCentral venden la voz directamente al cliente final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Gamma vende hoy la voz dentro de Teams (555.000 puestos, +19 %), Webex (≈ 90.000) y Zoom: es socio de las tres plataformas, no solo rival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 los puestos de Teams con voz de Gamma o de los márgenes de Operator Connect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 pyme: pérdida de puestos y precio tras el apagado del cobre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freno del cobre termina a finales de 2027; FibreXchange y PhoneLine+ captan migraciones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Reino Unido pyme cayendo más de un 5 %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 no crece lo esperado (NFON, operadores, adopción lenta de la nube)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y deterioro de Starface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 15 %, margen bruto del 71 % y crecimiento orgánico del 11 % en el 1S 2026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alemán por debajo del 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IA: agentes de voz y contact center que reducen puestos humanos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+5 %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necesita números, llamadas y red: Gamma vende esa capa (Service Provider, Coolwave) y lanza sus propios productos (Placetel AI, AI concierge)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 puestos de contact center (48.000) o de las altas de puestos de pymes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Deterioros de compras (Países Bajos, Alemania)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Holgura amplia en Alemania; los Países Bajos son pequeños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Holgura de la prueba de deterioro de 2026</w:t>
            </w:r>
          </w:p>
        </w:tc>
      </w:tr>
    </w:tbl>
    <w:p>
      <w:pPr>
        <w:spacing w:after="160" w:before="0"/>
      </w:pPr>
    </w:p>
    <w:p>
      <w:pPr>
        <w:pStyle w:val="Heading2"/>
      </w:pPr>
      <w:r>
        <w:t xml:space="preserve">Pre-mortem</w:t>
      </w:r>
    </w:p>
    <w:p>
      <w:pPr>
        <w:spacing w:after="100"/>
      </w:pPr>
      <w:r>
        <w:t xml:space="preserve">Octubre de 2027: quien compró a 1.088 p perdió un 30 %. La junta del 2-nov-2026 no llegó al 75 % del valor votado: algunos accionistas históricos votaron en contra por considerar 1.120 p un precio de mínimos y los arbitrajistas, que no estaban todos registrados a tiempo, no compensaron. La oferta caducó, los fondos de arbitraje vendieron en masa y la acción volvió a 750-800 p. En 2027 el Reino Unido pyme siguió perdiendo puestos frente a Teams Phone vendido directamente por Microsoft, el margen bruto británico cayó otro 6 % y Alemania creció al 7 %. La señal temprana fue la baja participación de octubre y que el consejo tuviera que aplazar las juntas.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−5 % a +5 % a 3-5 años</w:t>
      </w:r>
    </w:p>
    <w:p>
      <w:pPr>
        <w:spacing w:after="100"/>
      </w:pPr>
      <w:r>
        <w:t xml:space="preserve">Amenaza y oportunidad a la vez, con un pequeño saldo en contra a medio plazo. Amenaza: Gamma cobra por puesto, y los agentes de voz con IA reducirán los puestos humanos de contact center (CCaaS, 48.000 puestos, todavía pequeño) y, más despacio, los de atención en pymes; además las plataformas grandes (Microsoft, Zoom, Google) meten la IA en su suite y pueden saltarse al operador [2]. La dirección dice que «no va a entrar en la carrera armamentística de la IA» y limita la inversión a 27-28 M al año [8]. Oportunidad: un agente de voz sigue necesitando números, interconexión y llamadas, que es la capa que Gamma vende (Service Provider, Coolwave para hiperescaladores en Asia-Pacífico), y Gamma ya vende Placetel AI y un «AI concierge» a pymes [3]. Epiris dice que una mayor adopción de la IA es parte de su plan [11]. Señal: puestos de CCaaS y altas de puestos en pymes.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Gamma es la continuidad del servicio (las comunicaciones son críticas: llamadas de emergencia, clientes vulnerables en el apagado del cobre), la ciberseguridad y la protección de datos de las llamadas, y la gestión del canal de distribuidores [1]. Sus emisiones son pequeñas (oficinas y centros de datos); el informe anual dice tener objetivos validados por la Science Based Targets initiative [1]. Lo social pesa en el empleo: 2.243 personas, reestructuración en el Reino Unido en 2025 y compromiso de Epiris de no reducir plantilla de forma material en 12 meses salvo funciones de empresa cotizada [11].</w:t>
      </w:r>
    </w:p>
    <w:p>
      <w:pPr>
        <w:pStyle w:val="Heading2"/>
      </w:pPr>
      <w:r>
        <w:t xml:space="preserve">Controversias</w:t>
      </w:r>
    </w:p>
    <w:p>
      <w:pPr>
        <w:spacing w:after="100"/>
      </w:pPr>
      <w:r>
        <w:t xml:space="preserve">Sin controversias relevantes encontradas. En gobierno: el presidente fue reelegido con solo un 79,35 % en mayo de 2026 y el consejo vende la empresa por debajo de los precios de 2019-2024 [11, 12]. Calificaciones de MSCI, Sustainalytics o CDP no comprobadas en fuente primaria: no se dan.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del capital ha votado ya a favor antes del 2-nov y qué accionistas grandes no han votado?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se cobra 1.120 p o si el precio vuelve a 730-900 p.</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 pyme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puestos y cuánto margen bruto se pierden en 2026-2027 por el apagado del cobre y cuándo se estabiliza el negocio?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42 % del margen bruto y baja un 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 Teams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deja un puesto de Teams con voz de Gamma frente a uno de Horizon, y qué pasa si Microsoft vende sus planes de llamadas en el Reino Unido y Alemania?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Teams es el canal que más crece (+19 %) y a la vez la mayor amenaza.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orgánico tienen Placetel y Starface por separado y cuánta base instalada local de Starface pasará a la nube?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apuesta de crecimiento y el 52 % del capital invertido son compras.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¿Cuántos minutos de agentes de IA pasan ya por la red de Gamma y qué precio tienen frente a un puesto humano?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Separa la IA como oportunidad de tráfico de la IA como amenaza a los puestos.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Neutral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UK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la oferta, artículos que veían a Gamma barata (≈ 14 veces el beneficio en sep-2025 frente a ≈ 23 de media de cinco años) con el apagado del cobre como catalizador, y avisaban del riesgo de que se retrasara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financiera británica (AJ Bell, HL, ISPreview)</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Neutral</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Cobertura de la subasta: caída al retirarse Providence, prima del 53 % de Epiris, oferta final y juntas aplazadas por la baja participación; sin debate de fondo sobre el negocio [30, 33, 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 1.120 p un precio bajo?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27 % menos que el cierre de 2024 y ≈ 11,7 veces el BPA ajustado de 2026, pero hubo una subasta de seis meses y nadie pagó más [18].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Arbitraje de fusiones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Neutral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50 % del capital en fondos de arbitraje: votarán a favor; la baja participación es de los accionistas a largo plazo [18].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Apagado del cobre como catalizador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cuentas dicen lo contrario a corto plazo: la migración a fibra resta ≈ 4 M de margen bruto al año hasta finales de 2027 [18].</w:t>
            </w:r>
          </w:p>
        </w:tc>
      </w:tr>
    </w:tbl>
    <w:p>
      <w:pPr>
        <w:spacing w:after="160" w:before="0"/>
      </w:pPr>
    </w:p>
    <w:p>
      <w:pPr>
        <w:spacing w:after="100"/>
      </w:pPr>
      <w:r>
        <w:t xml:space="preserve">Ya no hay un sentimiento sobre el negocio sino sobre la operación: la acción la tienen arbitrajistas que esperan cobrar 1.120 p. La baja participación en las juntas apunta a accionistas antiguos poco entusiasmados, no a una rebelión organizada: no hemos encontrado ningún accionista grande que haya dicho que votará en contra. Opiniones, no datos: ninguna cifra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22 controles correctos y 1 explicados. Fuentes: 35 (23 primarias); citas distintas en el texto: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12,4 % en 2033e frente al 14,0 %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5,8 % frente a 5,8 % real: genera una variación de circulante de 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12,7 %: para comprar o ampliar hace falta motivo de negocio propio; para mantener basta la vigente. Explicación: La v3 da Comprar (ponderada del 23,0 %, base del 19,6 %) y la v2 Mantener (12,7 %). No es una compra en ningún caso: la oferta en efectivo de 1.120 p, final y recomendada, pone un techo del +2,9 % al precio mientras esté viva, y si fracasa el precio volvería hacia el de antes de la oferta (732 p el 7-abr-2026). La recomendación es Mantener, apartada de la regla con justificación [11, 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«Baja» (las reglas discrepan (absoluta Mantener, relativa Comprar)) y el análisis pone «Alta»: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 fuentes (23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Oficial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en libras (serie oficial)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crecimientos de usuarios de Cavell); 2) transcripciones de resultados (cuotas en puestos); 3) Ofcom Connected Nations (sin cifra de UCaaS)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a partir de la cuota en puestos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de fundación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2) anuncio de la oferta (sección «Information on Gamma»); 3) notas de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próximos 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RNS de octubre; 2) web de inversores; 3) calendario de Yahoo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fecha: la empresa deja de cotizar si la oferta se completa en el 1T 2027</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Accounts 2025 (cuentas auditadas, segmentos, combinaciones de negocios, deuda,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Gamma Communications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https://gammagroup.co/wp-content/uploads/2026/04/Gamma-Annual-Report-2025-Final-7-April-2026.pdf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 year results 2025 (conciliación ajustado-estatutario, segmentos, ingresos recurrentes, perspectivas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Gamma Communications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https://gammagroup.co/wp-content/uploads/2026/03/Full-Year-RNS-2025-2.pdf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six months to 30 June 2026 (sin auditar): cuenta, balance, deuda neta, recompras,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Gamma Communications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https://gammagroup.co/wp-content/uploads/2026/09/HY-RNS-2026-Final.pdf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2024, 2023, 2022, 2021 y 2019 (cuentas y BPA ajustado de cada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Gamma Communications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https://gammagroup.co/wp-content/uploads/2025/03/Full-Year-Results-Statement-2024.pdf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ESEF de 2024 y 2025 (filings.xbrl.org, LEI 213800LAQZXPRIZUEH50), herramienta cuentas.mjs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 (FCA,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six months to 30 June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Gamma Communications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https://gammagroup.co/wp-content/uploads/2025/09/Interim-Results-for-six-months-to-30-June-2025.pdf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Gamma agrees to acquire STARFACE (precio, ventas y EBITDA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Gamma Communications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https://www.investegate.co.uk/announcement/rns/gamma-communications--gama/gamma-agrees-to-acquire-starface/8686490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2025: transcripción de la presentación (Alemania, Reino Unido, PSTN, IA, inversión)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Gamma Communications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https://gammagroup.co/wp-content/uploads/2026/03/Gamma-Full-Year-Results-2025-Presentation-transcript.pdf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2026 investor presentation (ROCE, conversión de caja, ingresos recurrentes, Webex for Gamma)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Gamma Communications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https://gammagroup.co/wp-content/uploads/2026/09/Investor-Presentation-Half-Year-2026-vF.pdf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competidores (ventas, EBITDA, valor empresa) de Yahoo Finance: RingCentral, 8x8, Zoom, Bandwidth, NFON, Sinch, Five9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Offer for Gamma Communications plc (anuncio de la Regla 2.7: riesgos de la estrategia en solitario según 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Gamma y Bradbury Bidco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https://www.investegate.co.uk/announcement/rns/gamma-communications--gama/offer-for-gamma-communications-plc/9747182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(13-may-2026): votos por resolución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Gamma Communications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https://www.investegate.co.uk/announcement/rns/gamma-communications--gama/result-of-agm/9567138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Chief Financial Officer (Damien Maltarp; salida de Bill Castell)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Gamma Communications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https://www.investegate.co.uk/announcement/rns/gamma-communications--gama/appointment-of-chief-financial-officer/9483491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concesión de opciones del LTIP (7-sep-2026)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Gamma Communications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https://www.investegate.co.uk/announcement/rns/gamma-communications--gama/director-pdmr-shareholding/9758522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Gamma Communications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https://www.investegate.co.uk/announcement/rns/gamma-communications--gama/total-voting-rights/9802293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GAMA.L, FTSE 250 (MIDD.L) y Stoxx Europe 600 Telecom (EXV2.DE): precio, rango, rentabilidades, beta, cierres de ejercicio;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https://finance.yahoo.com/quote/GAMA.L/history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GAMA.L y comparables (BPA, ventas, objetivos, recomendaciones; cierre del 21-oct a las 15:38 UTC):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https://finance.yahoo.com/quote/GAMA.L/analysis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Offer update: oferta declarada final; juntas aplazadas al 2-nov-2026 por participación inferior al 40 %; ≈ 50 % en fondos de arbitraje; autorización de competencia alemana; cierre esperado en el 1T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Gamma Communications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https://www.investegate.co.uk/announcement/rns/gamma-communications--gama/offer-update/9828246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gilt a 10 años (serie IUDMNPY): 5,30 % el 16-oct-2026 (dato recogido en el informe de Kainos del 21-oct)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Oficial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Response to speculation (7-abr-2026): inicio del periodo de oferta; y anuncios del 13 y 15-may (Providence, Epiris, Oakley/Giacom)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Gamma Communications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https://www.investegate.co.uk/announcement/rns/gamma-communications--gama/response-to-speculation/9509017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of intention not to make an offer (Providence, 24-jun-2026)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Providence Equity Partners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https://www.investegate.co.uk/announcement/rns/gamma-communications--gama/statement-of-intention-not-to-make-an-offer/9634179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Response to press speculation (21-ago-2026: conversaciones con Waterland/Giacom)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Gamma Communications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https://www.investegate.co.uk/announcement/rns/gamma-communications--gama/response-to-press-speculation/9734396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Rule 2.8 announcement (1-oct-2026: Waterland no hará oferta)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Waterland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https://www.investegate.co.uk/announcement/rns/gamma-communications--gama/2-8-announcement/9800233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Results 2025 (24-mar-2026) y AGM trading update (13-may-2026)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Gamma Communications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https://www.investegate.co.uk/announcement/rns/gamma-communications--gama/agm-trading-update-/9565118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Publication of Scheme Document (25-sep-2026)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Gamma Communications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https://www.investegate.co.uk/announcement/rns/gamma-communications--gama/publication-of-scheme-document/9790275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8.3 de Nursery Road Capital (compra de 150.000 acciones a 1.088 p el 19-oct)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Nursery Road Capital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https://www.investegate.co.uk/announcement/rns/gamma-communications--gama/nursery-road-capital-gamma-communications-plc/9832170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Vonage Holdings 8-K (ex. 99.1): Ericsson compra Vonage por 6.200 M USD de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Vonage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https://www.sec.gov/cgi-bin/browse-edgar?action=getcompany&amp;company=vonage&amp;type=8-K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Sinch to acquire Inteliquent for $1.14B (ventas de 533 M USD y EBITDA de 135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TechCrunch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https://techcrunch.com/2021/05/16/sinch-inteliquent/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Gamma Communications says takeover offer is final (Alliance News)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https://www.ajbell.co.uk/news/articles/brief-gamma-communications-says-takeover-offer-final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GBP/USD, GBP/EUR y GBP/SEK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https://finance.yahoo.com/quote/GBPUSD=X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UK: «FTSE 250 correction: a rare chance to buy cheap shares» (Gamma barata tras los resultados; apagado del cobre como catalizador)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https://www.fool.co.uk/2026/03/24/ftse-250-correction-a-rare-chance-to-buy-cheap-shares/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UK ISP Gamma reach agreement on £1bn cash offer by Epiris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ISPreview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https://www.ispreview.co.uk/index.php/2026/09/business-uk-isp-gamma-reach-agreement-on-1bn-cash-offer-by-epiris.html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Gamma Communications slumps as Providence abandons pursuit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https://www.hl.co.uk/shares/stock-market-news/company--news/archive/gamma-communications-slumps-as-providence-abandons-pursuit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Kainos Group: análisis value del 21-oct-2026 (misma fecha; fuente del gilt a 10 años del Bank of England y convenciones de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(informes/kainos-2026-10-21)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informes/kainos-2026-10-21/</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90,6 %</w:t>
      </w:r>
      <w:r>
        <w:t xml:space="preserve"> · Secciones con menos del 60 % de campos cubiertos: </w:t>
      </w:r>
      <w:r>
        <w:rPr>
          <w:b/>
          <w:bCs/>
        </w:rPr>
        <w:t xml:space="preserve">ninguna</w:t>
      </w:r>
      <w:r>
        <w:t xml:space="preserve"> · Generado el 21 oct 2026.</w:t>
      </w:r>
    </w:p>
    <w:p>
      <w:pPr>
        <w:pStyle w:val="Nota"/>
        <w:spacing w:after="100"/>
      </w:pPr>
      <w:r>
        <w:t xml:space="preserve">Cifras en millones de GBP; BPA, DPA y precios en GBP (la acción cotiza en peniques: 1.088 GBp = 10,88 GBP). Ejercicio a 31 de diciembre; último semestre publicado, el 1S 2026 (sin auditar). Precio: cierre del 21-oct-2026 (1.088 GBp; último dato de Yahoo a las 15:38 UTC, la sesión de Londres ya había cerrado) [17]. LA ACCIÓN ESTÁ BAJO UNA OFERTA EN EFECTIVO DE 1.120 p, RECOMENDADA Y FINAL (Epiris), con juntas el 2-nov-2026 y cierre previsto en el 1T 2027 [11, 18]: la cotización no refleja el valor del negocio sino la probabilidad de que la oferta se cierre. La regla a 12 meses (BPA × PER) da Comprar de forma mecánica, pero no puede cumplirse con un precio tope de 1.120 p: la recomendación se aparta de ella (ver justificación). El BPA de la regla y su historia van en la base ajustada de la empresa (sin amortización de intangibles de compras ni extraordinarios), la misma del consenso; el DCF resta 0,4 puntos de margen por extraordinarios que se repiten. Tamaño del mercado: estimación propia a partir de la cuota en puestos. Sin dividendos mientras la oferta esté pendiente (el motor suma un 2 % de dividendo que no se cobrará). Precio de una acción en EUR: ≈ 12,97 EUR (1,1922 EUR por GBP [31]).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Gamma Communications plc (GAMA)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10,88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(6,87 – 12,07)</c:v>
                </c:pt>
                <c:pt idx="1">
                  <c:v>Precio objetivo de los analistas (10,80 – 15,70)</c:v>
                </c:pt>
                <c:pt idx="2">
                  <c:v>Comparables: PER NTM (11,10 – 20,12)</c:v>
                </c:pt>
                <c:pt idx="3">
                  <c:v>Transacciones precedentes (EV/EBITDA) (12,07 – 16,50)</c:v>
                </c:pt>
                <c:pt idx="4">
                  <c:v>DCF (WACC y g ± 0,5) (10,64 – 12,99)</c:v>
                </c:pt>
                <c:pt idx="5">
                  <c:v>Escenarios (bajista – alcista) (8,73 – 12,68)</c:v>
                </c:pt>
                <c:pt idx="6">
                  <c:v>DCF con la prima implícita del mercado (4,2 %)</c:v>
                </c:pt>
                <c:pt idx="7">
                  <c:v>Precio actual (10,88)</c:v>
                </c:pt>
              </c:strCache>
            </c:strRef>
          </c:cat>
          <c:val>
            <c:numRef>
              <c:f>Hoja1!$B$2:$B$9</c:f>
              <c:numCache>
                <c:formatCode>#,##0.0</c:formatCode>
                <c:ptCount val="8"/>
                <c:pt idx="0">
                  <c:v>6.87</c:v>
                </c:pt>
                <c:pt idx="1">
                  <c:v>10.8</c:v>
                </c:pt>
                <c:pt idx="2">
                  <c:v>11.1</c:v>
                </c:pt>
                <c:pt idx="3">
                  <c:v>12.07</c:v>
                </c:pt>
                <c:pt idx="4">
                  <c:v>10.64</c:v>
                </c:pt>
                <c:pt idx="5">
                  <c:v>8.73</c:v>
                </c:pt>
                <c:pt idx="6">
                  <c:v>12.64</c:v>
                </c:pt>
                <c:pt idx="7">
                  <c:v>10.83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(6,87 – 12,07)</c:v>
                </c:pt>
                <c:pt idx="1">
                  <c:v>Precio objetivo de los analistas (10,80 – 15,70)</c:v>
                </c:pt>
                <c:pt idx="2">
                  <c:v>Comparables: PER NTM (11,10 – 20,12)</c:v>
                </c:pt>
                <c:pt idx="3">
                  <c:v>Transacciones precedentes (EV/EBITDA) (12,07 – 16,50)</c:v>
                </c:pt>
                <c:pt idx="4">
                  <c:v>DCF (WACC y g ± 0,5) (10,64 – 12,99)</c:v>
                </c:pt>
                <c:pt idx="5">
                  <c:v>Escenarios (bajista – alcista) (8,73 – 12,68)</c:v>
                </c:pt>
                <c:pt idx="6">
                  <c:v>DCF con la prima implícita del mercado (4,2 %)</c:v>
                </c:pt>
                <c:pt idx="7">
                  <c:v>Precio actual (10,88)</c:v>
                </c:pt>
              </c:strCache>
            </c:strRef>
          </c:cat>
          <c:val>
            <c:numRef>
              <c:f>Hoja1!$C$2:$C$9</c:f>
              <c:numCache>
                <c:formatCode>#,##0.0</c:formatCode>
                <c:ptCount val="8"/>
                <c:pt idx="0">
                  <c:v>5.2</c:v>
                </c:pt>
                <c:pt idx="1">
                  <c:v>4.899999999999999</c:v>
                </c:pt>
                <c:pt idx="2">
                  <c:v>9.020000000000001</c:v>
                </c:pt>
                <c:pt idx="3">
                  <c:v>4.43</c:v>
                </c:pt>
                <c:pt idx="4">
                  <c:v>2.3499999999999996</c:v>
                </c:pt>
                <c:pt idx="5">
                  <c:v>3.9499999999999993</c:v>
                </c:pt>
                <c:pt idx="6">
                  <c:v>1.92</c:v>
                </c:pt>
                <c:pt idx="7">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Gamma Business (Reino Unido pyme y Service Provider)</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368.9</c:v>
                </c:pt>
                <c:pt idx="1">
                  <c:v>374.6</c:v>
                </c:pt>
              </c:numCache>
            </c:numRef>
          </c:val>
        </c:ser>
        <c:ser>
          <c:idx val="1"/>
          <c:order val="1"/>
          <c:tx>
            <c:strRef>
              <c:f>Hoja1!$C$1</c:f>
              <c:strCache>
                <c:ptCount val="1"/>
                <c:pt idx="0">
                  <c:v>Gamma Enterprise</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126.5</c:v>
                </c:pt>
                <c:pt idx="1">
                  <c:v>130.5</c:v>
                </c:pt>
              </c:numCache>
            </c:numRef>
          </c:val>
        </c:ser>
        <c:ser>
          <c:idx val="2"/>
          <c:order val="2"/>
          <c:tx>
            <c:strRef>
              <c:f>Hoja1!$D$1</c:f>
              <c:strCache>
                <c:ptCount val="1"/>
                <c:pt idx="0">
                  <c:v>Gamma Germany</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54.3</c:v>
                </c:pt>
                <c:pt idx="1">
                  <c:v>110.2</c:v>
                </c:pt>
              </c:numCache>
            </c:numRef>
          </c:val>
        </c:ser>
        <c:ser>
          <c:idx val="3"/>
          <c:order val="3"/>
          <c:tx>
            <c:strRef>
              <c:f>Hoja1!$E$1</c:f>
              <c:strCache>
                <c:ptCount val="1"/>
                <c:pt idx="0">
                  <c:v>Otros Europa (Países Bajos y España)</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29.7</c:v>
                </c:pt>
                <c:pt idx="1">
                  <c:v>30.5</c:v>
                </c:pt>
              </c:numCache>
            </c:numRef>
          </c:val>
        </c:ser>
        <c:ser>
          <c:idx val="4"/>
          <c:order val="4"/>
          <c:tx>
            <c:strRef>
              <c:f>Hoja1!$F$1</c:f>
              <c:strCache>
                <c:ptCount val="1"/>
                <c:pt idx="0">
                  <c:v>Costes centrales</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Gamma Business (Reino Unido pyme y Service Provider)</c:v>
                </c:pt>
                <c:pt idx="1">
                  <c:v>Gamma Enterprise</c:v>
                </c:pt>
                <c:pt idx="2">
                  <c:v>Gamma Germany</c:v>
                </c:pt>
                <c:pt idx="3">
                  <c:v>Otros Europa (Países Bajos y España)</c:v>
                </c:pt>
                <c:pt idx="4">
                  <c:v>Costes centrales</c:v>
                </c:pt>
              </c:strCache>
            </c:strRef>
          </c:cat>
          <c:val>
            <c:numRef>
              <c:f>Hoja1!$B$2:$B$6</c:f>
              <c:numCache>
                <c:formatCode>General</c:formatCode>
                <c:ptCount val="5"/>
                <c:pt idx="0">
                  <c:v>58</c:v>
                </c:pt>
                <c:pt idx="1">
                  <c:v>20.2</c:v>
                </c:pt>
                <c:pt idx="2">
                  <c:v>17.1</c:v>
                </c:pt>
                <c:pt idx="3">
                  <c:v>4.7</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Reino Unido</c:v>
                </c:pt>
                <c:pt idx="1">
                  <c:v>Alemania</c:v>
                </c:pt>
                <c:pt idx="2">
                  <c:v>Resto de Europa</c:v>
                </c:pt>
                <c:pt idx="3">
                  <c:v>Resto del mundo</c:v>
                </c:pt>
              </c:strCache>
            </c:strRef>
          </c:cat>
          <c:val>
            <c:numRef>
              <c:f>Hoja1!$B$2:$B$5</c:f>
              <c:numCache>
                <c:formatCode>0"%"</c:formatCode>
                <c:ptCount val="4"/>
                <c:pt idx="0">
                  <c:v>72.4</c:v>
                </c:pt>
                <c:pt idx="1">
                  <c:v>19</c:v>
                </c:pt>
                <c:pt idx="2">
                  <c:v>7.3</c:v>
                </c:pt>
                <c:pt idx="3">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GBP (estimación propia a partir de la cuota en puestos y del crecimiento de usuarios de nube previsto por Cavell))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2027e</c:v>
                </c:pt>
                <c:pt idx="3">
                  <c:v>2028e</c:v>
                </c:pt>
              </c:strCache>
            </c:strRef>
          </c:cat>
          <c:val>
            <c:numRef>
              <c:f>Hoja1!$B$2:$B$5</c:f>
              <c:numCache>
                <c:formatCode>#,##0</c:formatCode>
                <c:ptCount val="4"/>
                <c:pt idx="0">
                  <c:v>4600</c:v>
                </c:pt>
                <c:pt idx="1">
                  <c:v>4900</c:v>
                </c:pt>
                <c:pt idx="2">
                  <c:v>5250</c:v>
                </c:pt>
                <c:pt idx="3">
                  <c:v>5600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Gamma Communications</c:v>
                </c:pt>
                <c:pt idx="1">
                  <c:v>Microsoft (Teams Phone)</c:v>
                </c:pt>
                <c:pt idx="2">
                  <c:v>RingCentral</c:v>
                </c:pt>
                <c:pt idx="3">
                  <c:v>Zoom Communications (Zoom Phone)</c:v>
                </c:pt>
                <c:pt idx="4">
                  <c:v>8x8</c:v>
                </c:pt>
                <c:pt idx="5">
                  <c:v>NFON</c:v>
                </c:pt>
                <c:pt idx="6">
                  <c:v>Operadores (BT, Vodafone, Telekom)</c:v>
                </c:pt>
              </c:strCache>
            </c:strRef>
          </c:cat>
          <c:val>
            <c:numRef>
              <c:f>Hoja1!$B$2:$B$8</c:f>
              <c:numCache>
                <c:formatCode>0.0"%"</c:formatCode>
                <c:ptCount val="7"/>
                <c:pt idx="0">
                  <c:v>15.7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1</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447.7</c:v>
                </c:pt>
                <c:pt idx="1">
                  <c:v>484.6</c:v>
                </c:pt>
                <c:pt idx="2">
                  <c:v>521.7</c:v>
                </c:pt>
                <c:pt idx="3">
                  <c:v>579.4</c:v>
                </c:pt>
                <c:pt idx="4">
                  <c:v>645.8</c:v>
                </c:pt>
                <c:pt idx="5">
                  <c:v>663</c:v>
                </c:pt>
                <c:pt idx="6">
                  <c:v>682</c:v>
                </c:pt>
                <c:pt idx="7">
                  <c:v>710</c:v>
                </c:pt>
                <c:pt idx="8">
                  <c:v>742</c:v>
                </c:pt>
                <c:pt idx="9">
                  <c:v>771</c:v>
                </c:pt>
                <c:pt idx="10">
                  <c:v>798</c:v>
                </c:pt>
                <c:pt idx="11">
                  <c:v>822</c:v>
                </c:pt>
                <c:pt idx="12">
                  <c:v>843</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95.4</c:v>
                </c:pt>
                <c:pt idx="1">
                  <c:v>105.1</c:v>
                </c:pt>
                <c:pt idx="2">
                  <c:v>114.3</c:v>
                </c:pt>
                <c:pt idx="3">
                  <c:v>125.5</c:v>
                </c:pt>
                <c:pt idx="4">
                  <c:v>141.70000000000002</c:v>
                </c:pt>
                <c:pt idx="5">
                  <c:v>138</c:v>
                </c:pt>
                <c:pt idx="6">
                  <c:v>143</c:v>
                </c:pt>
                <c:pt idx="7">
                  <c:v>153</c:v>
                </c:pt>
                <c:pt idx="8">
                  <c:v>162</c:v>
                </c:pt>
                <c:pt idx="9">
                  <c:v>170</c:v>
                </c:pt>
                <c:pt idx="10">
                  <c:v>176</c:v>
                </c:pt>
                <c:pt idx="11">
                  <c:v>181</c:v>
                </c:pt>
                <c:pt idx="12">
                  <c:v>185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51</c:v>
                </c:pt>
                <c:pt idx="1">
                  <c:v>51.1</c:v>
                </c:pt>
                <c:pt idx="2">
                  <c:v>51.2</c:v>
                </c:pt>
                <c:pt idx="3">
                  <c:v>51.8</c:v>
                </c:pt>
                <c:pt idx="4">
                  <c:v>53.9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21.3</c:v>
                </c:pt>
                <c:pt idx="1">
                  <c:v>21.7</c:v>
                </c:pt>
                <c:pt idx="2">
                  <c:v>21.9</c:v>
                </c:pt>
                <c:pt idx="3">
                  <c:v>21.7</c:v>
                </c:pt>
                <c:pt idx="4">
                  <c:v>21.9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15.3</c:v>
                </c:pt>
                <c:pt idx="1">
                  <c:v>16.1</c:v>
                </c:pt>
                <c:pt idx="2">
                  <c:v>15.9</c:v>
                </c:pt>
                <c:pt idx="3">
                  <c:v>15.8</c:v>
                </c:pt>
                <c:pt idx="4">
                  <c:v>15.7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12</c:v>
                </c:pt>
                <c:pt idx="1">
                  <c:v>10.2</c:v>
                </c:pt>
                <c:pt idx="2">
                  <c:v>10.3</c:v>
                </c:pt>
                <c:pt idx="3">
                  <c:v>12</c:v>
                </c:pt>
                <c:pt idx="4">
                  <c:v>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 2025</c:v>
                </c:pt>
                <c:pt idx="1">
                  <c:v>2S 2025</c:v>
                </c:pt>
                <c:pt idx="2">
                  <c:v>1S 2026</c:v>
                </c:pt>
              </c:strCache>
            </c:strRef>
          </c:cat>
          <c:val>
            <c:numRef>
              <c:f>Hoja1!$B$2:$B$4</c:f>
              <c:numCache>
                <c:formatCode>0.0"%"</c:formatCode>
                <c:ptCount val="3"/>
                <c:pt idx="2">
                  <c:v>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80</c:v>
                </c:pt>
                <c:pt idx="1">
                  <c:v>56</c:v>
                </c:pt>
                <c:pt idx="2">
                  <c:v>53</c:v>
                </c:pt>
                <c:pt idx="3">
                  <c:v>51</c:v>
                </c:pt>
                <c:pt idx="4">
                  <c:v>44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13</c:v>
                </c:pt>
                <c:pt idx="1">
                  <c:v>16</c:v>
                </c:pt>
                <c:pt idx="2">
                  <c:v>17</c:v>
                </c:pt>
                <c:pt idx="3">
                  <c:v>13</c:v>
                </c:pt>
                <c:pt idx="4">
                  <c:v>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80</c:v>
                </c:pt>
                <c:pt idx="1">
                  <c:v>83</c:v>
                </c:pt>
                <c:pt idx="2">
                  <c:v>95</c:v>
                </c:pt>
                <c:pt idx="3">
                  <c:v>89</c:v>
                </c:pt>
                <c:pt idx="4">
                  <c:v>86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56.1</c:v>
                </c:pt>
                <c:pt idx="1">
                  <c:v>61.1</c:v>
                </c:pt>
                <c:pt idx="2">
                  <c:v>82.80000000000001</c:v>
                </c:pt>
                <c:pt idx="3">
                  <c:v>70.4</c:v>
                </c:pt>
                <c:pt idx="4">
                  <c:v>56.00000000000001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53.6</c:v>
                </c:pt>
                <c:pt idx="1">
                  <c:v>49.3</c:v>
                </c:pt>
                <c:pt idx="2">
                  <c:v>53.6</c:v>
                </c:pt>
                <c:pt idx="3">
                  <c:v>69.8</c:v>
                </c:pt>
                <c:pt idx="4">
                  <c:v>64.9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25.3</c:v>
                </c:pt>
                <c:pt idx="1">
                  <c:v>27.3</c:v>
                </c:pt>
                <c:pt idx="2">
                  <c:v>28.5</c:v>
                </c:pt>
                <c:pt idx="3">
                  <c:v>30</c:v>
                </c:pt>
                <c:pt idx="4">
                  <c:v>23.6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10.5</c:v>
                </c:pt>
                <c:pt idx="1">
                  <c:v>10.5</c:v>
                </c:pt>
                <c:pt idx="2">
                  <c:v>10.5</c:v>
                </c:pt>
                <c:pt idx="3">
                  <c:v>10.5</c:v>
                </c:pt>
                <c:pt idx="4">
                  <c:v>10.5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21.3</c:v>
                </c:pt>
                <c:pt idx="1">
                  <c:v>17.9</c:v>
                </c:pt>
                <c:pt idx="2">
                  <c:v>16.7</c:v>
                </c:pt>
                <c:pt idx="3">
                  <c:v>19.5</c:v>
                </c:pt>
                <c:pt idx="4">
                  <c:v>17.1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-0.39</c:v>
                </c:pt>
                <c:pt idx="1">
                  <c:v>-0.77</c:v>
                </c:pt>
                <c:pt idx="2">
                  <c:v>-1.09</c:v>
                </c:pt>
                <c:pt idx="3">
                  <c:v>-1.16</c:v>
                </c:pt>
                <c:pt idx="4">
                  <c:v>0.19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(GBP,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2029</c:v>
                </c:pt>
              </c:strCache>
            </c:strRef>
          </c:cat>
          <c:val>
            <c:numRef>
              <c:f>Hoja1!$B$2</c:f>
              <c:numCache>
                <c:formatCode>#,##0</c:formatCode>
                <c:ptCount val="1"/>
                <c:pt idx="0">
                  <c:v>25.6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49.3</c:v>
                </c:pt>
                <c:pt idx="1">
                  <c:v>9.8</c:v>
                </c:pt>
                <c:pt idx="2">
                  <c:v>30.5</c:v>
                </c:pt>
                <c:pt idx="3">
                  <c:v>15.4</c:v>
                </c:pt>
                <c:pt idx="4">
                  <c:v>159.3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11.7</c:v>
                </c:pt>
                <c:pt idx="1">
                  <c:v>13.3</c:v>
                </c:pt>
                <c:pt idx="2">
                  <c:v>15.2</c:v>
                </c:pt>
                <c:pt idx="3">
                  <c:v>17.3</c:v>
                </c:pt>
                <c:pt idx="4">
                  <c:v>18.9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27.3</c:v>
                </c:pt>
                <c:pt idx="4">
                  <c:v>45.1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6</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Liontrust</c:v>
                </c:pt>
                <c:pt idx="1">
                  <c:v>BlackRock</c:v>
                </c:pt>
                <c:pt idx="2">
                  <c:v>Jupiter</c:v>
                </c:pt>
                <c:pt idx="3">
                  <c:v>Allianz Global Investors</c:v>
                </c:pt>
                <c:pt idx="4">
                  <c:v>Aegon</c:v>
                </c:pt>
                <c:pt idx="5">
                  <c:v>Fondos de arbitraje de fusiones</c:v>
                </c:pt>
              </c:strCache>
            </c:strRef>
          </c:cat>
          <c:val>
            <c:numRef>
              <c:f>Hoja1!$B$2:$B$7</c:f>
              <c:numCache>
                <c:formatCode>0.0"%"</c:formatCode>
                <c:ptCount val="6"/>
                <c:pt idx="0">
                  <c:v>9.87</c:v>
                </c:pt>
                <c:pt idx="1">
                  <c:v>5.15</c:v>
                </c:pt>
                <c:pt idx="2">
                  <c:v>5.03</c:v>
                </c:pt>
                <c:pt idx="3">
                  <c:v>4.99</c:v>
                </c:pt>
                <c:pt idx="4">
                  <c:v>3.94</c:v>
                </c:pt>
                <c:pt idx="5">
                  <c:v>50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8.4</c:v>
                </c:pt>
                <c:pt idx="1">
                  <c:v>38.3</c:v>
                </c:pt>
                <c:pt idx="2">
                  <c:v>13.2</c:v>
                </c:pt>
                <c:pt idx="3">
                  <c:v>82.2</c:v>
                </c:pt>
                <c:pt idx="4">
                  <c:v>23.7</c:v>
                </c:pt>
                <c:pt idx="5">
                  <c:v>0.3</c:v>
                </c:pt>
                <c:pt idx="6">
                  <c:v>-34.4</c:v>
                </c:pt>
                <c:pt idx="7">
                  <c:v>4.1</c:v>
                </c:pt>
                <c:pt idx="8">
                  <c:v>35.9</c:v>
                </c:pt>
                <c:pt idx="9">
                  <c:v>-39.6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3.2</c:v>
                </c:pt>
                <c:pt idx="1">
                  <c:v>14</c:v>
                </c:pt>
                <c:pt idx="2">
                  <c:v>-15.7</c:v>
                </c:pt>
                <c:pt idx="3">
                  <c:v>24.7</c:v>
                </c:pt>
                <c:pt idx="4">
                  <c:v>-6.9</c:v>
                </c:pt>
                <c:pt idx="5">
                  <c:v>13.9</c:v>
                </c:pt>
                <c:pt idx="6">
                  <c:v>-20</c:v>
                </c:pt>
                <c:pt idx="7">
                  <c:v>4.3</c:v>
                </c:pt>
                <c:pt idx="8">
                  <c:v>4.1</c:v>
                </c:pt>
                <c:pt idx="9">
                  <c:v>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16.4</c:v>
                </c:pt>
                <c:pt idx="1">
                  <c:v>9.3</c:v>
                </c:pt>
                <c:pt idx="2">
                  <c:v>8.5</c:v>
                </c:pt>
                <c:pt idx="3">
                  <c:v>10.7</c:v>
                </c:pt>
                <c:pt idx="4">
                  <c:v>6.3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9.3</c:v>
                </c:pt>
                <c:pt idx="1">
                  <c:v>9.3</c:v>
                </c:pt>
                <c:pt idx="2">
                  <c:v>9.3</c:v>
                </c:pt>
                <c:pt idx="3">
                  <c:v>9.3</c:v>
                </c:pt>
                <c:pt idx="4">
                  <c:v>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Gamma Communications</c:v>
                </c:pt>
                <c:pt idx="1">
                  <c:v>STARFACE (Alemania)</c:v>
                </c:pt>
                <c:pt idx="2">
                  <c:v>Inteliquent (EE. UU., voz mayorista)</c:v>
                </c:pt>
                <c:pt idx="3">
                  <c:v>Vonage (EE. UU., UCaaS y API)</c:v>
                </c:pt>
              </c:strCache>
            </c:strRef>
          </c:cat>
          <c:val>
            <c:numRef>
              <c:f>Hoja1!$B$2:$B$5</c:f>
              <c:numCache>
                <c:formatCode>0.0"x"</c:formatCode>
                <c:ptCount val="4"/>
                <c:pt idx="0">
                  <c:v>7.5</c:v>
                </c:pt>
                <c:pt idx="1">
                  <c:v>13.1</c:v>
                </c:pt>
                <c:pt idx="2">
                  <c:v>8.4</c:v>
                </c:pt>
                <c:pt idx="3">
                  <c:v>31.6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75</c:v>
                </c:pt>
                <c:pt idx="1">
                  <c:v>79</c:v>
                </c:pt>
                <c:pt idx="2">
                  <c:v>85</c:v>
                </c:pt>
                <c:pt idx="3">
                  <c:v>91</c:v>
                </c:pt>
                <c:pt idx="4">
                  <c:v>97</c:v>
                </c:pt>
                <c:pt idx="5">
                  <c:v>102</c:v>
                </c:pt>
                <c:pt idx="6">
                  <c:v>105</c:v>
                </c:pt>
                <c:pt idx="7">
                  <c:v>108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474</c:v>
                </c:pt>
                <c:pt idx="1">
                  <c:v>630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10,88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8.73</c:v>
                </c:pt>
                <c:pt idx="1">
                  <c:v>11.68</c:v>
                </c:pt>
                <c:pt idx="2">
                  <c:v>12.68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10,88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(6,87 – 12,07)</c:v>
                </c:pt>
                <c:pt idx="1">
                  <c:v>Precio objetivo de los analistas (10,80 – 15,70)</c:v>
                </c:pt>
                <c:pt idx="2">
                  <c:v>Comparables: PER NTM (11,10 – 20,12)</c:v>
                </c:pt>
                <c:pt idx="3">
                  <c:v>Transacciones precedentes (EV/EBITDA) (12,07 – 16,50)</c:v>
                </c:pt>
                <c:pt idx="4">
                  <c:v>DCF (WACC y g ± 0,5) (10,64 – 12,99)</c:v>
                </c:pt>
                <c:pt idx="5">
                  <c:v>Escenarios (bajista – alcista) (8,73 – 12,68)</c:v>
                </c:pt>
                <c:pt idx="6">
                  <c:v>DCF con la prima implícita del mercado (4,2 %)</c:v>
                </c:pt>
                <c:pt idx="7">
                  <c:v>Precio actual (10,88)</c:v>
                </c:pt>
              </c:strCache>
            </c:strRef>
          </c:cat>
          <c:val>
            <c:numRef>
              <c:f>Hoja1!$B$2:$B$9</c:f>
              <c:numCache>
                <c:formatCode>#,##0.0</c:formatCode>
                <c:ptCount val="8"/>
                <c:pt idx="0">
                  <c:v>6.87</c:v>
                </c:pt>
                <c:pt idx="1">
                  <c:v>10.8</c:v>
                </c:pt>
                <c:pt idx="2">
                  <c:v>11.1</c:v>
                </c:pt>
                <c:pt idx="3">
                  <c:v>12.07</c:v>
                </c:pt>
                <c:pt idx="4">
                  <c:v>10.64</c:v>
                </c:pt>
                <c:pt idx="5">
                  <c:v>8.73</c:v>
                </c:pt>
                <c:pt idx="6">
                  <c:v>12.64</c:v>
                </c:pt>
                <c:pt idx="7">
                  <c:v>10.83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(6,87 – 12,07)</c:v>
                </c:pt>
                <c:pt idx="1">
                  <c:v>Precio objetivo de los analistas (10,80 – 15,70)</c:v>
                </c:pt>
                <c:pt idx="2">
                  <c:v>Comparables: PER NTM (11,10 – 20,12)</c:v>
                </c:pt>
                <c:pt idx="3">
                  <c:v>Transacciones precedentes (EV/EBITDA) (12,07 – 16,50)</c:v>
                </c:pt>
                <c:pt idx="4">
                  <c:v>DCF (WACC y g ± 0,5) (10,64 – 12,99)</c:v>
                </c:pt>
                <c:pt idx="5">
                  <c:v>Escenarios (bajista – alcista) (8,73 – 12,68)</c:v>
                </c:pt>
                <c:pt idx="6">
                  <c:v>DCF con la prima implícita del mercado (4,2 %)</c:v>
                </c:pt>
                <c:pt idx="7">
                  <c:v>Precio actual (10,88)</c:v>
                </c:pt>
              </c:strCache>
            </c:strRef>
          </c:cat>
          <c:val>
            <c:numRef>
              <c:f>Hoja1!$C$2:$C$9</c:f>
              <c:numCache>
                <c:formatCode>#,##0.0</c:formatCode>
                <c:ptCount val="8"/>
                <c:pt idx="0">
                  <c:v>5.2</c:v>
                </c:pt>
                <c:pt idx="1">
                  <c:v>4.899999999999999</c:v>
                </c:pt>
                <c:pt idx="2">
                  <c:v>9.020000000000001</c:v>
                </c:pt>
                <c:pt idx="3">
                  <c:v>4.43</c:v>
                </c:pt>
                <c:pt idx="4">
                  <c:v>2.3499999999999996</c:v>
                </c:pt>
                <c:pt idx="5">
                  <c:v>3.9499999999999993</c:v>
                </c:pt>
                <c:pt idx="6">
                  <c:v>1.92</c:v>
                </c:pt>
                <c:pt idx="7">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