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Rai Way S.p.A.</w:t>
      </w:r>
    </w:p>
    <w:p>
      <w:pPr>
        <w:spacing w:after="60"/>
        <w:rPr>
          <w:color w:val="52514E"/>
          <w:sz w:val="22"/>
          <w:szCs w:val="22"/>
        </w:rPr>
      </w:pPr>
      <w:r>
        <w:rPr>
          <w:color w:val="52514E"/>
          <w:sz w:val="22"/>
          <w:szCs w:val="22"/>
        </w:rPr>
        <w:t xml:space="preserve">RWAY · Euronext Milan (Borsa Italiana) · ISIN IT0005054967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4,20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5,01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+27,1 % (base +22,9 %)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6,23 EUR · mercado 6,97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Rai Way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RWAY / IT0005054967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Italia Mid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Infraestructuras de difusión y torres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Roma (Italia)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www.raiway.it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 6,25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 M EUR/día (3 meses; ≈ 0,37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5,01 EUR</w:t>
      </w:r>
      <w:r>
        <w:t xml:space="preserve"> frente a 4,20 · Rentabilidad a 12 meses </w:t>
      </w:r>
      <w:r>
        <w:rPr>
          <w:b/>
          <w:bCs/>
        </w:rPr>
        <w:t xml:space="preserve">+27,1 % (base +22,9 %)</w:t>
      </w:r>
      <w:r>
        <w:t xml:space="preserve"> · Valor intrínseco 6,23 EUR · con la prima implícita del mercado: 6,97 (+66,0 %) · Alcista / bajista +60,0 % / +0,5 %</w:t>
      </w:r>
    </w:p>
    <w:p>
      <w:pPr>
        <w:spacing w:after="100"/>
      </w:pPr>
      <w:r>
        <w:rPr>
          <w:b/>
        </w:rPr>
        <w:t xml:space="preserve">La recomendación y por qué.</w:t>
      </w:r>
      <w:r>
        <w:t xml:space="preserve"> Comprar con convicción media. El objetivo a 12 meses es de 5,01 EUR y, con el dividendo de 0,33, da una rentabilidad ponderada del 27,1 % y del 22,9 % en el caso base; el valor intrínseco es de 6,23 EUR (+48,3 %), cerca del objetivo medio de los analistas (6,18). Con la regla de control (v2) la rentabilidad es del 16,3 % y del 12,6 %: también Comprar, y las pruebas de robustez dan una señal sólida. La razón: el precio descuenta ingresos −4,8 % al año hasta 2032, y un contrato indexado y renovable hasta 2035 los hace crecer. La convicción es media porque todo depende de un cliente que es también el accionista de control; subiría si RAI confirma la renovación del contrato en sus términos actuales y bajaría con cualquier propuesta de recorte del canon.</w:t>
      </w:r>
    </w:p>
    <w:p>
      <w:pPr>
        <w:spacing w:after="100"/>
      </w:pPr>
      <w:r>
        <w:rPr>
          <w:b/>
        </w:rPr>
        <w:t xml:space="preserve">El negocio.</w:t>
      </w:r>
      <w:r>
        <w:t xml:space="preserve"> Rai Way es la red de difusión de RAI: 2.300 emplazamientos, el 84 % de los ingresos de RAI con canon indexado y un margen EBITDA ajustado del 67,8 % [2]. El ROIC es del 29,6 % frente a un WACC del 7,03 %, 22,6 puntos de diferencia, sin fondo de comercio. La sostenibilidad del crecimiento es «Sí»: proyectamos un 2,4 % anual, menos que el 5,3 % histórico, apoyado en la cláusula de indexación (poder de precios probado en 2023, +10,8 % de ingresos) y en la red DAB+ ya contratada, sin inversión neta. El riesgo no es el crecimiento sino el nivel del canon tras junio de 2028, cuando RAI puede rescindir sin penalización [1].</w:t>
      </w:r>
    </w:p>
    <w:p>
      <w:pPr>
        <w:spacing w:after="100"/>
      </w:pPr>
      <w:r>
        <w:rPr>
          <w:b/>
        </w:rPr>
        <w:t xml:space="preserve">Finanzas.</w:t>
      </w:r>
      <w:r>
        <w:t xml:space="preserve"> EBITDA publicado de 187,4 M EUR en 2025; el EBIT baja (−6,3 % en el 1S26) por la amortización de la inversión [3]. Deuda neta de 167,9 M, 0,9 veces el EBITDA; rentabilidad por caja libre del 7,7 %. El dividendo (100 % del beneficio, 7,9 % al precio actual) supera la caja libre en ≈ 15 M al año, que se financian con deuda. Altman Z de 3,94 y Beneish M de −3,02: sin alertas.</w:t>
      </w:r>
    </w:p>
    <w:p>
      <w:pPr>
        <w:spacing w:after="100"/>
      </w:pPr>
      <w:r>
        <w:rPr>
          <w:b/>
        </w:rPr>
        <w:t xml:space="preserve">Equipo y gobierno.</w:t>
      </w:r>
      <w:r>
        <w:t xml:space="preserve"> Resta. RAI tiene el 64,97 %, nombra ocho de nueve consejeros y al presidente (su director de tecnología desde abril) y negocia el precio con su propia filial [11]. Puede vender hasta bajar al 30 %, lo que sería una colocación con descuento [17].</w:t>
      </w:r>
    </w:p>
    <w:p>
      <w:pPr>
        <w:spacing w:after="100"/>
      </w:pPr>
      <w:r>
        <w:rPr>
          <w:b/>
        </w:rPr>
        <w:t xml:space="preserve">Valoración.</w:t>
      </w:r>
      <w:r>
        <w:t xml:space="preserve"> El DCF da 6,26 EUR (valor terminal del 70 %); los escenarios van de 4,22 a 6,72, así que incluso el bajista (recorte del 10 % de los ingresos de RAI desde 2029 y crecimiento terminal nulo) deja el precio donde está. Cotiza a 6,8 veces el EBITDA y 12,4 veces el beneficio, frente a una mediana histórica de 16,7 veces. La caída del 33 % desde marzo es, sobre todo, temporal: se fue la prima de la fusión con EI Towers (expiró el 1-jul) y se pagó el dividendo; el negocio mejoró la guía en julio [3, 15].</w:t>
      </w:r>
    </w:p>
    <w:p>
      <w:pPr>
        <w:spacing w:after="100"/>
      </w:pPr>
      <w:r>
        <w:rPr>
          <w:b/>
        </w:rPr>
        <w:t xml:space="preserve">Riesgos y catalizadores.</w:t>
      </w:r>
      <w:r>
        <w:t xml:space="preserve"> Primero, la renovación del contrato con RAI (efecto de −33 % en el bajista). Segundo, el fin de la TDT más allá de 2032-2035 (−20 % a −30 %). Tercero, una colocación de RAI. El riesgo de que la IA se coma el negocio es bajo y neutral: emitir la señal desde torres con licencia no lo sustituye un modelo. El sentimiento es negativo (rebajas de Equita y Morgan Stanley), capitulación tras la operación fallida. Próximos resultados: 11-nov-2026.</w:t>
      </w:r>
    </w:p>
    <w:p>
      <w:pPr>
        <w:spacing w:after="100"/>
      </w:pPr>
      <w:r>
        <w:rPr>
          <w:b/>
        </w:rPr>
        <w:t xml:space="preserve">Qué cambiaría la decisión.</w:t>
      </w:r>
      <w:r>
        <w:t xml:space="preserve"> Comprar por debajo de 4,61 EUR con la regla vigente; para que pase también la v2, por debajo de 4,22 (el precio de hoy está justo debajo). Vender por encima de 5,93. Pasaríamos a Mantener o Vender si RAI propone recortar el canon más de un 5 %, si se construye el centro de datos hiperescala sin cliente o si el dividendo baja de 0,30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(la tesis completa, hasta el valor intrínseco, es a 2-3 años: necesita despejar la renovación del contrato con RAI de 2028) · Objetivo a 12 meses: </w:t>
      </w:r>
      <w:r>
        <w:rPr>
          <w:b/>
          <w:bCs/>
        </w:rPr>
        <w:t xml:space="preserve">5,01 EUR</w:t>
      </w:r>
      <w:r>
        <w:t xml:space="preserve"> (rentabilidad +27,1 % (base +22,9 %)) · Valor intrínseco: 6,23 EUR (+48,3 % sobre 4,20) · con la prima implícita del mercado: 6,97 (+66,0 %)</w:t>
      </w:r>
    </w:p>
    <w:p>
      <w:pPr>
        <w:spacing w:after="100"/>
      </w:pPr>
      <w:r>
        <w:t xml:space="preserve">Rai Way es la red física que lleva la señal de RAI a toda Italia: 2.300 emplazamientos, ≈ 283 M EUR de ingresos, un margen EBITDA del 67 % y un ROIC del 29,6 % sobre una red aportada a valor contable [1, 2]. El 84 % de los ingresos es un canon de RAI indexado a la inflación, con renovación tácita hasta 2035, y casi todo el beneficio se reparte como dividendo [11].</w:t>
      </w:r>
    </w:p>
    <w:p>
      <w:pPr>
        <w:spacing w:after="100"/>
      </w:pPr>
      <w:r>
        <w:t xml:space="preserve">A 4,20 EUR el mercado paga 6,8 veces el EBITDA y 12,4 veces el beneficio: el DCF inverso dice que descuenta una caída de los ingresos del 4,8 % anual hasta 2032, o un margen del 52,6 % en vez del 67,5 %. Es el precio de un activo en liquidación: el de una renegociación dura del contrato o un apagado temprano de la TDT. La caída del 33 % desde marzo vino de la fusión con EI Towers que no se hizo y del pago del dividendo, no de las cuentas, que mejoraron la guía en julio [3].</w:t>
      </w:r>
    </w:p>
    <w:p>
      <w:pPr>
        <w:spacing w:after="100"/>
      </w:pPr>
      <w:r>
        <w:t xml:space="preserve">Para invertir hay que creer que RAI renovará el contrato en términos parecidos porque no tiene alternativa (otra red no existe y la de su competidor no es opción) y porque recortar el canon le quita a ella el 65 % del beneficio. Si es así, se cobra un 8 % de dividendo mientras el múltiplo se normaliza; si no, el bajista deja el valor en el precio de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0,33 = 3,55 · 13,5x × 0,36 = 4,83 · 18,3x × 0,37 = 6,82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 / 22,9 %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(nuestro base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7,0 %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4,61 y 5,93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5,93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RAI propone recortar el canon más de un 5 % o reducir el perímetro del contrato: pasaríamos a Mantener, y a Vender con más del 10 %.</w:t>
      </w:r>
    </w:p>
    <w:p>
      <w:pPr>
        <w:pStyle w:val="ListParagraph"/>
        <w:numPr>
          <w:ilvl w:val="0"/>
          <w:numId w:val="2"/>
        </w:numPr>
        <w:spacing w:after="60"/>
      </w:pPr>
      <w:r>
        <w:t xml:space="preserve">Si la acción supera 4,61 EUR sin cambios en el BPA: Mantener (y por encima de 5,93, Vender).</w:t>
      </w:r>
    </w:p>
    <w:p>
      <w:pPr>
        <w:pStyle w:val="ListParagraph"/>
        <w:numPr>
          <w:ilvl w:val="0"/>
          <w:numId w:val="2"/>
        </w:numPr>
        <w:spacing w:after="60"/>
      </w:pPr>
      <w:r>
        <w:t xml:space="preserve">Si la dirección inicia la construcción del hiperescala de Pomezia sin un cliente o socio firmado: Mantener.</w:t>
      </w:r>
    </w:p>
    <w:p>
      <w:pPr>
        <w:pStyle w:val="ListParagraph"/>
        <w:numPr>
          <w:ilvl w:val="0"/>
          <w:numId w:val="2"/>
        </w:numPr>
        <w:spacing w:after="60"/>
      </w:pPr>
      <w:r>
        <w:t xml:space="preserve">Si el dividendo de 2026 (marzo de 2027) baja de 0,30 EUR: revisión de la tesis.</w:t>
      </w:r>
    </w:p>
    <w:p>
      <w:pPr>
        <w:pStyle w:val="ListParagraph"/>
        <w:numPr>
          <w:ilvl w:val="0"/>
          <w:numId w:val="2"/>
        </w:numPr>
        <w:spacing w:after="60"/>
      </w:pPr>
      <w:r>
        <w:t xml:space="preserve">Si RAI anuncia una colocación de más del 10 %: esperar al precio de colocación para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sin la fusión con EI Towers, Rai Way es un bono perpetuo de un deudor político que puede recortar el cupón en 2028, en un activo (la TDT) que se apagará: un PER de 12 veces y un EV/EBITDA de 7 veces, los más bajos de su historia cotizada.</w:t>
      </w:r>
    </w:p>
    <w:p>
      <w:pPr>
        <w:keepNext/>
        <w:spacing w:after="100"/>
      </w:pPr>
      <w:r>
        <w:rPr>
          <w:b/>
          <w:bCs/>
        </w:rPr>
        <w:t xml:space="preserve">Lo que creemos nosotros.</w:t>
      </w:r>
    </w:p>
    <w:p>
      <w:pPr>
        <w:spacing w:after="100"/>
      </w:pPr>
      <w:r>
        <w:t xml:space="preserve">El contrato tiene renovación tácita hasta 2035 e indexación; RAI no tiene una red alternativa y, como dueña del 65 %, un recorte del canon le resta a ella dos de cada tres euros. El bajista (−10 % de los ingresos de RAI desde 2029) vale lo mismo que el precio de hoy, así que se compra con un margen de seguridad sobre el peor caso razonable.</w:t>
      </w:r>
    </w:p>
    <w:p>
      <w:pPr>
        <w:keepNext/>
        <w:spacing w:after="100"/>
      </w:pPr>
      <w:r>
        <w:rPr>
          <w:b/>
          <w:bCs/>
        </w:rPr>
        <w:t xml:space="preserve">Por qué podemos tener razón.</w:t>
      </w:r>
    </w:p>
    <w:p>
      <w:pPr>
        <w:spacing w:after="100"/>
      </w:pPr>
      <w:r>
        <w:t xml:space="preserve">Porque el precio cayó por la retirada de la prima de operación y por el pago del dividendo, no por un cambio en los flujos: la guía de EBITDA de 2026 subió en julio y el BPA coincide con el del consenso. El mercado mezcla el riesgo de 2028 (real) con el de un apagado de la TDT, que no tiene fecha antes de 2032.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contratados e indexados</w:t>
      </w:r>
      <w:r>
        <w:t xml:space="preserve">: el 84 % es un canon de RAI ligado a la inflación, renovable de forma tácita hasta 2035.</w:t>
      </w:r>
    </w:p>
    <w:p>
      <w:pPr>
        <w:pStyle w:val="ListParagraph"/>
        <w:numPr>
          <w:ilvl w:val="0"/>
          <w:numId w:val="2"/>
        </w:numPr>
        <w:spacing w:after="60"/>
      </w:pPr>
      <w:r>
        <w:rPr>
          <w:b/>
        </w:rPr>
        <w:t xml:space="preserve">Rentabilidad sobre el capital del 29,6 %</w:t>
      </w:r>
      <w:r>
        <w:t xml:space="preserve"> frente a un WACC del 7,03 %, sin fondo de comercio.</w:t>
      </w:r>
    </w:p>
    <w:p>
      <w:pPr>
        <w:pStyle w:val="ListParagraph"/>
        <w:numPr>
          <w:ilvl w:val="0"/>
          <w:numId w:val="2"/>
        </w:numPr>
        <w:spacing w:after="60"/>
      </w:pPr>
      <w:r>
        <w:rPr>
          <w:b/>
        </w:rPr>
        <w:t xml:space="preserve">Precio de liquidación</w:t>
      </w:r>
      <w:r>
        <w:t xml:space="preserve">: el DCF inverso descuenta ingresos −4,8 % al año; cotiza a 6,8 veces el EBITDA.</w:t>
      </w:r>
    </w:p>
    <w:p>
      <w:pPr>
        <w:pStyle w:val="ListParagraph"/>
        <w:numPr>
          <w:ilvl w:val="0"/>
          <w:numId w:val="2"/>
        </w:numPr>
        <w:spacing w:after="60"/>
      </w:pPr>
      <w:r>
        <w:rPr>
          <w:b/>
        </w:rPr>
        <w:t xml:space="preserve">Dividendo del 7,9 %</w:t>
      </w:r>
      <w:r>
        <w:t xml:space="preserve"> (0,33 EUR, reparto del 100 %) con deuda de solo 0,9 veces el EBITDA.</w:t>
      </w:r>
    </w:p>
    <w:p>
      <w:pPr>
        <w:pStyle w:val="ListParagraph"/>
        <w:numPr>
          <w:ilvl w:val="0"/>
          <w:numId w:val="2"/>
        </w:numPr>
        <w:spacing w:after="60"/>
      </w:pPr>
      <w:r>
        <w:rPr>
          <w:b/>
        </w:rPr>
        <w:t xml:space="preserve">Escenario bajista sin pérdida</w:t>
      </w:r>
      <w:r>
        <w:t xml:space="preserve">: 4,22 EUR frente a 4,20 de precio.</w:t>
      </w:r>
    </w:p>
    <w:p>
      <w:pPr>
        <w:pStyle w:val="ListParagraph"/>
        <w:numPr>
          <w:ilvl w:val="0"/>
          <w:numId w:val="2"/>
        </w:numPr>
        <w:spacing w:after="60"/>
      </w:pPr>
      <w:r>
        <w:rPr>
          <w:b/>
        </w:rPr>
        <w:t xml:space="preserve">Guía al alza en julio de 2026</w:t>
      </w:r>
      <w:r>
        <w:t xml:space="preserve">: EBITDA ajustado por encima de 2025 pese a la energía.</w:t>
      </w:r>
    </w:p>
    <w:p>
      <w:pPr>
        <w:pStyle w:val="Heading2"/>
      </w:pPr>
      <w:r>
        <w:t xml:space="preserve">En contra</w:t>
      </w:r>
    </w:p>
    <w:p>
      <w:pPr>
        <w:pStyle w:val="ListParagraph"/>
        <w:numPr>
          <w:ilvl w:val="0"/>
          <w:numId w:val="2"/>
        </w:numPr>
        <w:spacing w:after="60"/>
      </w:pPr>
      <w:r>
        <w:rPr>
          <w:b/>
        </w:rPr>
        <w:t xml:space="preserve">Un cliente que es también el dueño</w:t>
      </w:r>
      <w:r>
        <w:t xml:space="preserve">: RAI aporta el 84 % de los ingresos y tiene el 64,97 % del capital.</w:t>
      </w:r>
    </w:p>
    <w:p>
      <w:pPr>
        <w:pStyle w:val="ListParagraph"/>
        <w:numPr>
          <w:ilvl w:val="0"/>
          <w:numId w:val="2"/>
        </w:numPr>
        <w:spacing w:after="60"/>
      </w:pPr>
      <w:r>
        <w:rPr>
          <w:b/>
        </w:rPr>
        <w:t xml:space="preserve">Contrato rescindible sin penalización desde julio de 2028</w:t>
      </w:r>
      <w:r>
        <w:t xml:space="preserve">: el bajista vale un 33 % menos que el base.</w:t>
      </w:r>
    </w:p>
    <w:p>
      <w:pPr>
        <w:pStyle w:val="ListParagraph"/>
        <w:numPr>
          <w:ilvl w:val="0"/>
          <w:numId w:val="2"/>
        </w:numPr>
        <w:spacing w:after="60"/>
      </w:pPr>
      <w:r>
        <w:rPr>
          <w:b/>
        </w:rPr>
        <w:t xml:space="preserve">La TDT es un activo maduro</w:t>
      </w:r>
      <w:r>
        <w:t xml:space="preserve">: frecuencias de RAI hasta 2032 y el 70 % del DCF es valor terminal.</w:t>
      </w:r>
    </w:p>
    <w:p>
      <w:pPr>
        <w:pStyle w:val="ListParagraph"/>
        <w:numPr>
          <w:ilvl w:val="0"/>
          <w:numId w:val="2"/>
        </w:numPr>
        <w:spacing w:after="60"/>
      </w:pPr>
      <w:r>
        <w:rPr>
          <w:b/>
        </w:rPr>
        <w:t xml:space="preserve">Riesgo de colocación</w:t>
      </w:r>
      <w:r>
        <w:t xml:space="preserve">: RAI puede bajar al 30 %; vendería con descuento.</w:t>
      </w:r>
    </w:p>
    <w:p>
      <w:pPr>
        <w:pStyle w:val="ListParagraph"/>
        <w:numPr>
          <w:ilvl w:val="0"/>
          <w:numId w:val="2"/>
        </w:numPr>
        <w:spacing w:after="60"/>
      </w:pPr>
      <w:r>
        <w:rPr>
          <w:b/>
        </w:rPr>
        <w:t xml:space="preserve">El dividendo supera la caja libre</w:t>
      </w:r>
      <w:r>
        <w:t xml:space="preserve"> en ≈ 15 M EUR al año (74 M frente a 89,7 M en 2025).</w:t>
      </w:r>
    </w:p>
    <w:p>
      <w:pPr>
        <w:pStyle w:val="ListParagraph"/>
        <w:numPr>
          <w:ilvl w:val="0"/>
          <w:numId w:val="2"/>
        </w:numPr>
        <w:spacing w:after="60"/>
      </w:pPr>
      <w:r>
        <w:rPr>
          <w:b/>
        </w:rPr>
        <w:t xml:space="preserve">El plan 2024-27 no se cumplirá</w:t>
      </w:r>
      <w:r>
        <w:t xml:space="preserve">: 207 M de EBITDA en 2027 frente a ≈ 200 M del consenso.</w:t>
      </w:r>
    </w:p>
    <w:p>
      <w:pPr>
        <w:pStyle w:val="Heading2"/>
      </w:pPr>
      <w:r>
        <w:t xml:space="preserve">Qué tiene que pasar para que la tesis funcione</w:t>
      </w:r>
    </w:p>
    <w:p>
      <w:pPr>
        <w:spacing w:after="100"/>
      </w:pPr>
      <w:r>
        <w:t xml:space="preserve">La tesis depende de que el contrato de servicio con RAI se renueve en junio de 2028 sin recorte relevante del canon. La señal de que no se cumple sería cualquier comunicado de Rai Way o de RAI sobre una «revisión» del contrato o de los costes de red antes del verano de 2028, o que los ingresos de RAI crezcan por debajo de la inflación italiana dos semestres seguidos. Segunda condición: que el centro de datos hiperescala de Pomezia no empiece a construirse sin cliente.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RAI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 M EUR en 2025 (+2,2 %)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por debajo de la inflación italiana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presión sobre el canon.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 M (2025); 96,8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190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superar el de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 veces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mantener el dividendo y la inversión.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terceros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M en el 1S26 (+5,9 %)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diversificación avanza.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electricidad (PUN)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114 EUR/MWh de media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140 EUR/MWh</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 M de EBITDA por cada 10 EUR/MWh.</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Rai Way nació en 2000 como sociedad de la red de transmisión de RAI, a la que RAI aportó torres, equipos y personal, y salió a bolsa en noviembre de 2014 a 2,95 EUR por acción con RAI conservando el 65 % [1, 12]. En 2015 EI Towers (entonces de Mediaset) lanzó una OPA que dependía de que RAI vendiera, y fracasó. Desde 2014 ha repartido casi toda su capitalización de salida en dividendos [9]. El refarming de frecuencias de la TDT (2020-2022) y la red DAB+ de RAI financiaron una década de crecimiento contractual. Un decreto de 2022 permitió a RAI bajar al 30 %, y en diciembre de 2024 RAI, F2i y MFE firmaron un memorando para fusionarla con EI Towers, que expiró el 1-jul-2026 sin acuerdo [15]. El plan 2024-27 apuesta por diversificar hacia centros de datos, CDN y energía solar.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Rai Way como sociedad de la red de difusión de RAI.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(19-nov) a 2,95 EUR; RAI mantiene el 65 %.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de EI Towers, que fracasa sin la adhesión de RAI.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propias por 20 M EUR; refarming de la TDT (liberación de la banda de 700 MHz para el 5G).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DPCM que permite a RAI bajar hasta el 30 % del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2024-27 (diversificación: centros de datos, CDN, solar) y memorando no vinculante RAI-F2i-MFE para la fusión con EI Towers (19-dic).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Expira el memorando sin acuerdo (1-jul); nuevo presidente (Enrico Mordillo) y licencia del centro de datos hiperescala de Pomezia.</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Rai Way es el operador de la red de difusión de radio y televisión de RAI, el servicio público italiano: más de 2.300 emplazamientos, una red de radioenlaces, sistemas por satélite, unos 6.000 km de fibra propia, una CDN propia, una red de centros de datos edge y tres centros de control, con unos 600 empleados [1]. Vende tres cosas. A RAI, la difusión de sus múltiplex de TDT y de sus redes de radio (FM y DAB+), con mantenimiento y nivel de servicio garantizado, bajo un contrato de servicio a largo plazo. A operadores móviles, de acceso fijo inalámbrico y emisoras privadas, espacio en sus torres. Y a empresas y emisoras, servicios nuevos: distribución de contenidos por internet (CDN), conectividad y alojamiento en centros de datos regionales [1, 7].</w:t>
      </w:r>
    </w:p>
    <w:p>
      <w:pPr>
        <w:pStyle w:val="Heading2"/>
      </w:pPr>
      <w:r>
        <w:t xml:space="preserve">Cómo gana dinero</w:t>
      </w:r>
    </w:p>
    <w:p>
      <w:pPr>
        <w:spacing w:after="100"/>
      </w:pPr>
      <w:r>
        <w:t xml:space="preserve">El 84 % de los ingresos son de RAI y casi todos son fijos: un canon anual por la red, indexado a la inflación italiana, más tarifas por servicios nuevos (cada ampliación de la red DAB+ suma ingresos) [1]. Los costes son casi fijos: personal (≈ 50 M EUR) y energía (el principal coste variable: cada 10 EUR/MWh de precio mayorista mueven ≈ 0,7 M el EBITDA) [7]. Por eso el margen EBITDA ronda el 67 % y cada punto de inflación indexada se convierte casi entero en beneficio. El negocio de terceros (torres para operadores móviles, ≈ 45 M) crece con contratos plurianuales. La diversificación (CDN, centros de datos, solar) aún aporta menos de 1 M de EBITDA neto y absorbe ≈ 2,5 M de costes al semestre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medios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Infraestructuras digitales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medios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Infraestructuras digitales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extrema: RAI aporta el 84,0 % de los ingresos de 2025 (237,4 M EUR) [1]. El contrato de servicio vence el 30-jun-2028 y se renueva tácitamente por siete años, hasta 2035, salvo denuncia; RAI puede rescindirlo sin causa, con penalización hasta junio de 2028 y sin ella después, y también si pierde la concesión (que vence en abril de 2027) o las frecuencias (2032) [1]. El resto son operadores móviles con contratos plurianuales de torres, emisoras de radio y TV locales y clientes de CDN. El poder de precios está demostrado con RAI: la indexación a la inflación trasladó la inflación de 2022-2023 a los ingresos (+10,8 % en 2023)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RAI (contrato de servicio y servicios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84,0 % de los ingresos de 2025; crecen por la indexación a la inflación y la extensión de la red DAB+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terceros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M EUR (2025); 23,5 M en el 1S26 (+5,9 %)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Torres para operadores móviles y radios, CDN, centros de datos y conectividad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la red DAB+ de RAI (población)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(inicio del plan)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inversión de desarrollo del negocio tradicional; cada extensión se factura a RAI como servicio nuevo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 (2025); 67,3 %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casi fijos (personal y energía) frente a ingresos indexados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de caja recurrente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118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118 M EUR (2025); ≈ 68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 arrendamientos − intereses − impuestos − capex de mantenimiento recurrente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de desarrollo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31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M EUR (2025); 10,6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DAB+, CDN, centros de datos edge y parques solares; el plan 2024-27 preveía 246 M acumulados [2, 3,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infraestructuras de difusión de radio y televisión en Italia (torres, transmisores y servicios de red para emisoras), con dos operadores nacionales, Rai Way (red de RAI) y EI Towers (red de Mediaset y de otras emisoras), más un segmento de torres de telecomunicaciones que comparten con INWIT, Cellnex y las torres propias de los operadores [10, 12]. Usamos como tamaño la suma de ingresos de los dos operadores de difusión (≈ 550 M EUR en 2025), porque no hay estadística oficial del mercado mayorista de difusión.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550 M EUR en 2025 (Rai Way 282,8 M + EI Towers 266,9 M)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ingresos de Rai Way y EI Tower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Indexación de los contratos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RAI +10,8 % en 2023 tras la inflación de 2022; +0,9 % en 2024 con la inflación baja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Extensión de la radio digital DAB+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RAI del 56 % al 70 % de la población entre 2024 y 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TV lineal a la distribución por internet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Audiencia de TV de −1 % anual 2018-2023 según Ampere/PQ Media; la TDT sigue siendo la plataforma con más audiencia en Italia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centros de datos regionales de baja latencia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empresarial de ≈ 240 MW en 2024 a ≈ 450 MW en 2035 en Italia (Altman Solon)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electricidad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 M EUR de EBITDA por cada 10 EUR/MWh; tarifa media de 2025 ≈ 204 EUR/MWh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redes nacionales de difusión, cada una ligada a su gran cliente (RAI y Mediaset); no compiten por esos contratos.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 es a la vez el 84 % de los ingresos y el accionista de control; renegocia en 2028.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(precio de mercado) y fabricantes de transmisores; los terrenos de los emplazamientos son en parte propios.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2.300 emplazamientos con licencias es inviable; la entrada real es la sustitución tecnológica.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Streaming por banda ancha y 5G broadcast pueden sustituir a la TDT a largo plazo; las frecuencias de RAI vencen en 2032.</w:t>
            </w:r>
          </w:p>
        </w:tc>
      </w:tr>
    </w:tbl>
    <w:p>
      <w:pPr>
        <w:spacing w:after="160" w:before="0"/>
      </w:pPr>
    </w:p>
    <w:p>
      <w:pPr>
        <w:pStyle w:val="Heading2"/>
      </w:pPr>
      <w:r>
        <w:t xml:space="preserve">Ciclo</w:t>
      </w:r>
    </w:p>
    <w:p>
      <w:pPr>
        <w:spacing w:after="100"/>
      </w:pPr>
      <w:r>
        <w:t xml:space="preserve">El negocio no es cíclico: en 2020 los ingresos crecieron y en 2022-2023 la indexación protegió de la inflación (+10,8 % de ingresos en 2023) [12]. El ciclo que importa es el de la tecnología de difusión: la TDT está en su fase madura, con la radio DAB+ todavía en expansión, y el próximo cambio relevante es el vencimiento de las frecuencias de RAI en 2032 [1].</w:t>
      </w:r>
    </w:p>
    <w:p>
      <w:pPr>
        <w:pStyle w:val="Heading2"/>
      </w:pPr>
      <w:r>
        <w:t xml:space="preserve">Regulación</w:t>
      </w:r>
    </w:p>
    <w:p>
      <w:pPr>
        <w:spacing w:after="100"/>
      </w:pPr>
      <w:r>
        <w:t xml:space="preserve">La concesión de servicio público de RAI vence el 30-abr-2027 y el contrato de servicio RAI-Ministerio cubre 2023-2028 [1]. El DPCM de 2022 (modificado en mayo de 2024) permite a RAI bajar al 30 % de Rai Way; el Estado mantiene poderes especiales (golden power) sobre la red [1]. Las frecuencias de TDT de RAI vencen en 2032. La política europea de la banda UHF (por debajo de 700 MHz reservada a la difusión hasta 2030) es la que decide el horizonte de la TDT.</w:t>
      </w:r>
    </w:p>
    <w:p>
      <w:pPr>
        <w:pStyle w:val="Heading2"/>
      </w:pPr>
      <w:r>
        <w:t xml:space="preserve">Tendencias y disrupción</w:t>
      </w:r>
    </w:p>
    <w:p>
      <w:pPr>
        <w:spacing w:after="100"/>
      </w:pPr>
      <w:r>
        <w:t xml:space="preserve">El consumo de vídeo se desplaza hacia el streaming y la TV conectada, que se distribuye por CDN y no por torres: Rai Way intenta capturarlo con su propia CDN (cliente RAI y emisoras locales) [1]. La radio pasa a DAB+, que exige redes nuevas. Los centros de datos regionales de baja latencia son la apuesta de diversificación, con interés inicial ligado a la inferencia de IA [7]. Gana si la diversificación rinde; pierde si la TDT se apaga antes de 2035.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2 operadores nacionales de difusión en Italia por ingresos (≈ 51 % frente a EI Towers); en torres de telecomunicaciones es un actor menor frente a INWIT y Cellnex.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 Towers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difusión de Mediaset y emisoras privadas; 60 % F2i y 40 % MFE; EBITDA ajustado de 155,9 M (58,4 %) y deuda neta de 618,6 M en 2025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INWIT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torrera de telecomunicaciones italiana (TIM y Vodafone); margen EBITDA del 71 %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Cellnex Telecom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Torres de telecomunicaciones en Europa, con red en Italia; también difusión en España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el valor es la cobertura física de la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 no puede cambiar de red sin construir otra o pasar a la de su competidor directo (Mediaset); contrato hasta 2028 renovable a 2035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Emplazamientos con licencias y servidumbres difíciles de replicar; condición de operador único de la red pública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67,8 % frente al 58,4 % de EI Towers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que solo sostiene dos redes nacionales [1].</w:t>
            </w:r>
          </w:p>
        </w:tc>
      </w:tr>
    </w:tbl>
    <w:p>
      <w:pPr>
        <w:spacing w:after="160" w:before="0"/>
      </w:pPr>
    </w:p>
    <w:p>
      <w:pPr>
        <w:pStyle w:val="Heading2"/>
      </w:pPr>
      <w:r>
        <w:t xml:space="preserve">Amenazas</w:t>
      </w:r>
    </w:p>
    <w:p>
      <w:pPr>
        <w:spacing w:after="100"/>
      </w:pPr>
      <w:r>
        <w:t xml:space="preserve">Tres amenazas, de más a menos probable. La renegociación del contrato con RAI en 2028: RAI tiene presión de ingresos (el canon se bajó a 70 EUR en 2024 y volvió a 90) y es a la vez cliente y accionista [1]. La sustitución de la TDT por la distribución por internet a partir de 2032-2035, cuando vencen las frecuencias y la renovación tácita del contrato. Y una fusión con EI Towers en términos que favorezcan a RAI y no al minoritario. El foso es estrecho porque depende de un contrato, no de la libre elección de muchos clientes.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7,7 %</w:t>
      </w:r>
      <w:r>
        <w:t xml:space="preserve">, BPA </w:t>
      </w:r>
      <w:r>
        <w:rPr>
          <w:b/>
          <w:bCs/>
        </w:rPr>
        <w:t xml:space="preserve">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core pasaron de 229,9 M EUR en 2021 a 282,8 M en 2025 (+5,3 % anual), todo orgánico: el salto de 2022-2023 (+6,7 % y +10,8 %) vino de la indexación del contrato de RAI a la inflación italiana de 2022 y de la reorganización de frecuencias (refarming) de la TDT; desde 2024 el crecimiento es del 1,5-2,5 % (indexación más DAB+ y terceros) [1, 4, 5]. El EBITDA publicado subió de 142,6 M a 187,4 M y el margen del 62,0 % al 66,3 % por el apalancamiento operativo: personal estable (≈ 600 personas) y energía como principal coste variable [1]. El EBIT dejó de crecer en 2025 (130,2 M, −1,3 %) y cae en el 1S26 (−6,3 %) porque la amortización sube con la inversión de desarrollo (57,2 M en 2025 frente a 49,0 M en 2023) [2, 3]. El beneficio neto fue de 88,6 M en 2025 (−1,4 %) y de 85,4 M en los doce meses a junio de 2026.</w:t>
      </w:r>
    </w:p>
    <w:p>
      <w:pPr>
        <w:pStyle w:val="Heading2"/>
      </w:pPr>
      <w:r>
        <w:t xml:space="preserve">Ajustes y partidas no recurrentes</w:t>
      </w:r>
    </w:p>
    <w:p>
      <w:pPr>
        <w:spacing w:after="100"/>
      </w:pPr>
      <w:r>
        <w:t xml:space="preserve">Usamos cifras publicadas. La empresa da un EBITDA «ajustado» que excluye los no recurrentes: 5,3 M en 2023 (salidas voluntarias y la salida del anterior consejero delegado), 0,3 M en 2024, 4,4 M en 2025 (indemnización de ocupación del contrato inmobiliario con RAI pendiente de renovar, salidas voluntarias y asesores para operaciones extraordinarias) y 1,9 M en el 1S26 [1, 3, 4]. Los registramos en no_recurrentes_en_ebitda, aunque una parte (salidas voluntarias) se repite casi cada año. Otros ingresos incluyen plusvalías por venta de inmuebles (1,5 M en el 1S25) y créditos fiscales [1]. El EBITDA del informe incluye provisiones y deterioros financieros en la línea de amortizaciones para que EBITDA − amortizaciones = EBIT publicado.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105 M EUR a fines de 2023 a 136,5 M en 2025 y 167,9 M en junio de 2026 (tras pagar 87,7 M de dividendo en mayo): 0,87 veces el EBITDA ajustado [3, 7]. El aumento no es operativo: la empresa reparte el 100 % del beneficio y financia con deuda la inversión de desarrollo (28,7 M en 2025). El circulante comercial se mantiene en torno al 8-9 % de los ingresos, con RAI como deudor de la mayor parte de los 74 M de clientes [1]. La refinanciación de abril de 2028 es la próxima cita; el apalancamiento deja margen para la inversión del plan, no para un centro de datos hiperescala propio sin socio.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284</w:t>
      </w:r>
      <w:r>
        <w:t xml:space="preserve">, conversión </w:t>
      </w:r>
      <w:r>
        <w:rPr>
          <w:b/>
          <w:bCs/>
        </w:rPr>
        <w:t xml:space="preserve">70 %</w:t>
      </w:r>
      <w:r>
        <w:t xml:space="preserve"> del beneficio neto; adquisiciones 1, dividendos 379, recompras 0.</w:t>
      </w:r>
    </w:p>
    <w:p>
      <w:pPr>
        <w:spacing w:after="100"/>
      </w:pPr>
      <w:r>
        <w:t xml:space="preserve">El flujo operativo subió de 117,4 M EUR en 2021 a 145,7 M en 2025; tras capex (51,4 M), arrendamientos (16,2 M) e intereses (3,9 M) quedan 74 M de caja libre, el 84 % del beneficio neto [1, 2]. El capex se dividió en 2025 en 23,4 M de mantenimiento (por encima del nivel recurrente del ≈ 6 % de los ingresos por obras extraordinarias en torres y la renovación cíclica de la red IP) y 28,7 M de desarrollo (DAB+, CDN, centros de datos edge) [2]. En 2021-2022 el capex fue de 75-84 M por el refarming de la TDT, que RAI pagó con tarifas nuevas. La caja libre no cubre el dividendo (89,7 M en 2025): la diferencia, ≈ 15 M al año, se financia con deuda mientras dure la inversión de desarrollo.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S.p.A. (encargo 2023-2031)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Contabilidad sencilla de una empresa de infraestructuras: ingresos por contrato con RAI reconocidos de forma lineal, sin fondo de comercio y con la amortización de las torres y equipos como principal estimación [1]. Hay tres puntos a vigilar. Uno: el EBITDA «ajustado» excluye cada año algún coste de salidas voluntarias (5,3 M en 2023, parte de 4,4 M en 2025), que es casi recurrente. Dos: en 2025 un contrato de arrendamiento con RAI vencido se registró como gasto operativo (indemnización de ocupación) en vez de amortización, y la empresa lo saca del EBITDA ajustado [1, 3]. Tres: la empresa capitaliza costes de personal en los proyectos (6,3 M en 2024) [4]. Ninguno cambia la lectura. Los indicadores del motor (Altman, Piotroski y Beneish) se comentan en la síntesis.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sociedad dominante como cliente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84 % de los ingresos y la mayor parte de los créditos comerciales son de RAI, que además controla el 64,97 % del capital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voluntarias en 2023, 2025 y 2026; se tratan como no recurrentes en el EBITDA ajustado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Personal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M EUR en 2024 frente a 4,9 M en 2023, ligado a la inversión de desarrollo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42,9 % · </w:t>
      </w:r>
      <w:r>
        <w:rPr>
          <w:b/>
          <w:bCs/>
        </w:rPr>
        <w:t xml:space="preserve">WACC</w:t>
      </w:r>
      <w:r>
        <w:t xml:space="preserve">: 7,0 %.</w:t>
      </w:r>
    </w:p>
    <w:p>
      <w:pPr>
        <w:spacing w:after="100"/>
      </w:pPr>
      <w:r>
        <w:t xml:space="preserve">Rai Way crea mucho valor: ROIC del 29,6 % en 2025 (30,9 % en 2024) frente a un WACC del 7,03 %, 22,6 puntos de diferencia, sin fondo de comercio que distorsione el capital invertido (324 M EUR). El ROIC lo mueve el margen (NOPAT de 96 M sobre 283 M de ingresos), no la rotación (0,61 veces): es un activo físico ya amortizado en gran parte que cobra un canon indexado. El ROIC incremental histórico (42,9 %) está inflado por el refarming de 2021-2023, que RAI pagó con tarifas nuevas. La pregunta es el capital nuevo: los centros de datos y el solar rinden por debajo (≈ 4 M de EBITDA sobre 32 M de solar, un 12,5 % antes de impuestos [9]) y bajarán el ROIC medio. Frente a las torreras (ROIC del 2-9 % por el fondo de comercio de sus compras [14, 25]) Rai Way es mucho más rentable porque su red se aportó a valor contable en 2000.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15,4 M EUR a 30-jun-2026 y 12 M sin disponer de la línea revolving de 42 M (30 M dispuestos); préstamo sindicado (Mediobanca, BPER, UniCredit, CDP) con 105 M dispuestos del tramo a plazo, vencimiento prorrogado del 23-oct-2026 al 21-abr-2028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26,7 M EUR (terrenos y espacios de los emplazamientos, fibra en derecho de uso) incluidos en la deuda neta publicada [3, 6]. Beneficios a empleados (TFR) de 8,0 M y provisiones de 18,8 M (no corrientes 16,2 M, sobre todo desmantelamiento de emplazamientos y litigios) [3]. Sin garantías ni deuda fuera de balance relevante; el préstamo sindicado vence en abril de 2028, dos meses antes del primer vencimiento del contrato de servicio con RAI (30-jun-2028) [1, 6].</w:t>
      </w:r>
    </w:p>
    <w:p>
      <w:pPr>
        <w:pStyle w:val="Heading1"/>
      </w:pPr>
      <w:r>
        <w:t xml:space="preserve">12. Asignación de capital</w:t>
      </w:r>
    </w:p>
    <w:p>
      <w:pPr>
        <w:pStyle w:val="Confianza"/>
        <w:spacing w:after="100"/>
      </w:pPr>
      <w:r>
        <w:t xml:space="preserve">Confianza: Alta</w:t>
      </w:r>
    </w:p>
    <w:p>
      <w:pPr>
        <w:spacing w:after="100"/>
      </w:pPr>
      <w:r>
        <w:t xml:space="preserve">Reparto de en torno al 100 % del beneficio neto (99,7 % en 2023; 0,33 EUR por acción con cargo a 2025, 88,6 M) y unos 350 M de dividendos acumulados en 2024-2027 según el plan [2, 10]. Autorización de la junta para recomprar hasta el 10 % del capital durante 18 meses, sin uso desde 2020 (autocartera del 1,29 %) [2, 11]. El plan 2024-27 prevé 246 M de capex de desarrollo acumulado (138 M en diversificación: hiperescala ≈ 77 M, edge ≈ 40 M, CDN ≈ 21 M; DAB+ y solar en el resto) y deuda neta de hasta 1,4 veces el EBITDA en 2027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Rama de actividad (ramo d’azienda) adquirida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Irrelevante en tamaño [5].</w:t>
            </w:r>
          </w:p>
        </w:tc>
      </w:tr>
    </w:tbl>
    <w:p>
      <w:pPr>
        <w:spacing w:after="160" w:before="0"/>
      </w:pPr>
    </w:p>
    <w:p>
      <w:pPr>
        <w:spacing w:after="100"/>
      </w:pPr>
      <w:r>
        <w:t xml:space="preserve">Asignación de capital conservadora y orientada al dividendo: en 2021-2025 la empresa generó 680 M EUR de flujo operativo, invirtió 318 M (casi la mitad en el refarming que pagó RAI) y repartió 379 M de dividendos, financiando la diferencia con deuda (deuda neta de 0,87 veces el EBITDA en junio de 2026) [1, 3]. No hay compras relevantes ni dilución. El punto débil es la diversificación: el plan 2024-27 prometía 246 M de inversión de desarrollo con 30 M de EBITDA adicional en régimen y 207 M de EBITDA en 2027 [10], y va con retraso (hiperescala sin cliente, solar a 2028). Sin socio, un centro de datos hiperescala de 35 MW pondría la deuda por encima de 2 veces el EBITDA. La dirección ha dicho que lo financiará con caja propia y alianzas comerciales, no con estructuras fuera de balance [27].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Cecatto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directivo de RAI con carrera en tecnología y producción; consejero delegado desde 2023 y confirmado en abril de 2026 para 2026-2028 [11, 16]. Ha cumplido o mejorado la guía de EBITDA de 2024, 2025 y 2026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Adalberto Pellegrino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responsable de la información contable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como dirigente preposto los comunicados de 2025-2026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Enrico Mordillo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de RAI; propuesto por RAI y nombrado en la junta del 28-abr-2026 en sustitución de Giuseppe Pasciucco [11,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Giancarlo Benucci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diversificación (centros de datos, CDN) y las operaciones corporativas; ponente en la presentación del 1S26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al alza pese a costes de infraestructura nueva y sin crédito fiscal de energía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185,6 M EUR (+2,9 %)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estable o algo mejor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191,8 M EUR (+3,3 %), «por encima de lo esperado a principios de año»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estable (marzo); revisada al alza en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96,8 M en el 1S26 (+0,4 %)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core de 316 M y EBITDA ajustado de 207 M en 2027; dividendos de ≈ 350 M en 2024-2027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Ritmo de 2026: ≈ 290 M de ingresos y ≈ 193 M de EBITDA ajustado; los proyectos de diversificación van con retraso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técnico y estable, que cumple la guía anual de EBITDA y controla los costes, pero que no controla las decisiones que más pesan: la fusión con EI Towers, la venta de una parte del capital y el precio del contrato las decide RAI [1, 17]. El plan 2024-27 no se cumplirá en la parte de diversificación (el centro de datos hiperescala aún busca clientes y el solar se retrasa a 2028 por las licencias). La renovación del consejo en abril de 2026 confirmó al consejero delegado por tres años, lo que da continuidad.</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Enrico Mordillo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Cecatto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Monica Caccavelli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Romano Ciccone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 (2023-2025)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Morgante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 (2023-2025)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 Luca Petrillo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y riesgos (2023-2025)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Greta Tellarini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Cristina Vismara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Salvatore Sardo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(lista de minoría de gestoras)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 - Radiotelevisione Italiana S.p.A.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(Ministerio de Economía a través de RAI)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el DPCM permite bajar al 30 %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3.495.579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Gestoras de la lista de minoría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Presentaron lista en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aprobó la política de remuneración de 2026 y votó a favor de los pagos de 2025; fijó en 475.000 EUR brutos anuales el máximo para todo el consejo [11]. Hay un plan de acciones 2024-2026 para el consejero delegado y directivos y un plan de accionariado para empleados de 2026 [11]. No hemos podido leer la relación de remuneración ni el acta con los porcentajes de voto (el acta está escaneada), así que no damos cifras de retribución ni de voto.</w:t>
      </w:r>
    </w:p>
    <w:p>
      <w:pPr>
        <w:pStyle w:val="Heading2"/>
      </w:pPr>
      <w:r>
        <w:t xml:space="preserve">Operaciones vinculadas, estructura de control y defensas</w:t>
      </w:r>
    </w:p>
    <w:p>
      <w:pPr>
        <w:spacing w:after="100"/>
      </w:pPr>
      <w:r>
        <w:t xml:space="preserve">RAI controla el 64,97 % y ejerce dirección y coordinación (artículos 2497 y siguientes del Código Civil): nombra ocho de nueve consejeros, al presidente y al consejero delegado, y es el cliente del 84 % de los ingresos [1, 11]. Es la mayor operación vinculada posible: el contrato de servicio, el arrendamiento de inmuebles de RAI (vencido en 2025 y en renovación) y los servicios que RAI presta a Rai Way pasan por el procedimiento de operaciones vinculadas. El Estado conserva poderes especiales sobre la red y un decreto fija un mínimo del 30 % para RAI [1, 17]. La minoría tiene un consejero independiente por voto de lista. No hay clases de acciones ni blindajes estatutarios.</w:t>
      </w:r>
    </w:p>
    <w:p>
      <w:pPr>
        <w:pStyle w:val="Heading2"/>
      </w:pPr>
      <w:r>
        <w:t xml:space="preserve">Señales de alerta</w:t>
      </w:r>
    </w:p>
    <w:p>
      <w:pPr>
        <w:pStyle w:val="ListParagraph"/>
        <w:numPr>
          <w:ilvl w:val="0"/>
          <w:numId w:val="2"/>
        </w:numPr>
        <w:spacing w:after="60"/>
      </w:pPr>
      <w:r>
        <w:t xml:space="preserve">RAI es a la vez accionista de control y cliente del 84 % de los ingresos: el precio del contrato de 2028 lo negocia con una filial que controla.</w:t>
      </w:r>
    </w:p>
    <w:p>
      <w:pPr>
        <w:pStyle w:val="ListParagraph"/>
        <w:numPr>
          <w:ilvl w:val="0"/>
          <w:numId w:val="2"/>
        </w:numPr>
        <w:spacing w:after="60"/>
      </w:pPr>
      <w:r>
        <w:t xml:space="preserve">Riesgo de colocación (overhang): RAI estudió vender un 10-15 % (bloqueado por el Ministerio en 2024) y, sin la fusión, podría volver a plantearlo [17].</w:t>
      </w:r>
    </w:p>
    <w:p>
      <w:pPr>
        <w:pStyle w:val="ListParagraph"/>
        <w:numPr>
          <w:ilvl w:val="0"/>
          <w:numId w:val="2"/>
        </w:numPr>
        <w:spacing w:after="60"/>
      </w:pPr>
      <w:r>
        <w:t xml:space="preserve">Cambio de presidente en abril de 2026 (Pasciucco por Mordillo, CTO de RAI)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(revisada el 30-jul-2026): EBITDA ajustado por encima del de 2025 (191,8 M EUR) sin contar el efecto del precio de la energía, capex de mantenimiento por debajo del de 2025 y capex de desarrollo por encima (solar, DAB+, CDN); próximos resultados el 11-nov-2026 [30]. En marzo la guía era de un EBITDA ajustado estable. El plan 2024-27 (marzo de 2024) apuntaba a 316 M de ingresos y 207 M de EBITDA ajustado en 2027, que el consenso ya no recoge (303 M y 201,5 M) [19]. Sensibilidad: ±0,7 M de EBITDA por cada 10 EUR/MWh de electricidad.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 – 7,20</w:t>
            </w:r>
          </w:p>
        </w:tc>
      </w:tr>
    </w:tbl>
    <w:p>
      <w:pPr>
        <w:spacing w:after="160" w:before="0"/>
      </w:pPr>
    </w:p>
    <w:p>
      <w:pPr>
        <w:pStyle w:val="Heading2"/>
      </w:pPr>
      <w:r>
        <w:t xml:space="preserve">Revisiones de estimaciones</w:t>
      </w:r>
    </w:p>
    <w:p>
      <w:pPr>
        <w:spacing w:after="100"/>
      </w:pPr>
      <w:r>
        <w:t xml:space="preserve">Tras el fin de las negociaciones con EI Towers (1-jul-2026), los analistas quitaron la prima de la operación: Equita bajó a Mantener [29]; Intermonte (Websim) mantuvo Comprar y bajó el objetivo a 7,2 (desde 7,7) quitando 0,5 EUR de sinergias [27]; Morgan Stanley empezó a cubrirla el 26-ago con «equal-weight» y 5,40 [28]. Las estimaciones de BPA de 2026 subieron ≈ 2 % tras el 1S26 por menores gastos financieros [27]. Solo hay una fuente con estimaciones completas (MarketScreener); el objetivo y las opiniones se contrastan con las notas de los brókeres.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25,6 % en un año (con dividendos) frente al +18,7 % del FTSE MIB, y cotiza en mínimos de 52 semanas (4,18 EUR el 8-oct) tras marcar 6,25 el 2-mar-2026 [18]. La caída tiene tres tramos: la expiración del memorando con EI Towers (1-jul, −5,1 % ese día), el pago del dividendo de 0,33 (mayo) y las rebajas de recomendación (Equita a Mantener; Morgan Stanley empieza con «equal-weight» y 5,40) [18, 28, 29]. En diez años la acción ha rendido un 6,8 % anual, por debajo del índice, con una beta de 0,29 frente al FTSE MIB: se comporta como un bono indexado [18].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cada año la acción cotizó entre 15 y 19 veces el beneficio del año siguiente (mediana de 16,7 veces en 2021-2025) y hoy lo hace a unas 12 veces el de 2027: un descuento del 25-30 % frente a su historia [18]. Parte del descuento es estructural: los tipos a 10 años en euros pasaron del 0 % de 2021 al 3,5 % de hoy y la acción es un sustituto de bono [22]. La otra parte es de la operación fallida: la prima de fusión que el precio llevaba en 2025 (con dividendo extraordinario esperado de ≈ 1 EUR por acción) ha desaparecido.</w:t>
      </w:r>
    </w:p>
    <w:p>
      <w:pPr>
        <w:pStyle w:val="Heading1"/>
      </w:pPr>
      <w:r>
        <w:t xml:space="preserve">18. Comparables cotizados</w:t>
      </w:r>
    </w:p>
    <w:p>
      <w:pPr>
        <w:pStyle w:val="Confianza"/>
        <w:spacing w:after="100"/>
      </w:pPr>
      <w:r>
        <w:t xml:space="preserve">Confianza: Media</w:t>
      </w:r>
    </w:p>
    <w:p>
      <w:pPr>
        <w:spacing w:after="100"/>
      </w:pPr>
      <w:r>
        <w:t xml:space="preserve">Torreras cotizadas con contratos a largo plazo indexados y márgenes EBITDA del 50-70 %: INWIT y Cellnex (Europa, con red en Italia), American Tower, SBA y Crown Castle (EE. UU.) y Helios Towers (África). No hay comparables puros de difusión cotizados: EI Towers, TDF y Arqiva son privadas. Todas crecen algo más y tienen mucha más deuda (3,7-8,3 veces el EBITDA frente a 0,9 de Rai Way) y contratos con varios clientes; por eso el múltiplo sirve de techo, no de referencia directa. Datos de Stock Analysis a 14-15 de octubre; crecimiento = previsión de ingresos a 3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 Way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INWIT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Cellnex Telecom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Tower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SBA Communications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Crown Castle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Helios Towers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15,3x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 / 22,8x / 26,7x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 / 11,4x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Rai Way cotiza a ≈ 7 veces el EBITDA de los últimos doce meses y 12-13 veces el beneficio de 2027, frente a 11-21 veces el EBITDA y 19-30 veces el beneficio de las torreras. La diferencia se explica por tres cosas: el crecimiento esperado es menor (1-3 % frente a 3-5 %), la concentración en un cliente que es también el accionista de control, y la percepción de que la TDT es un activo que se extingue mientras las torres de telecomunicaciones tienen 5G y densificación por delante. Aun así, el descuento es extremo para una empresa con un ROIC del 28 % y deuda de 0,9 veces el EBITDA. El múltiplo de los comparables pesa poco (10 %) y solo como contraste.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core: +2,3 % en 2026 (fijo: +2,5 % en el 1S26 y guía al alza [3]), +3,0 % en 2027-2028 y bajada al 2 % en 2030-2032. El crecimiento sale de la indexación del contrato de RAI a la inflación italiana (≈ 1,5 %), de la extensión de la red DAB+ (servicios nuevos de RAI: +1,4 M en el 1S26 [7]) y de terceros (+5,9 % en el 1S26). Es menos que la TCAC de 2021-2025 (5,3 %), inflada por la inflación de 2022, y algo menos que el consenso (290, 303 y 314 M en 2026-2028 [19]). La renovación del contrato de RAI en 2028 no se modela en el base (se renueva tácitamente a 2035); su riesgo va al bajista.</w:t>
      </w:r>
    </w:p>
    <w:p>
      <w:pPr>
        <w:keepNext/>
        <w:spacing w:after="100"/>
      </w:pPr>
      <w:r>
        <w:rPr>
          <w:b/>
          <w:bCs/>
        </w:rPr>
        <w:t xml:space="preserve">Márgenes.</w:t>
      </w:r>
    </w:p>
    <w:p>
      <w:pPr>
        <w:spacing w:after="100"/>
      </w:pPr>
      <w:r>
        <w:t xml:space="preserve">Margen EBITDA publicado del 65,9 % en 2026 (guía de EBITDA ajustado por encima de 191,8 M menos ≈ 3 M de no recurrentes), que sube al 67,5 % en 2030 por el apalancamiento operativo (personal casi fijo) y el ahorro de energía del proyecto solar (≈ 4 M de EBITDA en régimen [9]). Es el margen ajustado de 2025 (67,8 %), sin suponer expansión por encima de lo ya visto. Riesgo: energía (±0,7 M por cada 10 EUR/MWh) y costes de arranque de la diversificación (≈ 5 M al año).</w:t>
      </w:r>
    </w:p>
    <w:p>
      <w:pPr>
        <w:keepNext/>
        <w:spacing w:after="100"/>
      </w:pPr>
      <w:r>
        <w:rPr>
          <w:b/>
          <w:bCs/>
        </w:rPr>
        <w:t xml:space="preserve">Inversión y circulante.</w:t>
      </w:r>
    </w:p>
    <w:p>
      <w:pPr>
        <w:spacing w:after="100"/>
      </w:pPr>
      <w:r>
        <w:t xml:space="preserve">Capex (con altas de derechos de uso de ≈ 12 M al año): 22 % de los ingresos en 2026 (desarrollo en solar, DAB+ y CDN más mantenimiento), bajando al 17,5 % en 2030-2032, igual que la amortización en el último año. Es coherente con 2024-2025 (capex de 50-51 M más 12 M de derechos de uso, el 22 % de los ingresos [1, 2]) y con un mantenimiento recurrente del ≈ 6 % de los ingresos [10]. No incluye el centro de datos hiperescala de Pomezia (sin cliente): ni su inversión ni su EBITDA. Circulante comercial del 8,5 % de los ingresos (8,1-8,7 % en 2024-2025).</w:t>
      </w:r>
    </w:p>
    <w:p>
      <w:pPr>
        <w:keepNext/>
        <w:spacing w:after="100"/>
      </w:pPr>
      <w:r>
        <w:rPr>
          <w:b/>
          <w:bCs/>
        </w:rPr>
        <w:t xml:space="preserve">Coste del capital.</w:t>
      </w:r>
    </w:p>
    <w:p>
      <w:pPr>
        <w:spacing w:after="100"/>
      </w:pPr>
      <w:r>
        <w:t xml:space="preserve">Tasa libre: Bund a 10 años, 3,51 % [22]. Prima de mercado del 5,5 % y prima adicional de 0,9 puntos por riesgo país: Rai Way vende el 100 % en Italia y el diferencial del bono italiano sobre el alemán era de 0,89 puntos en septiembre de 2026 [23]. Beta de 0,60: la mensual de 5 años frente al FTSE MIB es de 0,29 y la ajustada de 0,52 [18], que subestiman el riesgo de un contrato con un único cliente; usamos 0,60, cerca de la de las utilities reguladas. Coste de la deuda del 4,0 % antes de impuestos (préstamo sindicado a tipo variable) y peso de la deuda del 14 % a valor de mercado. WACC del 7,03 %.</w:t>
      </w:r>
    </w:p>
    <w:p>
      <w:pPr>
        <w:keepNext/>
        <w:spacing w:after="100"/>
      </w:pPr>
      <w:r>
        <w:rPr>
          <w:b/>
          <w:bCs/>
        </w:rPr>
        <w:t xml:space="preserve">Valor terminal.</w:t>
      </w:r>
    </w:p>
    <w:p>
      <w:pPr>
        <w:spacing w:after="100"/>
      </w:pPr>
      <w:r>
        <w:t xml:space="preserve">Gordon con crecimiento del 1,0 %, por debajo de la inflación esperada en euros (≈ 2 %): un crecimiento nominal bajo refleja que la TDT es un activo maduro cuyo canon real tenderá a bajar a partir de 2035. Implica un múltiplo de salida de unas 9-10 veces el EBITDA, por encima de las ≈ 7 veces de hoy y por debajo de las 11-21 veces de las torreras [14, 25]. El valor terminal pesa un 70 % del valor: la tesis depende de que el contrato con RAI siga más allá de 2035 en condiciones parecidas. El bajista lo pone al 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 (reinvierte el 56 %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(histórico: 42,9 %)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frente al 2,4 %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-14 M, con un capex bruto medio del 18,8 % de las ventas). En un negocio de activos ligeros, el crecimiento medio del 2,4 %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Indexación a la inflación de 2025 (≈ 1,3 %) y extensión de la red DAB+ más terceros (≈ 1,0 %); +2,5 % en el 1S26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Indexación (≈ 1,5 %) y volumen de DAB+, CDN, conectividad y centros de datos edge (≈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contrato de RAI se renueva tácitamente en junio de 2028 (riesgo en el bajista).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Indexación (≈ 1,5 %); menos aportación de DAB+ cuando la red esté desplegada.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Indexación y terceros; el volumen nuevo se agota.</w:t>
            </w:r>
          </w:p>
        </w:tc>
      </w:tr>
    </w:tbl>
    <w:p>
      <w:pPr>
        <w:spacing w:after="160" w:before="0"/>
      </w:pPr>
    </w:p>
    <w:p>
      <w:pPr>
        <w:spacing w:after="100"/>
      </w:pPr>
      <w:r>
        <w:t xml:space="preserve">Sí: el crecimiento proyectado (2,4 % de media) es menor que el histórico (5,3 %) y sale casi todo de una cláusula contractual (indexación a la inflación del contrato de RAI) y de servicios nuevos ya contratados (DAB+), con poder de precios demostrado en 2023 (+10,8 % de ingresos con la inflación de 2022). La proyección no necesita inversión neta: el capex medio (18,8 % de las ventas) cubre la amortización, y el ROIC (29,6 %) financia de sobra un 2-3 % de crecimiento. La cuota no cambia: el mercado está repartido entre dos redes. Ninguna de las tres pruebas falla. El riesgo no es de sostenibilidad del crecimiento sino del nivel: la renovación del contrato en 2028 y la vida de la TDT, que van al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67,5 %)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7,0 %)</w:t>
            </w:r>
          </w:p>
        </w:tc>
      </w:tr>
    </w:tbl>
    <w:p>
      <w:pPr>
        <w:spacing w:after="160" w:before="0"/>
      </w:pPr>
    </w:p>
    <w:p>
      <w:pPr>
        <w:spacing w:after="100"/>
      </w:pPr>
      <w:r>
        <w:t xml:space="preserve">El DCF da 6,26 EUR por acción, un 49,0 % por encima del precio, con el valor terminal en el 70 % del total. El DCF inverso es la clave: para justificar 4,20 EUR con nuestro margen, los ingresos tendrían que caer un 4,8 % al año entre 2027 y 2032 (frente a nuestro +2,4 %); o, con nuestro crecimiento, el margen EBITDA tendría que bajar al 52,6 % (frente al 67,5 %); la rentabilidad implícita es del 9,6 % frente a un WACC del 7,03 %. Es decir, el mercado descuenta una renegociación dura del contrato con RAI o un final temprano de la TDT. Ninguna de las dos cosas está en la guía ni en el calendario conocido: el contrato se renueva tácitamente hasta 2035 salvo denuncia y las frecuencias de RAI llegan a 2032. Es un precio exigente para el bajista, no para el base. Con la prima del mercado (4,20 %), el valor sube.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contrato abierto a rescisión sin penalización desde julio de 2028, RAI, con problemas de ingresos, renegocia el canon a la baja (−10 % de sus ingresos desde 2029), la energía encarece los costes y la diversificación no despega. El crecimiento terminal cae a cero.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se renueva tácitamente hasta 2035 con indexación, la red DAB+ se completa, los terceros crecen al 5 % y el solar abarata la energía desde 2028. El dividendo se mantiene en ≈ 0,33-0,35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los centros de datos edge y la CDN ganan clientes, el hiperescala de Pomezia firma un cliente o socio y el margen sube por el ahorro de energía. Una operación corporativa (fusión o venta de una parte por RAI con prima) queda como opción, no en el cálculo.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5,87 EUR (+39,8 %).</w:t>
      </w:r>
    </w:p>
    <w:p>
      <w:pPr>
        <w:spacing w:after="100"/>
      </w:pPr>
      <w:r>
        <w:t xml:space="preserve">Asimetría favorable: el bajista (4,22 EUR) deja el precio igual que hoy porque ya descuenta una caída de ingresos, y el alcista (6,72) gana un 60,0 %; el base (6,26) gana un 49,0 %. El bajista es verosímil, no cosmético: RAI ya bajó el canon de los hogares en 2024 y necesita ahorrar, y el contrato pierde la penalización por rescisión en junio de 2028. Pero incluso un recorte del 10 % de los ingresos de RAI con caída del margen deja el valor en el precio de hoy, porque la empresa genera ≈ 90 M de caja libre antes de dividendos y tiene poca deuda.</w:t>
      </w:r>
    </w:p>
    <w:p>
      <w:pPr>
        <w:pStyle w:val="Heading1"/>
      </w:pPr>
      <w:r>
        <w:t xml:space="preserve">22. Suma de partes</w:t>
      </w:r>
    </w:p>
    <w:p>
      <w:pPr>
        <w:pStyle w:val="Confianza"/>
        <w:spacing w:after="100"/>
      </w:pPr>
      <w:r>
        <w:t xml:space="preserve">Confianza: Media</w:t>
      </w:r>
    </w:p>
    <w:p>
      <w:pPr>
        <w:spacing w:after="100"/>
      </w:pPr>
      <w:r>
        <w:t xml:space="preserve">No aplica: la diversificación (centros de datos, CDN, solar) aporta menos de 1 M EUR de EBITDA neto y el resto del negocio (difusión para RAI y torres) comparte red, emplazamientos y costes; el plan de centros de datos se valora como opción en el escenario alcista, no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6,23 EUR (+48,3 % sobre 4,20).</w:t>
      </w:r>
    </w:p>
    <w:p>
      <w:pPr>
        <w:spacing w:after="100"/>
      </w:pPr>
      <w:r>
        <w:t xml:space="preserve">Pesos: DCF 45 %, escenarios 45 % y comparables 10 %. El DCF es el método natural para un contrato a largo plazo con flujos previsibles; los escenarios recogen el riesgo binario de 2028. Los comparables (torreras con más crecimiento, más deuda y muchos clientes) dan valores muy superiores (EV/EBITDA de 10-21 veces) y sirven de techo, no de ancla: por eso solo un 10 %. Sin transacciones con múltiplo publicado (EI Towers, Vantage Towers, TDF). La dispersión entre métodos es amplia hacia arriba: todos los métodos, salvo el bajista, quedan por encima del precio. El consenso (6,18 EUR de objetivo medio, 6 analistas) está cerca de nuestro valor intrínseco, aunque las dos últimas opiniones (Equita, Morgan Stanley) son más bajas.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(12.3x) × 1.1 (tope: la mediana de 5 años, 16.7x,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spacing w:after="100"/>
      </w:pPr>
      <w:r>
        <w:rPr>
          <w:b/>
          <w:bCs/>
        </w:rPr>
        <w:t xml:space="preserve">Objetivo a 12 meses (ponderado):</w:t>
      </w:r>
      <w:r>
        <w:t xml:space="preserve"> 5,01 EUR · rentabilidad +27,1 % (base +22,9 %) · señal Comprar.</w:t>
      </w:r>
    </w:p>
    <w:p>
      <w:pPr>
        <w:spacing w:after="100"/>
      </w:pPr>
      <w:r>
        <w:t xml:space="preserve">Para comparar, con la regla v2 (historia al cierre, mismo precio): 10,5x / 12,3x / 16,0x, 16,3 % Comprar; con el tope anterior del base (×1,3, 14-oct mediodía): 34,0 %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coincide con el del consenso: 0,3415 frente a 0,343 EUR en 2027 (−0,4 %) y 0,3575 frente a 0,3553 en 2028 (+0,6 %) [19]. Nuestros ingresos van algo por debajo (307 frente a 314 M en 2028) y el margen algo por encima (EBITDA publicado de 206 M frente a 209,8 M ajustado). La diferencia está en el múltiplo, no en el beneficio: el objetivo medio de los analistas (6,18 EUR) supone ≈ 17 veces el BPA de 2028, el PER histórico, mientras que la regla común sube el PER actual de 12,3 veces solo hasta ≈ 13,5 veces. Las dos últimas opiniones (Equita a Mantener, Morgan Stanley con 5,40) están más cerca de nuestro objetivo.</w:t>
      </w:r>
    </w:p>
    <w:p>
      <w:pPr>
        <w:keepNext/>
        <w:spacing w:after="100"/>
      </w:pPr>
      <w:r>
        <w:rPr>
          <w:b/>
          <w:bCs/>
        </w:rPr>
        <w:t xml:space="preserve">Del valor intrínseco al objetivo a 12 meses.</w:t>
      </w:r>
    </w:p>
    <w:p>
      <w:pPr>
        <w:spacing w:after="100"/>
      </w:pPr>
      <w:r>
        <w:t xml:space="preserve">El objetivo a 12 meses queda muy por debajo del valor intrínseco (6,23 EUR): la regla solo recupera una parte del descuento frente a la historia del PER en un año. Cerrar la distancia exige un catalizador que hoy no tiene fecha: la renovación tácita del contrato de RAI en junio de 2028 (que despejaría el riesgo principal), un cliente para el centro de datos de Pomezia o una nueva operación corporativa. Hasta entonces la rentabilidad viene sobre todo del dividendo (7,9 %). La tesis completa es a 2-3 años, y el horizonte del resumen lo dice.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EBITDA al alza y del efecto de la energía del 3T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 (≈ 0,33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 ≈ 8 %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la concesión de servicio público de RAI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renovación confirma el marco del contrato con Rai Way; un cambio de perímetro sería negativo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o socio para el centro de datos hiperescala de Pomezia (35,2 MW, ya autorizado)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Daría valor a la diversificación (no está en el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la renovación del contrato de servicio (vence el 30-jun-2028; renovación tácita a 2035)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principal: un canon menor bajaría el valor un 15-30 %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del préstamo sindicado (105 M + revolving)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sin riesgo de liquidez con 0,9 veces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una parte del capital por RAI (hasta el 30 %) o nueva operación con EI Towers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con descuento a corto plazo; una operación con prima,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Renegociación a la baja o rescisión parcial del contrato de servicio con RAI (vence el 30-jun-2028; desde entonces rescindible sin penalización)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 / 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(escenario bajista: 4,22 frente a 6,26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 no tiene alternativa realista (otra red o la de Mediaset) y es el accionista de control: un recorte le quita a ella el 65 %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Comunicados sobre el contrato; plan de RAI de reducción de costes; ingresos de RAI por debajo de la inflación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televisión terrestre (apagado o reducción de múltiplex a partir de 2032-2035)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(valor terminal con crecimiento 0 % o negativo)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Frecuencias de RAI hasta 2032; la UHF reservada a la difusión en Europa hasta 2030; la TDT sigue siendo la plataforma con más audiencia en Italia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europea sobre la banda UHF; audiencia de TDT; reducción de múltiplex de RAI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interés del accionista de control (precios de transferencia, uso del dividendo, operaciones corporativas)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 de operaciones vinculadas, seis consejeros independientes de nueve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contrato inmobiliario con RAI; condiciones de una futura fusión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 acciones por RAI (hasta el 30 %)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a corto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Ministerio de Economía la bloqueó en 2024; ampliaría el flotante y la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financiero de RAI; autorización del Gobierno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electricidad (Oriente Medio, Brent por encima de 100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30 EUR/MWh (−2 M de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solar de 40 MW; parte de los contratos repercute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 mensual por encima de 140 EUR/MWh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diversificación que no rinde (centros de datos, CDN)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por fases; hiperescala solo con cliente o socio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diversificación por debajo de 5 M en 2027; capex sin contratos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 alza (acción sustituta de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por cada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baja; ingresos indexados a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 por encima del 4 %</w:t>
            </w:r>
          </w:p>
        </w:tc>
      </w:tr>
    </w:tbl>
    <w:p>
      <w:pPr>
        <w:spacing w:after="160" w:before="0"/>
      </w:pPr>
    </w:p>
    <w:p>
      <w:pPr>
        <w:pStyle w:val="Heading2"/>
      </w:pPr>
      <w:r>
        <w:t xml:space="preserve">Pre-mortem</w:t>
      </w:r>
    </w:p>
    <w:p>
      <w:pPr>
        <w:spacing w:after="100"/>
      </w:pPr>
      <w:r>
        <w:t xml:space="preserve">Octubre de 2029: la acción cotiza a 2,50 EUR y ha perdido un 40 % pese a los dividendos. La historia más probable empieza en 2027: RAI, con el canon congelado y un plan de ahorro exigido por el Gobierno, abre la negociación del contrato de servicio antes del vencimiento de junio de 2028, sabiendo que después puede rescindirlo sin penalización. El consejo de Rai Way, con presidente de RAI y ocho de nueve consejeros propuestos por ella, acepta un canon un 15 % menor a cambio de un contrato a diez años. El EBITDA cae de 205 a 170 M, el beneficio a 70 M y el dividendo a 0,26 EUR. Al mismo tiempo, el centro de datos hiperescala se construye sin cliente ancla para «demostrar la diversificación», la deuda sube a 2,5 veces el EBITDA y el mercado reclasifica la acción de bono indexado a utility en declive. El indicador que lo habría anticipado: el contenido del plan industrial de RAI de 2027 y cualquier mención a la «revisión de los costes de red» en sus cuentas, además de que Rai Way empiece capex de hiperescala sin contrato firmado.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(±3 %) a 3-5 años</w:t>
      </w:r>
    </w:p>
    <w:p>
      <w:pPr>
        <w:spacing w:after="100"/>
      </w:pPr>
      <w:r>
        <w:t xml:space="preserve">La IA no sustituye lo que vende Rai Way: emitir la señal de RAI desde 2.300 torres es infraestructura física con licencia, y el 84 % de los ingresos es un canon contractual que no depende de cuánto trabajo humano automatice nadie. Por el lado de los costes, la operación de la red ya está muy automatizada (tres centros de control para todo el país) y el ahorro posible es pequeño (el personal son ≈ 50 M). La única vía de exposición es indirecta y de dos signos: la IA acelera el consumo de vídeo a la carta, que se distribuye por internet y no por la TDT (amenaza a largo plazo, ya recogida en el riesgo de la TDT), y genera demanda de centros de datos regionales de baja latencia para inferencia, donde Rai Way ve «un interés inicial» de clientes [3]. Señal a vigilar: contratos de sus centros de datos edge ligados a cargas de IA.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2024-12</w:t>
            </w:r>
          </w:p>
        </w:tc>
      </w:tr>
    </w:tbl>
    <w:p>
      <w:pPr>
        <w:spacing w:after="160" w:before="0"/>
      </w:pPr>
    </w:p>
    <w:p>
      <w:pPr>
        <w:pStyle w:val="Heading2"/>
      </w:pPr>
      <w:r>
        <w:t xml:space="preserve">Asuntos materiales</w:t>
      </w:r>
    </w:p>
    <w:p>
      <w:pPr>
        <w:spacing w:after="100"/>
      </w:pPr>
      <w:r>
        <w:t xml:space="preserve">El asunto ESG con efecto en las cifras es la energía: Rai Way consumió unos 62.000 MWh de electricidad renovable comprada en 2025 y la energía es su mayor coste variable [1]. El proyecto solar (≈ 40 MW en ocho emplazamientos propios, 32 M de inversión, ≈ 4 M de EBITDA en régimen) reduce esa exposición [9]. En 2025 alcanzó la neutralidad de carbono en alcance 1 y 2 con créditos de carbono y presentó objetivos SBTi [9]. El segundo asunto es el servicio público: la red garantiza la cobertura del servicio público de RAI, con obligaciones de nivel de servicio [1].</w:t>
      </w:r>
    </w:p>
    <w:p>
      <w:pPr>
        <w:pStyle w:val="Heading2"/>
      </w:pPr>
      <w:r>
        <w:t xml:space="preserve">Controversias</w:t>
      </w:r>
    </w:p>
    <w:p>
      <w:pPr>
        <w:spacing w:after="100"/>
      </w:pPr>
      <w:r>
        <w:t xml:space="preserve">Sin sanciones ni litigios relevantes en los últimos tres años en el informe anual 2025 [1]. La única controversia es de gobierno: la injerencia política en los nombramientos de RAI, que retrasó en 2024-2025 las decisiones sobre la fusión con EI Towers.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 de RAI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abierto RAI alguna conversación sobre el canon o el perímetro del contrato antes de la renovación tácita de junio de 2028? ¿Qué parte del canon se fija por servicio y cuál es fija?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 (−33 % en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 de datos de Pomezia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construirá sin un cliente ancla firmado? ¿Qué rentabilidad mínima sobre la inversión exige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cliente, 35 MW requieren cientos de millones y doblarían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RAI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RAI un plan de colocación de acciones ahora que la fusión con EI Towers ha caído?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colocación con descuento presionaría el precio a corto plazo.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TDT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número de múltiplex de RAI más allá de 2032 maneja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terminal (70 % del DCF)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reparto del 100 % si la inversión de desarrollo sube y la caja libre no cubre el dividendo?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caja libre (74 M) no cubrió el dividendo (89,7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consumo de 2027 está ya cubierta a precio fijo?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Brent por encima de 100 USD, el coste eléctrico es el principal riesgo de la guía.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Teleborsa / Borsa Italiana (notas de mercado y rebajas de brókeres)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Equita a Mantener tras la fusión fallida y entrada de Morgan Stanley con «equal-weight» y 5,40 EUR: el mercado ya no paga prima de operación [28,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Websim (Intermonte), nota tras 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Comprar: resultados por encima de lo esperado, guía al alza y dividendo del 8 % «visible y sostenible» tras caer un 26 % en tres meses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FinanzaOnline (hilos de Rai Way)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hilos existen (fusión con EI Towers, dividendo), pero las páginas recientes no abren (403): no leemos opiniones de los últimos tres meses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 si es una «trampa de valor»: crecimiento del 2 %, regulación y 17 veces beneficios entonces; fuera de la ventana de tres meses, solo como contexto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fusión con EI Towers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y ya en el precio: la acción cayó de 6,25 a 4,20 EUR; el negocio no cambia (la empresa lo dice y el 1S26 lo confirma), pero se pierde el dividendo extraordinario de ≈ 1 EUR que esperaban algunos analistas.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del 7-8 %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0,33 EUR sobre 4,20 = 7,9 %; cubierto por el beneficio pero no del todo por la caja libre (74 M frente a 89,7 M en 2025): se paga en parte con deuda mientras dure la inversión.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RAI y renovación del contrato en 2028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poco comentado: después de junio de 2028 RAI puede rescindir sin penalización. Es el riesgo principal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Posible venta de acciones por RAI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Plausible: el decreto lo permite hasta el 30 % y RAI necesita caja; una colocación con descuento presionaría el precio a corto plazo.</w:t>
            </w:r>
          </w:p>
        </w:tc>
      </w:tr>
    </w:tbl>
    <w:p>
      <w:pPr>
        <w:spacing w:after="160" w:before="0"/>
      </w:pPr>
    </w:p>
    <w:p>
      <w:pPr>
        <w:spacing w:after="100"/>
      </w:pPr>
      <w:r>
        <w:t xml:space="preserve">Sin foros legibles de los últimos tres meses, el sentimiento sale de la prensa y de los brókeres: es negativo y empeora desde julio, con la acción en mínimos de 52 semanas y una rebaja a Mantener y un inicio de cobertura neutral con objetivo de 5,40 EUR. La lectura es de capitulación de los que compraron por la fusión, no de un deterioro del negocio: el 1S26 mejoró la guía. Para la decisión aporta una cosa: el precio actual ya descuenta que no hay operación, y el riesgo que el mercado apenas comenta, el contrato de 2028, es el que debe pesar en 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32 (16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8,7 %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21,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ingresos); 2) presentación de FY2025 (EBITDA total); 3) presentación del 1S26 (puente de EBITDA sin reparto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(sin esta segmentación); 2) plan 2024-27 (solo 2023); 3) informe anual 2024 (2023-2024)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(cuenta NIIF sin desglose); 2) plan 2024-27 (EBITDA ajustado en gráfico, ≈ igual al publicado); 3) comunicados de 2022-2023 no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oficial del mercado de difusión (estadística de AGCOM)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Rai Way 2025 (sin tamaño de mercado); 2) plan 2024-27 (audiencia, radio y torres, no difusión mayorista); 3) prensa sectorial (solo ingresos de las dos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EI Towers (solo EBITDA ajustado en Websim); 2) Stock Analysis (margen EBITDA de INWIT y Cellnex); 3) informes anuales no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la incluye); 2) acta de la junta de 2026 (PDF escaneado, sin texto); 3) nota de resultados de la junta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(internal dealing)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Rai Way (sección de internal dealing no localizada en la API);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OPA de 2i Towers (F2i y Mediaset) sobre EI Towers en 2018: precio de 57 EUR y 1.610 M de equity, sin EV/EBITDA en las fuentes leídas; 2) búsqueda de múltiplos de Vantage Towers, Telxius y TDF (sin documento oficial en el tiempo disponible); 3) prensa italiana (solo precio y prima)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«Outperform» de media); 2) Teleborsa (notas sueltas: Equita Mantener, Morgan Stanley equal-weight, Intermonte Comprar); 3) Investing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Consob (posiciones cortas netas: sin posiciones públicas ≥ 0,5 % localizadas);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directo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FinanzaOnline (hilos localizados; páginas 403); 2) Reddit (bloqueado) y Stocktwits (símbolo no encontrado); 3) comentarios de Investing (404) y de Websim (sin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Relazione Finanziaria Annuale 2025 (bilancio d’esercizio e relazione sulla gestione)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https://www.raiway.it/it/documents/documenti-investitori/bilanci-e-relazioni/2025/bilancio-e-relazione-sulla-gestione-al-31-dicembre-2025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Comunicato: Rai Way approva il progetto di bilancio al 31 dicembre 2025 (cuentas resumidas FY24-FY25 y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https://www.raiway.it/it/documents/documenti-investitori/avvisi-e-comunicati/comunicati/2026/approvazione-del-progetto-di-bilancio-al-31-dicembre-2025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Comunicato: Rai Way approva i risultati del primo semestre 2026 (cuentas 2T y 1S26, guía revisada)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https://www.raiway.it/it/documents/documenti-investitori/avvisi-e-comunicati/comunicati/approvazione-della-relazione-semestrale-al-30-giugno-2026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2024 (cuentas NIIF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https://www.raiway.it/it/documents/documenti-investitori/bilanci-e-relazioni/2024/bilancio-e-relazione-sulla-gestione-al-31-dicembre-2024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Bilancio e Relazione sulla Gestione al 31 dicembre 2022 (cuentas NIIF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https://www.raiway.it/it/documents/documenti-investitori/bilanci-e-relazioni/2022/bilancio-e-relazione-sulla-gestione-al-31-dicembre-2022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Semestrale al 30 giugno 2026 (notas de deuda, posición financiera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https://www.raiway.it/it/documents/documenti-investitori/bilanci-e-relazioni/2026/relazione-finanziaria-semestrale-al-30-giugno-2026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1H 2026 Results Presentation (ingresos por cliente, capex, puente de deuda,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https://www.raiway.it/it/documents/documenti-investitori/presentazioni-ed-eventi/2026/1h2026/presentazione-risultati-1h2026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Comunicati 1T26 (13-may-2026), 9M25 (13-nov-2025) y 1S25 (30-jul-2025): cuentas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https://www.raiway.it/it/documents/documenti-investitori/avvisi-e-comunicati/comunicati/2026/approvazione-del-resoconto-intermedio-di-gestione-al-31-marzo-2026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2025FY Results Presentation (capex, solar, centro de datos de Pomezia,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https://www.raiway.it/it/documents/documenti-investitori/presentazioni-ed-eventi/2026/fy/presentazione-risultati-2025fy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2023FY results and 2024-2027 Industrial Plan (objetivos financieros, historia del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https://www.raiway.it/it/documents/documenti-investitori/presentazioni-ed-eventi/2024/2023/presentazione-piano-industriale-2024-27-e-risultati-2023fy.pdf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Comunicato: Esiti dell’Assemblea degli Azionisti 2026 (dividendo de 0,33 EUR, autocartera de 3.495.579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https://www.raiway.it/it/documents/assemblee/assemblea-ordinaria-2026/comunicati/esiti-assemblea-degli-azionisti-2026.pdf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torres de emisión y difusión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 (sectores/torres-emision-2026-10-15.md)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sectores/torres-emision-2026-10-15.md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commento ai risultati 2025 di EI Towers (ingresos 266,9 M, EBITDA ajustado 155,9 M, deuda neta 618,6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https://www.websim.it/azioni/small-mid-cap/notizie/rai-way-commento-ai-risultati-2025-di-ei-towers/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INWIT, Cellnex, American Tower, SBA, Crown Castle y Helios Towers: estadísticas (márgenes, ROIC,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https://stockanalysis.com/quote/bit/INW/statistics/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Comunicato: Il CdA prende atto della comunicazione di RAI sulla scadenza del MoU con F2i y MFE (fusión con EI Towers)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https://www.raiway.it/it/documents/documenti-investitori/avvisi-e-comunicati/comunicati/2026/2026-07-02-rai-way-comunicato-stampa-per-pubblicazione.pdf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Cecatto confermato al vertice: Mordillo nuovo presidente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CorCom (Corriere Comunicazioni)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https://www.corrierecomunicazioni.it/digital-economy/rai-way-cecatto-confermato-al-vertice-mordillo-nuovo-presidente/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 Il Piano della Rai: urgenza di chiudere operazione RWAY-EIT o collocare quota RWAY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https://www.websim.it/azioni/small-mid-cap/notizie/rai-way-piano-rai-urgenza-di-chiudere-operazione-rway--eit-o-collocare-quota-rway-20251103071515/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RWAY.MI, FTSEMIB.MI y EXV2.DE (cierre del 13-oct-2026: 4,20 EUR;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https://finance.yahoo.com/quote/RWAY.MI/history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 previsiones anuales 2026-2028 (ingresos, EBITDA, EBIT, beneficio, BPA, dividendo,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https://in.marketscreener.com/quote/stock/RAI-WAY-S-P-A-18578978/finances/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 consenso (6 analistas, «Outperform»; objetivo medio 6,18 EUR, mínimo 5,20, máximo 7,20)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https://in.marketscreener.com/quote/stock/RAI-WAY-S-P-A-18578978/consensus/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(USD 1,1195; GBP 0,84385)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R10XX):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a largo plazo (convergencia) de Italia y Alemania, sep-2026: 4,362 % y 3,473 %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(serie IRS)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https://data-api.ecb.europa.eu/service/data/IRS/M.IT.L.L40.CI.0000.EUR.N.Z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American Tower, SBA Communications y Crown Castle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Helios Towers (LON:HTWS)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https://stockanalysis.com/quote/lon/HTWS/statistics/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 Guidance migliorata, strategia invariata (Comprar, objetivo 7,2 EUR desde 7,7; ≈ 7 veces EV/EBITDA 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 (Intermonte)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https://www.websim.it/azioni/small-mid-cap/notizie/rai-way-guidance-migliorata-strategia-invariata/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Morgan Stanley avvia copertura con equal-weight e prezzo obiettivo di 5,40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https://www.borsaitaliana.it/borsa/notizie/teleborsa/finanza/rai-way-morgan-stanley-avvia-copertura-con-equalweight-e-prezzo-obiettivo-di-540-euro-47_2026-08-26_TLB.html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downgrade a Hold da Equita dopo mancato deal con EI Towers (titular)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https://www.borsaitaliana.it/borsa/notizie/teleborsa/finanza/rai-way-downgrade-a-hold-da-equita-dopo-mancato-deal-con-ei-towers-109_2026-07-02_TLB.html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finanziario 2026 (resultados de 9M26 el 11-nov-2026)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 Way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https://www.raiway.it/it/documents/documenti-investitori/avvisi-e-comunicati/comunicati/2026/calendario-finanziario-2026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Rai Way en el foro de FinanzaOnline (índice de hilos; páginas recientes bloqueadas con 403)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https://forum.finanzaonline.com/threads/rai-way-sembra-tenuta-alta-ma-ce-tanto-potenziale.1982266/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20% Returns Over the Past Decade, Is Rai Way Stock a Value Trap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https://www.tikr.com/blog/with-20-returns-over-the-past-decade-is-rai-way-stock-a-value-trap-in-2026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83,2 %</w:t>
      </w:r>
      <w:r>
        <w:t xml:space="preserve"> · Secciones con menos del 60 % de campos cubiertos: </w:t>
      </w:r>
      <w:r>
        <w:rPr>
          <w:b/>
          <w:bCs/>
        </w:rPr>
        <w:t xml:space="preserve">gobierno, transacciones</w:t>
      </w:r>
      <w:r>
        <w:t xml:space="preserve"> · Generado el 15 oct 2026.</w:t>
      </w:r>
    </w:p>
    <w:p>
      <w:pPr>
        <w:pStyle w:val="Nota"/>
        <w:spacing w:after="100"/>
      </w:pPr>
      <w:r>
        <w:t xml:space="preserve">Rai Way no figura en el repositorio ESEF de filings.xbrl.org (LEI 815600303CCB3CFD2264): las cuentas 2021-2025 se copian de los estados NIIF de los informes anuales de 2022, 2024 y 2025 y del comunicado de FY2025, y el LTM de la relación semestral de junio de 2026. La cuenta va por naturaleza; «amortizaciones» suma amortizaciones, deterioros y provisiones para que EBITDA − amortizaciones = EBIT publicado. Acciones: 272 M emitidas menos 3,50 M de autocartera (268,5 M; 268,37 M en 2021-2023). Precio: cierre del 13-oct-2026 (4,20 EUR); Yahoo no publica el del 14-oct. Comparables de Stock Analysis a 14-15 de octubre, convertidos a EUR con el BCE del 14-oct; su EV/EBITDA de los próximos 12 meses no está disponible y su crecimiento es la previsión de ingresos a 3 años. Sin foros legibles de los últimos tres meses: el sentimiento sale de prensa y brókeres.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Rai Way S.p.A. (RWAY)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(4,18 – 6,25)</c:v>
                </c:pt>
                <c:pt idx="1">
                  <c:v>Precio objetivo de los analistas (5,20 – 7,20)</c:v>
                </c:pt>
                <c:pt idx="2">
                  <c:v>Comparables: PER NTM (7,54 – 9,07)</c:v>
                </c:pt>
                <c:pt idx="3">
                  <c:v>DCF (WACC y g ± 0,5) (5,40 – 7,45)</c:v>
                </c:pt>
                <c:pt idx="4">
                  <c:v>Escenarios (bajista – alcista) (4,22 – 6,72)</c:v>
                </c:pt>
                <c:pt idx="5">
                  <c:v>DCF con la prima implícita del mercado (4,2 %)</c:v>
                </c:pt>
                <c:pt idx="6">
                  <c:v>Precio actual (4,20)</c:v>
                </c:pt>
              </c:strCache>
            </c:strRef>
          </c:cat>
          <c:val>
            <c:numRef>
              <c:f>Hoja1!$B$2:$B$8</c:f>
              <c:numCache>
                <c:formatCode>#,##0.00</c:formatCode>
                <c:ptCount val="7"/>
                <c:pt idx="0">
                  <c:v>4.18</c:v>
                </c:pt>
                <c:pt idx="1">
                  <c:v>5.2</c:v>
                </c:pt>
                <c:pt idx="2">
                  <c:v>7.54</c:v>
                </c:pt>
                <c:pt idx="3">
                  <c:v>5.4</c:v>
                </c:pt>
                <c:pt idx="4">
                  <c:v>4.22</c:v>
                </c:pt>
                <c:pt idx="5">
                  <c:v>6.46</c:v>
                </c:pt>
                <c:pt idx="6">
                  <c:v>4.18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(4,18 – 6,25)</c:v>
                </c:pt>
                <c:pt idx="1">
                  <c:v>Precio objetivo de los analistas (5,20 – 7,20)</c:v>
                </c:pt>
                <c:pt idx="2">
                  <c:v>Comparables: PER NTM (7,54 – 9,07)</c:v>
                </c:pt>
                <c:pt idx="3">
                  <c:v>DCF (WACC y g ± 0,5) (5,40 – 7,45)</c:v>
                </c:pt>
                <c:pt idx="4">
                  <c:v>Escenarios (bajista – alcista) (4,22 – 6,72)</c:v>
                </c:pt>
                <c:pt idx="5">
                  <c:v>DCF con la prima implícita del mercado (4,2 %)</c:v>
                </c:pt>
                <c:pt idx="6">
                  <c:v>Precio actual (4,20)</c:v>
                </c:pt>
              </c:strCache>
            </c:strRef>
          </c:cat>
          <c:val>
            <c:numRef>
              <c:f>Hoja1!$C$2:$C$8</c:f>
              <c:numCache>
                <c:formatCode>#,##0.00</c:formatCode>
                <c:ptCount val="7"/>
                <c:pt idx="0">
                  <c:v>2.0700000000000003</c:v>
                </c:pt>
                <c:pt idx="1">
                  <c:v>2</c:v>
                </c:pt>
                <c:pt idx="2">
                  <c:v>1.5300000000000002</c:v>
                </c:pt>
                <c:pt idx="3">
                  <c:v>2.05</c:v>
                </c:pt>
                <c:pt idx="4">
                  <c:v>2.5</c:v>
                </c:pt>
                <c:pt idx="5">
                  <c:v>1.46</c:v>
                </c:pt>
                <c:pt idx="6">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Distribución de medios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240.9</c:v>
                </c:pt>
                <c:pt idx="1">
                  <c:v>244.1</c:v>
                </c:pt>
                <c:pt idx="2">
                  <c:v>249.5</c:v>
                </c:pt>
              </c:numCache>
            </c:numRef>
          </c:val>
        </c:ser>
        <c:ser>
          <c:idx val="1"/>
          <c:order val="1"/>
          <c:tx>
            <c:strRef>
              <c:f>Hoja1!$C$1</c:f>
              <c:strCache>
                <c:ptCount val="1"/>
                <c:pt idx="0">
                  <c:v>Infraestructuras digitales y otros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31</c:v>
                </c:pt>
                <c:pt idx="1">
                  <c:v>32</c:v>
                </c:pt>
                <c:pt idx="2">
                  <c:v>33.3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Distribución de medios</c:v>
                </c:pt>
                <c:pt idx="1">
                  <c:v>Infraestructuras digitales y otros</c:v>
                </c:pt>
              </c:strCache>
            </c:strRef>
          </c:cat>
          <c:val>
            <c:numRef>
              <c:f>Hoja1!$B$2:$B$3</c:f>
              <c:numCache>
                <c:formatCode>General</c:formatCode>
                <c:ptCount val="2"/>
                <c:pt idx="0">
                  <c:v>88.2</c:v>
                </c:pt>
                <c:pt idx="1">
                  <c:v>11.8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Italia</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(ingresos de Rai Way y EI Towers))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551</c:v>
                </c:pt>
                <c:pt idx="1">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Rai Way</c:v>
                </c:pt>
                <c:pt idx="1">
                  <c:v>EI Towers</c:v>
                </c:pt>
                <c:pt idx="2">
                  <c:v>INWIT</c:v>
                </c:pt>
                <c:pt idx="3">
                  <c:v>Cellnex Telecom</c:v>
                </c:pt>
              </c:strCache>
            </c:strRef>
          </c:cat>
          <c:val>
            <c:numRef>
              <c:f>Hoja1!$B$2:$B$5</c:f>
              <c:numCache>
                <c:formatCode>0.0"%"</c:formatCode>
                <c:ptCount val="4"/>
                <c:pt idx="0">
                  <c:v>47.6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229.9</c:v>
                </c:pt>
                <c:pt idx="1">
                  <c:v>245.4</c:v>
                </c:pt>
                <c:pt idx="2">
                  <c:v>271.9</c:v>
                </c:pt>
                <c:pt idx="3">
                  <c:v>276.1</c:v>
                </c:pt>
                <c:pt idx="4">
                  <c:v>282.8</c:v>
                </c:pt>
                <c:pt idx="5">
                  <c:v>289</c:v>
                </c:pt>
                <c:pt idx="6">
                  <c:v>298</c:v>
                </c:pt>
                <c:pt idx="7">
                  <c:v>307</c:v>
                </c:pt>
                <c:pt idx="8">
                  <c:v>315</c:v>
                </c:pt>
                <c:pt idx="9">
                  <c:v>321</c:v>
                </c:pt>
                <c:pt idx="10">
                  <c:v>327</c:v>
                </c:pt>
                <c:pt idx="11">
                  <c:v>334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142.6</c:v>
                </c:pt>
                <c:pt idx="1">
                  <c:v>151</c:v>
                </c:pt>
                <c:pt idx="2">
                  <c:v>180.3</c:v>
                </c:pt>
                <c:pt idx="3">
                  <c:v>185.5</c:v>
                </c:pt>
                <c:pt idx="4">
                  <c:v>191.8</c:v>
                </c:pt>
                <c:pt idx="5">
                  <c:v>191</c:v>
                </c:pt>
                <c:pt idx="6">
                  <c:v>199</c:v>
                </c:pt>
                <c:pt idx="7">
                  <c:v>206</c:v>
                </c:pt>
                <c:pt idx="8">
                  <c:v>212</c:v>
                </c:pt>
                <c:pt idx="9">
                  <c:v>217</c:v>
                </c:pt>
                <c:pt idx="10">
                  <c:v>221</c:v>
                </c:pt>
                <c:pt idx="11">
                  <c:v>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99.3</c:v>
                </c:pt>
                <c:pt idx="1">
                  <c:v>99.4</c:v>
                </c:pt>
                <c:pt idx="2">
                  <c:v>99.5</c:v>
                </c:pt>
                <c:pt idx="3">
                  <c:v>99.5</c:v>
                </c:pt>
                <c:pt idx="4">
                  <c:v>99.5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62</c:v>
                </c:pt>
                <c:pt idx="1">
                  <c:v>61.5</c:v>
                </c:pt>
                <c:pt idx="2">
                  <c:v>66.3</c:v>
                </c:pt>
                <c:pt idx="3">
                  <c:v>67.2</c:v>
                </c:pt>
                <c:pt idx="4">
                  <c:v>67.8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39.6</c:v>
                </c:pt>
                <c:pt idx="1">
                  <c:v>42.3</c:v>
                </c:pt>
                <c:pt idx="2">
                  <c:v>48.3</c:v>
                </c:pt>
                <c:pt idx="3">
                  <c:v>47.9</c:v>
                </c:pt>
                <c:pt idx="4">
                  <c:v>47.6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28.4</c:v>
                </c:pt>
                <c:pt idx="1">
                  <c:v>30</c:v>
                </c:pt>
                <c:pt idx="2">
                  <c:v>31.9</c:v>
                </c:pt>
                <c:pt idx="3">
                  <c:v>32.6</c:v>
                </c:pt>
                <c:pt idx="4">
                  <c:v>31.3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1.6</c:v>
                </c:pt>
                <c:pt idx="3">
                  <c:v>2.3</c:v>
                </c:pt>
                <c:pt idx="4">
                  <c:v>2.9</c:v>
                </c:pt>
                <c:pt idx="5">
                  <c:v>2.9</c:v>
                </c:pt>
                <c:pt idx="6">
                  <c:v>2.7</c:v>
                </c:pt>
                <c:pt idx="7">
                  <c:v>2.4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1.6</c:v>
                </c:pt>
                <c:pt idx="3">
                  <c:v>2.3</c:v>
                </c:pt>
                <c:pt idx="4">
                  <c:v>2.9</c:v>
                </c:pt>
                <c:pt idx="5">
                  <c:v>2.9</c:v>
                </c:pt>
                <c:pt idx="6">
                  <c:v>2.7</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98</c:v>
                </c:pt>
                <c:pt idx="2">
                  <c:v>100</c:v>
                </c:pt>
                <c:pt idx="3">
                  <c:v>99</c:v>
                </c:pt>
                <c:pt idx="4">
                  <c:v>96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c:v>
                </c:pt>
                <c:pt idx="1">
                  <c:v>3</c:v>
                </c:pt>
                <c:pt idx="2">
                  <c:v>3</c:v>
                </c:pt>
                <c:pt idx="3">
                  <c:v>3</c:v>
                </c:pt>
                <c:pt idx="4">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234</c:v>
                </c:pt>
                <c:pt idx="2">
                  <c:v>259</c:v>
                </c:pt>
                <c:pt idx="3">
                  <c:v>216</c:v>
                </c:pt>
                <c:pt idx="4">
                  <c:v>200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24.200000000000006</c:v>
                </c:pt>
                <c:pt idx="1">
                  <c:v>51.300000000000004</c:v>
                </c:pt>
                <c:pt idx="2">
                  <c:v>73.5</c:v>
                </c:pt>
                <c:pt idx="3">
                  <c:v>60.90000000000002</c:v>
                </c:pt>
                <c:pt idx="4">
                  <c:v>74.19999999999997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65.4</c:v>
                </c:pt>
                <c:pt idx="1">
                  <c:v>73.7</c:v>
                </c:pt>
                <c:pt idx="2">
                  <c:v>86.7</c:v>
                </c:pt>
                <c:pt idx="3">
                  <c:v>89.9</c:v>
                </c:pt>
                <c:pt idx="4">
                  <c:v>88.6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26.1</c:v>
                </c:pt>
                <c:pt idx="1">
                  <c:v>28.1</c:v>
                </c:pt>
                <c:pt idx="2">
                  <c:v>32.6</c:v>
                </c:pt>
                <c:pt idx="3">
                  <c:v>30.9</c:v>
                </c:pt>
                <c:pt idx="4">
                  <c:v>29.6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c:v>
                </c:pt>
                <c:pt idx="1">
                  <c:v>7</c:v>
                </c:pt>
                <c:pt idx="2">
                  <c:v>7</c:v>
                </c:pt>
                <c:pt idx="3">
                  <c:v>7</c:v>
                </c:pt>
                <c:pt idx="4">
                  <c:v>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39.4</c:v>
                </c:pt>
                <c:pt idx="1">
                  <c:v>43.1</c:v>
                </c:pt>
                <c:pt idx="2">
                  <c:v>47.5</c:v>
                </c:pt>
                <c:pt idx="3">
                  <c:v>47.2</c:v>
                </c:pt>
                <c:pt idx="4">
                  <c:v>46.1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0.62</c:v>
                </c:pt>
                <c:pt idx="1">
                  <c:v>0.69</c:v>
                </c:pt>
                <c:pt idx="2">
                  <c:v>0.58</c:v>
                </c:pt>
                <c:pt idx="3">
                  <c:v>0.69</c:v>
                </c:pt>
                <c:pt idx="4">
                  <c:v>0.71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2026-2027 (corriente)</c:v>
                </c:pt>
                <c:pt idx="1">
                  <c:v>2028</c:v>
                </c:pt>
              </c:strCache>
            </c:strRef>
          </c:cat>
          <c:val>
            <c:numRef>
              <c:f>Hoja1!$B$2:$B$3</c:f>
              <c:numCache>
                <c:formatCode>#,##0</c:formatCode>
                <c:ptCount val="2"/>
                <c:pt idx="0">
                  <c:v>51.8</c:v>
                </c:pt>
                <c:pt idx="1">
                  <c:v>104.9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64</c:v>
                </c:pt>
                <c:pt idx="1">
                  <c:v>65.2</c:v>
                </c:pt>
                <c:pt idx="2">
                  <c:v>73.8</c:v>
                </c:pt>
                <c:pt idx="3">
                  <c:v>86.5</c:v>
                </c:pt>
                <c:pt idx="4">
                  <c:v>89.7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RAI - Radiotelevisione Italiana S.p.A.</c:v>
                </c:pt>
                <c:pt idx="1">
                  <c:v>Autocartera</c:v>
                </c:pt>
                <c:pt idx="2">
                  <c:v>Gestoras de la lista de minoría (conjunto)</c:v>
                </c:pt>
                <c:pt idx="3">
                  <c:v>Capital flotante</c:v>
                </c:pt>
              </c:strCache>
            </c:strRef>
          </c:cat>
          <c:val>
            <c:numRef>
              <c:f>Hoja1!$B$2:$B$5</c:f>
              <c:numCache>
                <c:formatCode>0.0"%"</c:formatCode>
                <c:ptCount val="4"/>
                <c:pt idx="0">
                  <c:v>64.97</c:v>
                </c:pt>
                <c:pt idx="1">
                  <c:v>1.29</c:v>
                </c:pt>
                <c:pt idx="2">
                  <c:v>2.2</c:v>
                </c:pt>
                <c:pt idx="3">
                  <c:v>33.74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-21.5</c:v>
                </c:pt>
                <c:pt idx="1">
                  <c:v>46.5</c:v>
                </c:pt>
                <c:pt idx="2">
                  <c:v>-10.4</c:v>
                </c:pt>
                <c:pt idx="3">
                  <c:v>48.4</c:v>
                </c:pt>
                <c:pt idx="4">
                  <c:v>-7.3</c:v>
                </c:pt>
                <c:pt idx="5">
                  <c:v>0.3</c:v>
                </c:pt>
                <c:pt idx="6">
                  <c:v>8.5</c:v>
                </c:pt>
                <c:pt idx="7">
                  <c:v>-0.6</c:v>
                </c:pt>
                <c:pt idx="8">
                  <c:v>14.7</c:v>
                </c:pt>
                <c:pt idx="9">
                  <c:v>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10.4</c:v>
                </c:pt>
                <c:pt idx="1">
                  <c:v>10.3</c:v>
                </c:pt>
                <c:pt idx="2">
                  <c:v>8.2</c:v>
                </c:pt>
                <c:pt idx="3">
                  <c:v>8.6</c:v>
                </c:pt>
                <c:pt idx="4">
                  <c:v>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8.6</c:v>
                </c:pt>
                <c:pt idx="1">
                  <c:v>8.6</c:v>
                </c:pt>
                <c:pt idx="2">
                  <c:v>8.6</c:v>
                </c:pt>
                <c:pt idx="3">
                  <c:v>8.6</c:v>
                </c:pt>
                <c:pt idx="4">
                  <c:v>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Rai Way</c:v>
                </c:pt>
                <c:pt idx="1">
                  <c:v>INWIT</c:v>
                </c:pt>
                <c:pt idx="2">
                  <c:v>Cellnex Telecom</c:v>
                </c:pt>
                <c:pt idx="3">
                  <c:v>American Tower</c:v>
                </c:pt>
                <c:pt idx="4">
                  <c:v>SBA Communications</c:v>
                </c:pt>
                <c:pt idx="5">
                  <c:v>Crown Castle</c:v>
                </c:pt>
                <c:pt idx="6">
                  <c:v>Helios Towers</c:v>
                </c:pt>
              </c:strCache>
            </c:strRef>
          </c:cat>
          <c:val>
            <c:numRef>
              <c:f>Hoja1!$B$2:$B$8</c:f>
              <c:numCache>
                <c:formatCode>0.0"x"</c:formatCode>
                <c:ptCount val="7"/>
                <c:pt idx="0">
                  <c:v>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90</c:v>
                </c:pt>
                <c:pt idx="1">
                  <c:v>99</c:v>
                </c:pt>
                <c:pt idx="2">
                  <c:v>106</c:v>
                </c:pt>
                <c:pt idx="3">
                  <c:v>112</c:v>
                </c:pt>
                <c:pt idx="4">
                  <c:v>115</c:v>
                </c:pt>
                <c:pt idx="5">
                  <c:v>116</c:v>
                </c:pt>
                <c:pt idx="6">
                  <c:v>118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555</c:v>
                </c:pt>
                <c:pt idx="1">
                  <c:v>1299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4.22</c:v>
                </c:pt>
                <c:pt idx="1">
                  <c:v>6.26</c:v>
                </c:pt>
                <c:pt idx="2">
                  <c:v>6.72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(4,18 – 6,25)</c:v>
                </c:pt>
                <c:pt idx="1">
                  <c:v>Precio objetivo de los analistas (5,20 – 7,20)</c:v>
                </c:pt>
                <c:pt idx="2">
                  <c:v>Comparables: PER NTM (7,54 – 9,07)</c:v>
                </c:pt>
                <c:pt idx="3">
                  <c:v>DCF (WACC y g ± 0,5) (5,40 – 7,45)</c:v>
                </c:pt>
                <c:pt idx="4">
                  <c:v>Escenarios (bajista – alcista) (4,22 – 6,72)</c:v>
                </c:pt>
                <c:pt idx="5">
                  <c:v>DCF con la prima implícita del mercado (4,2 %)</c:v>
                </c:pt>
                <c:pt idx="6">
                  <c:v>Precio actual (4,20)</c:v>
                </c:pt>
              </c:strCache>
            </c:strRef>
          </c:cat>
          <c:val>
            <c:numRef>
              <c:f>Hoja1!$B$2:$B$8</c:f>
              <c:numCache>
                <c:formatCode>#,##0.00</c:formatCode>
                <c:ptCount val="7"/>
                <c:pt idx="0">
                  <c:v>4.18</c:v>
                </c:pt>
                <c:pt idx="1">
                  <c:v>5.2</c:v>
                </c:pt>
                <c:pt idx="2">
                  <c:v>7.54</c:v>
                </c:pt>
                <c:pt idx="3">
                  <c:v>5.4</c:v>
                </c:pt>
                <c:pt idx="4">
                  <c:v>4.22</c:v>
                </c:pt>
                <c:pt idx="5">
                  <c:v>6.46</c:v>
                </c:pt>
                <c:pt idx="6">
                  <c:v>4.18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(4,18 – 6,25)</c:v>
                </c:pt>
                <c:pt idx="1">
                  <c:v>Precio objetivo de los analistas (5,20 – 7,20)</c:v>
                </c:pt>
                <c:pt idx="2">
                  <c:v>Comparables: PER NTM (7,54 – 9,07)</c:v>
                </c:pt>
                <c:pt idx="3">
                  <c:v>DCF (WACC y g ± 0,5) (5,40 – 7,45)</c:v>
                </c:pt>
                <c:pt idx="4">
                  <c:v>Escenarios (bajista – alcista) (4,22 – 6,72)</c:v>
                </c:pt>
                <c:pt idx="5">
                  <c:v>DCF con la prima implícita del mercado (4,2 %)</c:v>
                </c:pt>
                <c:pt idx="6">
                  <c:v>Precio actual (4,20)</c:v>
                </c:pt>
              </c:strCache>
            </c:strRef>
          </c:cat>
          <c:val>
            <c:numRef>
              <c:f>Hoja1!$C$2:$C$8</c:f>
              <c:numCache>
                <c:formatCode>#,##0.00</c:formatCode>
                <c:ptCount val="7"/>
                <c:pt idx="0">
                  <c:v>2.0700000000000003</c:v>
                </c:pt>
                <c:pt idx="1">
                  <c:v>2</c:v>
                </c:pt>
                <c:pt idx="2">
                  <c:v>1.5300000000000002</c:v>
                </c:pt>
                <c:pt idx="3">
                  <c:v>2.05</c:v>
                </c:pt>
                <c:pt idx="4">
                  <c:v>2.5</c:v>
                </c:pt>
                <c:pt idx="5">
                  <c:v>1.46</c:v>
                </c:pt>
                <c:pt idx="6">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