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31,05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+1,0 %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31,05 EUR</w:t>
      </w:r>
      <w:r>
        <w:t xml:space="preserve"> frente a 31,40 · con la prima implícita del mercado: 34,28 (+9,2 %) · Rentabilidad total esperada a 12 meses </w:t>
      </w:r>
      <w:r>
        <w:rPr>
          <w:b/>
          <w:bCs/>
        </w:rPr>
        <w:t xml:space="preserve">+1,0 %</w:t>
      </w:r>
      <w:r>
        <w:t xml:space="preserve">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31,05 EUR</w:t>
      </w:r>
      <w:r>
        <w:t xml:space="preserve"> (-1,1 % sobre 31,40; rentabilidad total esperada +1,0 %)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30,37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30,37 y 37,10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37,10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15 controles correctos y 1 explicados.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97,2 %</w:t>
      </w:r>
      <w:r>
        <w:t xml:space="preserve"> · Secciones con menos del 60 % de campos cubiertos: </w:t>
      </w:r>
      <w:r>
        <w:rPr>
          <w:b/>
          <w:bCs/>
        </w:rPr>
        <w:t xml:space="preserve">ninguna</w:t>
      </w:r>
      <w:r>
        <w:t xml:space="preserve"> · Generado el 7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2026-10-07T09:59:53.999Z</dcterms:created>
  <dcterms:modified xsi:type="dcterms:W3CDTF">2026-10-07T09:59:54.001Z</dcterms:modified>
</cp:coreProperties>
</file>

<file path=docProps/custom.xml><?xml version="1.0" encoding="utf-8"?>
<Properties xmlns="http://schemas.openxmlformats.org/officeDocument/2006/custom-properties" xmlns:vt="http://schemas.openxmlformats.org/officeDocument/2006/docPropsVTypes"/>
</file>