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a8214dd89f74481c194e40ff5b9d003a810c8a"/>
    <w:p>
      <w:pPr>
        <w:pStyle w:val="Heading1"/>
      </w:pPr>
      <w:r>
        <w:t xml:space="preserve">Kinsale Capital (KNSL): análisis growth, 2026-10-14</w:t>
      </w:r>
    </w:p>
    <w:p>
      <w:pPr>
        <w:pStyle w:val="FirstParagraph"/>
      </w:pPr>
      <w:r>
        <w:rPr>
          <w:bCs/>
          <w:b/>
        </w:rPr>
        <w:t xml:space="preserve">Señal: Mantener (no compra)</w:t>
      </w:r>
      <w:r>
        <w:t xml:space="preserve"> </w:t>
      </w:r>
      <w:r>
        <w:t xml:space="preserve">· Puntuación 50,3/100 · Señales de cambio de tendencia 0/8 · Método v11 (vigente)</w:t>
      </w:r>
      <w:r>
        <w:t xml:space="preserve"> </w:t>
      </w:r>
      <w:r>
        <w:t xml:space="preserve">Precio 339,97 USD (cierre 13-oct) · Objetivo 12 m 362,3 USD (ponderada +6,9 %, base +7,1 %, bajista −42,1 %, alcista +55,3 %) · Compra hasta 346 USD (no aplica: la puntuación no llega a 60)</w:t>
      </w:r>
      <w:r>
        <w:t xml:space="preserve"> </w:t>
      </w:r>
      <w:r>
        <w:t xml:space="preserve">Peso orientativo: no entra</w:t>
      </w:r>
    </w:p>
    <w:p>
      <w:pPr>
        <w:pStyle w:val="BodyText"/>
      </w:pPr>
      <w:r>
        <w:rPr>
          <w:iCs/>
          <w:i/>
        </w:rPr>
        <w:t xml:space="preserve">Referencia v9:</w:t>
      </w:r>
      <w:r>
        <w:t xml:space="preserve"> </w:t>
      </w:r>
      <w:r>
        <w:t xml:space="preserve">misma puntuación y señal (Mantener); ponderada +23,5 %, base +26,0 %, bajista −32,5 %, compra hasta 400 USD. La diferencia es que v9 proyecta las primas con la regla mecánica (+13,7 % de partida, 2.095 M en el escenario base), cuando las primas emitidas ya caen; v11 toma las del informe (1.780 M), en línea con el consenso.</w:t>
      </w:r>
    </w:p>
    <w:p>
      <w:pPr>
        <w:pStyle w:val="BodyText"/>
      </w:pPr>
      <w:r>
        <w:rPr>
          <w:bCs/>
          <w:b/>
        </w:rPr>
        <w:t xml:space="preserve">Precio actual:</w:t>
      </w:r>
      <w:r>
        <w:t xml:space="preserve"> </w:t>
      </w:r>
      <w:r>
        <w:t xml:space="preserve">340,09 USD el 14-oct a las 17:22 UTC (Nasdaq.com, tiempo real; Yahoo igual a las 17:21 UTC). Con el objetivo del informe fijo (362,3 USD):</w:t>
      </w:r>
      <w:r>
        <w:t xml:space="preserve"> </w:t>
      </w:r>
      <w:r>
        <w:rPr>
          <w:bCs/>
          <w:b/>
        </w:rPr>
        <w:t xml:space="preserve">ponderada +6,5 %</w:t>
      </w:r>
      <w:r>
        <w:t xml:space="preserve">, base +6,8 %. No cambia nada.</w:t>
      </w:r>
    </w:p>
    <w:p>
      <w:pPr>
        <w:pStyle w:val="BodyText"/>
      </w:pPr>
      <w:r>
        <w:rPr>
          <w:bCs/>
          <w:b/>
        </w:rPr>
        <w:t xml:space="preserve">Nota de método (aseguradora).</w:t>
      </w:r>
      <w:r>
        <w:t xml:space="preserve"> </w:t>
      </w:r>
      <w:r>
        <w:t xml:space="preserve">Igual que con Nu: el método growth está hecho para empresas de software y consumo, no para una aseguradora. Los ajustes son estos:</w:t>
      </w:r>
      <w:r>
        <w:t xml:space="preserve"> </w:t>
      </w:r>
      <w:r>
        <w:t xml:space="preserve">-</w:t>
      </w:r>
      <w:r>
        <w:t xml:space="preserve"> </w:t>
      </w:r>
      <w:r>
        <w:rPr>
          <w:bCs/>
          <w:b/>
        </w:rPr>
        <w:t xml:space="preserve">«Ventas» = primas netas devengadas</w:t>
      </w:r>
      <w:r>
        <w:t xml:space="preserve"> </w:t>
      </w:r>
      <w:r>
        <w:t xml:space="preserve">(net earned premiums): 1.651 M USD en 12 meses. No son las primas brutas emitidas (1.976 M), porque incluyen lo que se cede al reasegurador, ni los ingresos totales, porque meten los cambios de valor de la cartera de acciones. Las primas emitidas se usan como indicador adelantado: hoy van 6-12 meses por delante de las devengadas y caen.</w:t>
      </w:r>
      <w:r>
        <w:t xml:space="preserve"> </w:t>
      </w:r>
      <w:r>
        <w:t xml:space="preserve">-</w:t>
      </w:r>
      <w:r>
        <w:t xml:space="preserve"> </w:t>
      </w:r>
      <w:r>
        <w:rPr>
          <w:bCs/>
          <w:b/>
        </w:rPr>
        <w:t xml:space="preserve">Caja y deuda a 0.</w:t>
      </w:r>
      <w:r>
        <w:t xml:space="preserve"> </w:t>
      </w:r>
      <w:r>
        <w:t xml:space="preserve">La cartera de inversiones (5.500 M) respalda las reservas (3.193 M) y las primas no devengadas (892 M); no es caja libre. La deuda (225 M) es pequeña y su coste ya está en el beneficio. El «EV» del código es la capitalización.</w:t>
      </w:r>
      <w:r>
        <w:t xml:space="preserve"> </w:t>
      </w:r>
      <w:r>
        <w:t xml:space="preserve">-</w:t>
      </w:r>
      <w:r>
        <w:t xml:space="preserve"> </w:t>
      </w:r>
      <w:r>
        <w:rPr>
          <w:bCs/>
          <w:b/>
        </w:rPr>
        <w:t xml:space="preserve">«Margen bruto»</w:t>
      </w:r>
      <w:r>
        <w:t xml:space="preserve"> </w:t>
      </w:r>
      <w:r>
        <w:t xml:space="preserve">= 1 − siniestralidad (46 %).</w:t>
      </w:r>
      <w:r>
        <w:t xml:space="preserve"> </w:t>
      </w:r>
      <w:r>
        <w:rPr>
          <w:bCs/>
          <w:b/>
        </w:rPr>
        <w:t xml:space="preserve">«Margen FCF»</w:t>
      </w:r>
      <w:r>
        <w:t xml:space="preserve"> </w:t>
      </w:r>
      <w:r>
        <w:t xml:space="preserve">= beneficio operativo neto entre primas (30 %).</w:t>
      </w:r>
      <w:r>
        <w:t xml:space="preserve"> </w:t>
      </w:r>
      <w:r>
        <w:t xml:space="preserve">-</w:t>
      </w:r>
      <w:r>
        <w:t xml:space="preserve"> </w:t>
      </w:r>
      <w:r>
        <w:rPr>
          <w:bCs/>
          <w:b/>
        </w:rPr>
        <w:t xml:space="preserve">Valoración por PER</w:t>
      </w:r>
      <w:r>
        <w:t xml:space="preserve"> </w:t>
      </w:r>
      <w:r>
        <w:t xml:space="preserve">del beneficio operativo de los 12 meses siguientes (16,0x), con el</w:t>
      </w:r>
      <w:r>
        <w:t xml:space="preserve"> </w:t>
      </w:r>
      <w:r>
        <w:rPr>
          <w:bCs/>
          <w:b/>
        </w:rPr>
        <w:t xml:space="preserve">P/VC frente al ROE</w:t>
      </w:r>
      <w:r>
        <w:t xml:space="preserve"> </w:t>
      </w:r>
      <w:r>
        <w:t xml:space="preserve">como contraste: 3,8x el valor contable por un ROE operativo del 24 %.</w:t>
      </w:r>
    </w:p>
    <w:bookmarkStart w:id="20" w:name="la-tesis-en-cinco-líneas"/>
    <w:p>
      <w:pPr>
        <w:pStyle w:val="Heading2"/>
      </w:pPr>
      <w:r>
        <w:t xml:space="preserve">1. La tesis en cinco líneas</w:t>
      </w:r>
    </w:p>
    <w:p>
      <w:pPr>
        <w:numPr>
          <w:ilvl w:val="0"/>
          <w:numId w:val="1001"/>
        </w:numPr>
        <w:pStyle w:val="Compact"/>
      </w:pPr>
      <w:r>
        <w:t xml:space="preserve">Kinsale es la aseguradora E&amp;S (riesgos que las aseguradoras normales no cubren) más rentable de EE. UU. Tiene un ratio combinado del 76 % y el menor gasto del sector (21 %) gracias a su propio sistema informático, y gana un 24-29 % sobre el capital.</w:t>
      </w:r>
    </w:p>
    <w:p>
      <w:pPr>
        <w:numPr>
          <w:ilvl w:val="0"/>
          <w:numId w:val="1001"/>
        </w:numPr>
        <w:pStyle w:val="Compact"/>
      </w:pPr>
      <w:r>
        <w:t xml:space="preserve">Pero</w:t>
      </w:r>
      <w:r>
        <w:t xml:space="preserve"> </w:t>
      </w:r>
      <w:r>
        <w:rPr>
          <w:bCs/>
          <w:b/>
        </w:rPr>
        <w:t xml:space="preserve">ya no es una empresa de crecimiento</w:t>
      </w:r>
      <w:r>
        <w:t xml:space="preserve">. Las primas brutas emitidas caen (−0,5 % en el 1T26, −5,0 % en el 2T26) porque el seguro de daños E&amp;S se ha ablandado: la división de propiedad comercial cae un 31 % y las grandes aseguradoras normales vuelven a ese mercado. Las primas devengadas se frenan detrás (+17,8 % → +8,9 %).</w:t>
      </w:r>
    </w:p>
    <w:p>
      <w:pPr>
        <w:numPr>
          <w:ilvl w:val="0"/>
          <w:numId w:val="1001"/>
        </w:numPr>
        <w:pStyle w:val="Compact"/>
      </w:pPr>
      <w:r>
        <w:t xml:space="preserve">El beneficio todavía crece, por la renta de las inversiones (+20 %), la liberación de reservas y las recompras. Pero sube sobre un ratio combinado de máximo de ciclo, que en un mercado blando solo puede empeorar (la propia empresa apunta a «la zona media de los 80» a largo plazo).</w:t>
      </w:r>
    </w:p>
    <w:p>
      <w:pPr>
        <w:numPr>
          <w:ilvl w:val="0"/>
          <w:numId w:val="1001"/>
        </w:numPr>
        <w:pStyle w:val="Compact"/>
      </w:pPr>
      <w:r>
        <w:t xml:space="preserve">A 16x el beneficio de los 12 meses siguientes (mediana de 3 años ~21x), cotiza como sus comparables (~15x) y descuenta un crecimiento del ~4,5 % anual a 10 años. No está cara, pero tampoco hay margen para crecer de múltiplo mientras el ciclo baje.</w:t>
      </w:r>
    </w:p>
    <w:p>
      <w:pPr>
        <w:numPr>
          <w:ilvl w:val="0"/>
          <w:numId w:val="1001"/>
        </w:numPr>
        <w:pStyle w:val="Compact"/>
      </w:pPr>
      <w:r>
        <w:t xml:space="preserve">Puntuación growth 50,3/100 (crecimiento 6,7/25, 0 de 8 señales de cambio de tendencia):</w:t>
      </w:r>
      <w:r>
        <w:t xml:space="preserve"> </w:t>
      </w:r>
      <w:r>
        <w:rPr>
          <w:bCs/>
          <w:b/>
        </w:rPr>
        <w:t xml:space="preserve">Mantener</w:t>
      </w:r>
      <w:r>
        <w:t xml:space="preserve">. Aunque se pusiera la nota máxima en todo lo subjetivo, se queda en 59,7, por debajo de 60. Es candidata natural del</w:t>
      </w:r>
      <w:r>
        <w:t xml:space="preserve"> </w:t>
      </w:r>
      <w:r>
        <w:rPr>
          <w:bCs/>
          <w:b/>
        </w:rPr>
        <w:t xml:space="preserve">análisis value</w:t>
      </w:r>
      <w:r>
        <w:t xml:space="preserve">, no de este bolsillo.</w:t>
      </w:r>
    </w:p>
    <w:bookmarkEnd w:id="20"/>
    <w:bookmarkStart w:id="21" w:name="negocio-y-tecnología"/>
    <w:p>
      <w:pPr>
        <w:pStyle w:val="Heading2"/>
      </w:pPr>
      <w:r>
        <w:t xml:space="preserve">2. Negocio y tecnología</w:t>
      </w:r>
    </w:p>
    <w:p>
      <w:pPr>
        <w:pStyle w:val="FirstParagraph"/>
      </w:pPr>
      <w:r>
        <w:t xml:space="preserve">Kinsale (Richmond, Virginia; salida a bolsa en 2016, fundada en 2009 por Michael Kehoe, consejero delegado y presidente) asegura riesgos E&amp;S de</w:t>
      </w:r>
      <w:r>
        <w:t xml:space="preserve"> </w:t>
      </w:r>
      <w:r>
        <w:rPr>
          <w:bCs/>
          <w:b/>
        </w:rPr>
        <w:t xml:space="preserve">cuentas pequeñas y medianas</w:t>
      </w:r>
      <w:r>
        <w:t xml:space="preserve">: construcción, responsabilidad civil general, propiedad comercial, salud, profesionales, energía, transporte, nichos como bares o dispensarios de cannabis… Distribuye solo a través de</w:t>
      </w:r>
      <w:r>
        <w:t xml:space="preserve"> </w:t>
      </w:r>
      <w:r>
        <w:rPr>
          <w:bCs/>
          <w:b/>
        </w:rPr>
        <w:t xml:space="preserve">corredores mayoristas</w:t>
      </w:r>
      <w:r>
        <w:t xml:space="preserve">. Lo que la distingue:</w:t>
      </w:r>
      <w:r>
        <w:t xml:space="preserve"> </w:t>
      </w:r>
      <w:r>
        <w:t xml:space="preserve">-</w:t>
      </w:r>
      <w:r>
        <w:t xml:space="preserve"> </w:t>
      </w:r>
      <w:r>
        <w:rPr>
          <w:bCs/>
          <w:b/>
        </w:rPr>
        <w:t xml:space="preserve">Control total de la suscripción</w:t>
      </w:r>
      <w:r>
        <w:t xml:space="preserve"> </w:t>
      </w:r>
      <w:r>
        <w:t xml:space="preserve">(no delega en agencias con poder de firma) y</w:t>
      </w:r>
      <w:r>
        <w:t xml:space="preserve"> </w:t>
      </w:r>
      <w:r>
        <w:rPr>
          <w:bCs/>
          <w:b/>
        </w:rPr>
        <w:t xml:space="preserve">tecnología propia</w:t>
      </w:r>
      <w:r>
        <w:t xml:space="preserve"> </w:t>
      </w:r>
      <w:r>
        <w:t xml:space="preserve">de punta a punta (sistema de pólizas, suscripción y siniestros hecho en casa). Le da un ratio de gastos del ~21 % frente al ~30 % del sector: unos 9 puntos de margen estructural que no dependen del ciclo.</w:t>
      </w:r>
      <w:r>
        <w:t xml:space="preserve"> </w:t>
      </w:r>
      <w:r>
        <w:t xml:space="preserve">-</w:t>
      </w:r>
      <w:r>
        <w:t xml:space="preserve"> </w:t>
      </w:r>
      <w:r>
        <w:rPr>
          <w:bCs/>
          <w:b/>
        </w:rPr>
        <w:t xml:space="preserve">Libertad de tarifas y coberturas</w:t>
      </w:r>
      <w:r>
        <w:t xml:space="preserve"> </w:t>
      </w:r>
      <w:r>
        <w:t xml:space="preserve">del mercado E&amp;S (no necesita aprobación previa del regulador). Es justo lo que critica el informe bajista de The Bear Cave (exclusiones amplias, renovación de pólizas ~60 %) [9].</w:t>
      </w:r>
    </w:p>
    <w:p>
      <w:pPr>
        <w:pStyle w:val="BodyText"/>
      </w:pPr>
      <w:r>
        <w:t xml:space="preserve">Lo que vende no es tecnología nueva: es seguro con disciplina de precio y costes bajos. La «tecnología diferencial» (4/5) está en el coste, no en el producto.</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Trimestre</w:t>
            </w:r>
          </w:p>
        </w:tc>
        <w:tc>
          <w:tcPr/>
          <w:p>
            <w:pPr>
              <w:pStyle w:val="Compact"/>
              <w:jc w:val="left"/>
            </w:pPr>
            <w:r>
              <w:t xml:space="preserve">Primas brutas emitidas (M USD)</w:t>
            </w:r>
          </w:p>
        </w:tc>
        <w:tc>
          <w:tcPr/>
          <w:p>
            <w:pPr>
              <w:pStyle w:val="Compact"/>
              <w:jc w:val="left"/>
            </w:pPr>
            <w:r>
              <w:t xml:space="preserve">Var. a/a</w:t>
            </w:r>
          </w:p>
        </w:tc>
        <w:tc>
          <w:tcPr/>
          <w:p>
            <w:pPr>
              <w:pStyle w:val="Compact"/>
              <w:jc w:val="left"/>
            </w:pPr>
            <w:r>
              <w:t xml:space="preserve">Primas netas devengadas (M)</w:t>
            </w:r>
          </w:p>
        </w:tc>
        <w:tc>
          <w:tcPr/>
          <w:p>
            <w:pPr>
              <w:pStyle w:val="Compact"/>
              <w:jc w:val="left"/>
            </w:pPr>
            <w:r>
              <w:t xml:space="preserve">Var. a/a</w:t>
            </w:r>
          </w:p>
        </w:tc>
        <w:tc>
          <w:tcPr/>
          <w:p>
            <w:pPr>
              <w:pStyle w:val="Compact"/>
              <w:jc w:val="left"/>
            </w:pPr>
            <w:r>
              <w:t xml:space="preserve">Ratio combinado</w:t>
            </w:r>
          </w:p>
        </w:tc>
        <w:tc>
          <w:tcPr/>
          <w:p>
            <w:pPr>
              <w:pStyle w:val="Compact"/>
              <w:jc w:val="left"/>
            </w:pPr>
            <w:r>
              <w:t xml:space="preserve">BPA operativo</w:t>
            </w:r>
          </w:p>
        </w:tc>
      </w:tr>
      <w:tr>
        <w:tc>
          <w:tcPr/>
          <w:p>
            <w:pPr>
              <w:pStyle w:val="Compact"/>
              <w:jc w:val="left"/>
            </w:pPr>
            <w:r>
              <w:t xml:space="preserve">2T25</w:t>
            </w:r>
          </w:p>
        </w:tc>
        <w:tc>
          <w:tcPr/>
          <w:p>
            <w:pPr>
              <w:pStyle w:val="Compact"/>
              <w:jc w:val="left"/>
            </w:pPr>
            <w:r>
              <w:t xml:space="preserve">555,5</w:t>
            </w:r>
          </w:p>
        </w:tc>
        <w:tc>
          <w:tcPr/>
          <w:p>
            <w:pPr>
              <w:pStyle w:val="Compact"/>
              <w:jc w:val="left"/>
            </w:pPr>
            <w:r>
              <w:t xml:space="preserve">+4,9 %</w:t>
            </w:r>
          </w:p>
        </w:tc>
        <w:tc>
          <w:tcPr/>
          <w:p>
            <w:pPr>
              <w:pStyle w:val="Compact"/>
              <w:jc w:val="left"/>
            </w:pPr>
            <w:r>
              <w:t xml:space="preserve">383,6</w:t>
            </w:r>
          </w:p>
        </w:tc>
        <w:tc>
          <w:tcPr/>
          <w:p>
            <w:pPr>
              <w:pStyle w:val="Compact"/>
              <w:jc w:val="left"/>
            </w:pPr>
            <w:r>
              <w:t xml:space="preserve">+15,4 %</w:t>
            </w:r>
          </w:p>
        </w:tc>
        <w:tc>
          <w:tcPr/>
          <w:p>
            <w:pPr>
              <w:pStyle w:val="Compact"/>
              <w:jc w:val="left"/>
            </w:pPr>
            <w:r>
              <w:t xml:space="preserve">75,8 %</w:t>
            </w:r>
          </w:p>
        </w:tc>
        <w:tc>
          <w:tcPr/>
          <w:p>
            <w:pPr>
              <w:pStyle w:val="Compact"/>
              <w:jc w:val="left"/>
            </w:pPr>
            <w:r>
              <w:t xml:space="preserve">4,78</w:t>
            </w:r>
          </w:p>
        </w:tc>
      </w:tr>
      <w:tr>
        <w:tc>
          <w:tcPr/>
          <w:p>
            <w:pPr>
              <w:pStyle w:val="Compact"/>
              <w:jc w:val="left"/>
            </w:pPr>
            <w:r>
              <w:t xml:space="preserve">3T25</w:t>
            </w:r>
          </w:p>
        </w:tc>
        <w:tc>
          <w:tcPr/>
          <w:p>
            <w:pPr>
              <w:pStyle w:val="Compact"/>
              <w:jc w:val="left"/>
            </w:pPr>
            <w:r>
              <w:t xml:space="preserve">486,3</w:t>
            </w:r>
          </w:p>
        </w:tc>
        <w:tc>
          <w:tcPr/>
          <w:p>
            <w:pPr>
              <w:pStyle w:val="Compact"/>
              <w:jc w:val="left"/>
            </w:pPr>
            <w:r>
              <w:t xml:space="preserve">+8,4 %</w:t>
            </w:r>
          </w:p>
        </w:tc>
        <w:tc>
          <w:tcPr/>
          <w:p>
            <w:pPr>
              <w:pStyle w:val="Compact"/>
              <w:jc w:val="left"/>
            </w:pPr>
            <w:r>
              <w:t xml:space="preserve">411,0</w:t>
            </w:r>
          </w:p>
        </w:tc>
        <w:tc>
          <w:tcPr/>
          <w:p>
            <w:pPr>
              <w:pStyle w:val="Compact"/>
              <w:jc w:val="left"/>
            </w:pPr>
            <w:r>
              <w:t xml:space="preserve">+17,8 %</w:t>
            </w:r>
          </w:p>
        </w:tc>
        <w:tc>
          <w:tcPr/>
          <w:p>
            <w:pPr>
              <w:pStyle w:val="Compact"/>
              <w:jc w:val="left"/>
            </w:pPr>
            <w:r>
              <w:t xml:space="preserve">~75,0 % (cálculo)</w:t>
            </w:r>
          </w:p>
        </w:tc>
        <w:tc>
          <w:tcPr/>
          <w:p>
            <w:pPr>
              <w:pStyle w:val="Compact"/>
              <w:jc w:val="left"/>
            </w:pPr>
            <w:r>
              <w:t xml:space="preserve">5,21 (cálculo)</w:t>
            </w:r>
          </w:p>
        </w:tc>
      </w:tr>
      <w:tr>
        <w:tc>
          <w:tcPr/>
          <w:p>
            <w:pPr>
              <w:pStyle w:val="Compact"/>
              <w:jc w:val="left"/>
            </w:pPr>
            <w:r>
              <w:t xml:space="preserve">4T25</w:t>
            </w:r>
          </w:p>
        </w:tc>
        <w:tc>
          <w:tcPr/>
          <w:p>
            <w:pPr>
              <w:pStyle w:val="Compact"/>
              <w:jc w:val="left"/>
            </w:pPr>
            <w:r>
              <w:t xml:space="preserve">451,1</w:t>
            </w:r>
          </w:p>
        </w:tc>
        <w:tc>
          <w:tcPr/>
          <w:p>
            <w:pPr>
              <w:pStyle w:val="Compact"/>
              <w:jc w:val="left"/>
            </w:pPr>
            <w:r>
              <w:t xml:space="preserve">+1,8 %</w:t>
            </w:r>
          </w:p>
        </w:tc>
        <w:tc>
          <w:tcPr/>
          <w:p>
            <w:pPr>
              <w:pStyle w:val="Compact"/>
              <w:jc w:val="left"/>
            </w:pPr>
            <w:r>
              <w:t xml:space="preserve">415,5</w:t>
            </w:r>
          </w:p>
        </w:tc>
        <w:tc>
          <w:tcPr/>
          <w:p>
            <w:pPr>
              <w:pStyle w:val="Compact"/>
              <w:jc w:val="left"/>
            </w:pPr>
            <w:r>
              <w:t xml:space="preserve">+15,5 %</w:t>
            </w:r>
          </w:p>
        </w:tc>
        <w:tc>
          <w:tcPr/>
          <w:p>
            <w:pPr>
              <w:pStyle w:val="Compact"/>
              <w:jc w:val="left"/>
            </w:pPr>
            <w:r>
              <w:t xml:space="preserve">71,7 %</w:t>
            </w:r>
          </w:p>
        </w:tc>
        <w:tc>
          <w:tcPr/>
          <w:p>
            <w:pPr>
              <w:pStyle w:val="Compact"/>
              <w:jc w:val="left"/>
            </w:pPr>
            <w:r>
              <w:t xml:space="preserve">5,81</w:t>
            </w:r>
          </w:p>
        </w:tc>
      </w:tr>
      <w:tr>
        <w:tc>
          <w:tcPr/>
          <w:p>
            <w:pPr>
              <w:pStyle w:val="Compact"/>
              <w:jc w:val="left"/>
            </w:pPr>
            <w:r>
              <w:t xml:space="preserve">1T26</w:t>
            </w:r>
          </w:p>
        </w:tc>
        <w:tc>
          <w:tcPr/>
          <w:p>
            <w:pPr>
              <w:pStyle w:val="Compact"/>
              <w:jc w:val="left"/>
            </w:pPr>
            <w:r>
              <w:t xml:space="preserve">482,0</w:t>
            </w:r>
          </w:p>
        </w:tc>
        <w:tc>
          <w:tcPr/>
          <w:p>
            <w:pPr>
              <w:pStyle w:val="Compact"/>
              <w:jc w:val="left"/>
            </w:pPr>
            <w:r>
              <w:t xml:space="preserve">−0,5 %</w:t>
            </w:r>
          </w:p>
        </w:tc>
        <w:tc>
          <w:tcPr/>
          <w:p>
            <w:pPr>
              <w:pStyle w:val="Compact"/>
              <w:jc w:val="left"/>
            </w:pPr>
            <w:r>
              <w:t xml:space="preserve">406,9</w:t>
            </w:r>
          </w:p>
        </w:tc>
        <w:tc>
          <w:tcPr/>
          <w:p>
            <w:pPr>
              <w:pStyle w:val="Compact"/>
              <w:jc w:val="left"/>
            </w:pPr>
            <w:r>
              <w:t xml:space="preserve">+11,2 %</w:t>
            </w:r>
          </w:p>
        </w:tc>
        <w:tc>
          <w:tcPr/>
          <w:p>
            <w:pPr>
              <w:pStyle w:val="Compact"/>
              <w:jc w:val="left"/>
            </w:pPr>
            <w:r>
              <w:t xml:space="preserve">77,4 %</w:t>
            </w:r>
          </w:p>
        </w:tc>
        <w:tc>
          <w:tcPr/>
          <w:p>
            <w:pPr>
              <w:pStyle w:val="Compact"/>
              <w:jc w:val="left"/>
            </w:pPr>
            <w:r>
              <w:t xml:space="preserve">5,11</w:t>
            </w:r>
          </w:p>
        </w:tc>
      </w:tr>
      <w:tr>
        <w:tc>
          <w:tcPr/>
          <w:p>
            <w:pPr>
              <w:pStyle w:val="Compact"/>
              <w:jc w:val="left"/>
            </w:pPr>
            <w:r>
              <w:t xml:space="preserve">2T26</w:t>
            </w:r>
          </w:p>
        </w:tc>
        <w:tc>
          <w:tcPr/>
          <w:p>
            <w:pPr>
              <w:pStyle w:val="Compact"/>
              <w:jc w:val="left"/>
            </w:pPr>
            <w:r>
              <w:t xml:space="preserve">527,6</w:t>
            </w:r>
          </w:p>
        </w:tc>
        <w:tc>
          <w:tcPr/>
          <w:p>
            <w:pPr>
              <w:pStyle w:val="Compact"/>
              <w:jc w:val="left"/>
            </w:pPr>
            <w:r>
              <w:rPr>
                <w:bCs/>
                <w:b/>
              </w:rPr>
              <w:t xml:space="preserve">−5,0 %</w:t>
            </w:r>
          </w:p>
        </w:tc>
        <w:tc>
          <w:tcPr/>
          <w:p>
            <w:pPr>
              <w:pStyle w:val="Compact"/>
              <w:jc w:val="left"/>
            </w:pPr>
            <w:r>
              <w:t xml:space="preserve">417,6</w:t>
            </w:r>
          </w:p>
        </w:tc>
        <w:tc>
          <w:tcPr/>
          <w:p>
            <w:pPr>
              <w:pStyle w:val="Compact"/>
              <w:jc w:val="left"/>
            </w:pPr>
            <w:r>
              <w:rPr>
                <w:bCs/>
                <w:b/>
              </w:rPr>
              <w:t xml:space="preserve">+8,9 %</w:t>
            </w:r>
          </w:p>
        </w:tc>
        <w:tc>
          <w:tcPr/>
          <w:p>
            <w:pPr>
              <w:pStyle w:val="Compact"/>
              <w:jc w:val="left"/>
            </w:pPr>
            <w:r>
              <w:t xml:space="preserve">75,5 %</w:t>
            </w:r>
          </w:p>
        </w:tc>
        <w:tc>
          <w:tcPr/>
          <w:p>
            <w:pPr>
              <w:pStyle w:val="Compact"/>
              <w:jc w:val="left"/>
            </w:pPr>
            <w:r>
              <w:t xml:space="preserve">5,54</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Año</w:t>
            </w:r>
          </w:p>
        </w:tc>
        <w:tc>
          <w:tcPr/>
          <w:p>
            <w:pPr>
              <w:pStyle w:val="Compact"/>
              <w:jc w:val="left"/>
            </w:pPr>
            <w:r>
              <w:t xml:space="preserve">Primas emitidas</w:t>
            </w:r>
          </w:p>
        </w:tc>
        <w:tc>
          <w:tcPr/>
          <w:p>
            <w:pPr>
              <w:pStyle w:val="Compact"/>
              <w:jc w:val="left"/>
            </w:pPr>
            <w:r>
              <w:t xml:space="preserve">Primas devengadas</w:t>
            </w:r>
          </w:p>
        </w:tc>
        <w:tc>
          <w:tcPr/>
          <w:p>
            <w:pPr>
              <w:pStyle w:val="Compact"/>
              <w:jc w:val="left"/>
            </w:pPr>
            <w:r>
              <w:t xml:space="preserve">Var.</w:t>
            </w:r>
          </w:p>
        </w:tc>
        <w:tc>
          <w:tcPr/>
          <w:p>
            <w:pPr>
              <w:pStyle w:val="Compact"/>
              <w:jc w:val="left"/>
            </w:pPr>
            <w:r>
              <w:t xml:space="preserve">Beneficio neto</w:t>
            </w:r>
          </w:p>
        </w:tc>
        <w:tc>
          <w:tcPr/>
          <w:p>
            <w:pPr>
              <w:pStyle w:val="Compact"/>
              <w:jc w:val="left"/>
            </w:pPr>
            <w:r>
              <w:t xml:space="preserve">BPA diluido</w:t>
            </w:r>
          </w:p>
        </w:tc>
      </w:tr>
      <w:tr>
        <w:tc>
          <w:tcPr/>
          <w:p>
            <w:pPr>
              <w:pStyle w:val="Compact"/>
              <w:jc w:val="left"/>
            </w:pPr>
            <w:r>
              <w:t xml:space="preserve">2023</w:t>
            </w:r>
          </w:p>
        </w:tc>
        <w:tc>
          <w:tcPr/>
          <w:p>
            <w:pPr>
              <w:pStyle w:val="Compact"/>
              <w:jc w:val="left"/>
            </w:pPr>
            <w:r>
              <w:t xml:space="preserve">1.568,8</w:t>
            </w:r>
          </w:p>
        </w:tc>
        <w:tc>
          <w:tcPr/>
          <w:p>
            <w:pPr>
              <w:pStyle w:val="Compact"/>
              <w:jc w:val="left"/>
            </w:pPr>
            <w:r>
              <w:t xml:space="preserve">1.072,5</w:t>
            </w:r>
          </w:p>
        </w:tc>
        <w:tc>
          <w:tcPr/>
          <w:p>
            <w:pPr>
              <w:pStyle w:val="Compact"/>
              <w:jc w:val="left"/>
            </w:pPr>
            <w:r>
              <w:t xml:space="preserve">+35 %</w:t>
            </w:r>
          </w:p>
        </w:tc>
        <w:tc>
          <w:tcPr/>
          <w:p>
            <w:pPr>
              <w:pStyle w:val="Compact"/>
              <w:jc w:val="left"/>
            </w:pPr>
            <w:r>
              <w:t xml:space="preserve">308,1</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1.870,3</w:t>
            </w:r>
          </w:p>
        </w:tc>
        <w:tc>
          <w:tcPr/>
          <w:p>
            <w:pPr>
              <w:pStyle w:val="Compact"/>
              <w:jc w:val="left"/>
            </w:pPr>
            <w:r>
              <w:t xml:space="preserve">1.350,5</w:t>
            </w:r>
          </w:p>
        </w:tc>
        <w:tc>
          <w:tcPr/>
          <w:p>
            <w:pPr>
              <w:pStyle w:val="Compact"/>
              <w:jc w:val="left"/>
            </w:pPr>
            <w:r>
              <w:t xml:space="preserve">+25,9 %</w:t>
            </w:r>
          </w:p>
        </w:tc>
        <w:tc>
          <w:tcPr/>
          <w:p>
            <w:pPr>
              <w:pStyle w:val="Compact"/>
              <w:jc w:val="left"/>
            </w:pPr>
            <w:r>
              <w:t xml:space="preserve">414,8</w:t>
            </w:r>
          </w:p>
        </w:tc>
        <w:tc>
          <w:tcPr/>
          <w:p>
            <w:pPr>
              <w:pStyle w:val="Compact"/>
              <w:jc w:val="left"/>
            </w:pPr>
            <w:r>
              <w:t xml:space="preserve">17,78</w:t>
            </w:r>
          </w:p>
        </w:tc>
      </w:tr>
      <w:tr>
        <w:tc>
          <w:tcPr/>
          <w:p>
            <w:pPr>
              <w:pStyle w:val="Compact"/>
              <w:jc w:val="left"/>
            </w:pPr>
            <w:r>
              <w:t xml:space="preserve">2025</w:t>
            </w:r>
          </w:p>
        </w:tc>
        <w:tc>
          <w:tcPr/>
          <w:p>
            <w:pPr>
              <w:pStyle w:val="Compact"/>
              <w:jc w:val="left"/>
            </w:pPr>
            <w:r>
              <w:t xml:space="preserve">1.977,2</w:t>
            </w:r>
          </w:p>
        </w:tc>
        <w:tc>
          <w:tcPr/>
          <w:p>
            <w:pPr>
              <w:pStyle w:val="Compact"/>
              <w:jc w:val="left"/>
            </w:pPr>
            <w:r>
              <w:t xml:space="preserve">1.575,8</w:t>
            </w:r>
          </w:p>
        </w:tc>
        <w:tc>
          <w:tcPr/>
          <w:p>
            <w:pPr>
              <w:pStyle w:val="Compact"/>
              <w:jc w:val="left"/>
            </w:pPr>
            <w:r>
              <w:t xml:space="preserve">+16,7 %</w:t>
            </w:r>
          </w:p>
        </w:tc>
        <w:tc>
          <w:tcPr/>
          <w:p>
            <w:pPr>
              <w:pStyle w:val="Compact"/>
              <w:jc w:val="left"/>
            </w:pPr>
            <w:r>
              <w:t xml:space="preserve">503,6</w:t>
            </w:r>
          </w:p>
        </w:tc>
        <w:tc>
          <w:tcPr/>
          <w:p>
            <w:pPr>
              <w:pStyle w:val="Compact"/>
              <w:jc w:val="left"/>
            </w:pPr>
            <w:r>
              <w:t xml:space="preserve">21,65</w:t>
            </w:r>
          </w:p>
        </w:tc>
      </w:tr>
      <w:tr>
        <w:tc>
          <w:tcPr/>
          <w:p>
            <w:pPr>
              <w:pStyle w:val="Compact"/>
              <w:jc w:val="left"/>
            </w:pPr>
            <w:r>
              <w:t xml:space="preserve">12 m a jun-26</w:t>
            </w:r>
          </w:p>
        </w:tc>
        <w:tc>
          <w:tcPr/>
          <w:p>
            <w:pPr>
              <w:pStyle w:val="Compact"/>
              <w:jc w:val="left"/>
            </w:pPr>
            <w:r>
              <w:t xml:space="preserve">1.946,9</w:t>
            </w:r>
          </w:p>
        </w:tc>
        <w:tc>
          <w:tcPr/>
          <w:p>
            <w:pPr>
              <w:pStyle w:val="Compact"/>
              <w:jc w:val="left"/>
            </w:pPr>
            <w:r>
              <w:t xml:space="preserve">1.651,0</w:t>
            </w:r>
          </w:p>
        </w:tc>
        <w:tc>
          <w:tcPr/>
          <w:p>
            <w:pPr>
              <w:pStyle w:val="Compact"/>
              <w:jc w:val="left"/>
            </w:pPr>
            <w:r>
              <w:t xml:space="preserve">+13,2 %</w:t>
            </w:r>
          </w:p>
        </w:tc>
        <w:tc>
          <w:tcPr/>
          <w:p>
            <w:pPr>
              <w:pStyle w:val="Compact"/>
              <w:jc w:val="left"/>
            </w:pPr>
            <w:r>
              <w:t xml:space="preserve">568,3</w:t>
            </w:r>
          </w:p>
        </w:tc>
        <w:tc>
          <w:tcPr/>
          <w:p>
            <w:pPr>
              <w:pStyle w:val="Compact"/>
              <w:jc w:val="left"/>
            </w:pPr>
            <w:r>
              <w:t xml:space="preserve">24,66</w:t>
            </w:r>
          </w:p>
        </w:tc>
      </w:tr>
    </w:tbl>
    <w:p>
      <w:pPr>
        <w:pStyle w:val="BodyText"/>
      </w:pPr>
      <w:r>
        <w:t xml:space="preserve">Fuentes: [1][2][3]. El 3T25 sale de restar al año los otros trimestres.</w:t>
      </w:r>
    </w:p>
    <w:p>
      <w:pPr>
        <w:numPr>
          <w:ilvl w:val="0"/>
          <w:numId w:val="1002"/>
        </w:numPr>
        <w:pStyle w:val="Compact"/>
      </w:pPr>
      <w:r>
        <w:rPr>
          <w:bCs/>
          <w:b/>
        </w:rPr>
        <w:t xml:space="preserve">Aceleración:</w:t>
      </w:r>
      <w:r>
        <w:t xml:space="preserve"> </w:t>
      </w:r>
      <w:r>
        <w:t xml:space="preserve">−6,1 pp (8,9 % frente a una media de 15,0 % en los cuatro trimestres anteriores). CAGR propio a 2 años: 16,3 %.</w:t>
      </w:r>
    </w:p>
    <w:p>
      <w:pPr>
        <w:numPr>
          <w:ilvl w:val="0"/>
          <w:numId w:val="1002"/>
        </w:numPr>
        <w:pStyle w:val="Compact"/>
      </w:pPr>
      <w:r>
        <w:rPr>
          <w:bCs/>
          <w:b/>
        </w:rPr>
        <w:t xml:space="preserve">Sin propiedad comercial</w:t>
      </w:r>
      <w:r>
        <w:t xml:space="preserve">, las primas emitidas crecen +3,7 % (2T26) y +4,8 % (1S26), con más solicitudes y prima media más baja. Las primas netas emitidas crecen +1,8 % en el semestre solo porque Kinsale retiene más (cede menos al reasegurador desde jun-25).</w:t>
      </w:r>
    </w:p>
    <w:p>
      <w:pPr>
        <w:numPr>
          <w:ilvl w:val="0"/>
          <w:numId w:val="1002"/>
        </w:numPr>
        <w:pStyle w:val="Compact"/>
      </w:pPr>
      <w:r>
        <w:rPr>
          <w:bCs/>
          <w:b/>
        </w:rPr>
        <w:t xml:space="preserve">Guía:</w:t>
      </w:r>
      <w:r>
        <w:t xml:space="preserve"> </w:t>
      </w:r>
      <w:r>
        <w:t xml:space="preserve">no hay. Kinsale no da guía de primas ni de beneficio, así que v9 no recorta. Mis ventas (1.780 M en el base) suponen +3 % en los próximos 12 meses y +4 % el año siguiente. Coinciden con el consenso de ingresos de 2026-2027 (1.690 → ~1.770 M, de 2-3 analistas [8]).</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~70.000 M USD</w:t>
      </w:r>
      <w:r>
        <w:t xml:space="preserve">: cuentas pequeñas y medianas dentro de un mercado E&amp;S de EE. UU. de ~130.000 M (cifra de memoria y aproximada; WSIA/AM Best). El reparto es estimación propia. Penetración ~2,4 %.</w:t>
      </w:r>
    </w:p>
    <w:p>
      <w:pPr>
        <w:numPr>
          <w:ilvl w:val="0"/>
          <w:numId w:val="1003"/>
        </w:numPr>
        <w:pStyle w:val="Compact"/>
      </w:pPr>
      <w:r>
        <w:rPr>
          <w:bCs/>
          <w:b/>
        </w:rPr>
        <w:t xml:space="preserve">Ciclo:</w:t>
      </w:r>
      <w:r>
        <w:t xml:space="preserve"> </w:t>
      </w:r>
      <w:r>
        <w:t xml:space="preserve">el E&amp;S creció a doble dígito en 2020-2024 porque el mercado se endureció. En el 1S26 las primas E&amp;S de los 15 estados con oficina de registro suben solo un</w:t>
      </w:r>
      <w:r>
        <w:t xml:space="preserve"> </w:t>
      </w:r>
      <w:r>
        <w:rPr>
          <w:bCs/>
          <w:b/>
        </w:rPr>
        <w:t xml:space="preserve">+2,8 %</w:t>
      </w:r>
      <w:r>
        <w:t xml:space="preserve"> </w:t>
      </w:r>
      <w:r>
        <w:t xml:space="preserve">(frente a +13,2 % un año antes).</w:t>
      </w:r>
      <w:r>
        <w:t xml:space="preserve"> </w:t>
      </w:r>
      <w:r>
        <w:rPr>
          <w:bCs/>
          <w:b/>
        </w:rPr>
        <w:t xml:space="preserve">Propiedad cae −13,7 %</w:t>
      </w:r>
      <w:r>
        <w:t xml:space="preserve">; la responsabilidad civil sigue subiendo +11,2 % [13]. En el viento de catástrofe son ya comunes rebajas de tarifa del 20-30 % (CRC) [13]. AM Best pasó su perspectiva del E&amp;S a estable (nov-25). Es un</w:t>
      </w:r>
      <w:r>
        <w:t xml:space="preserve"> </w:t>
      </w:r>
      <w:r>
        <w:rPr>
          <w:bCs/>
          <w:b/>
        </w:rPr>
        <w:t xml:space="preserve">ablandamiento</w:t>
      </w:r>
      <w:r>
        <w:t xml:space="preserve"> </w:t>
      </w:r>
      <w:r>
        <w:t xml:space="preserve">clásico, concentrado en propiedad. La responsabilidad civil (con la inflación social y los juicios caros) sigue dura, y ahí Kinsale aún crece.</w:t>
      </w:r>
    </w:p>
    <w:p>
      <w:pPr>
        <w:numPr>
          <w:ilvl w:val="0"/>
          <w:numId w:val="1003"/>
        </w:numPr>
        <w:pStyle w:val="Compact"/>
      </w:pPr>
      <w:r>
        <w:rPr>
          <w:bCs/>
          <w:b/>
        </w:rPr>
        <w:t xml:space="preserve">Competencia:</w:t>
      </w:r>
      <w:r>
        <w:t xml:space="preserve"> </w:t>
      </w:r>
      <w:r>
        <w:t xml:space="preserve">sociedades E&amp;S de W. R. Berkley, Markel, RLI, Skyward, Bowhead, Palomar y Ryan Specialty (vía sus agencias), y la vuelta de las aseguradoras normales a propiedad. Kinsale gana en coste y velocidad en cuentas pequeñas. En propiedad grande prefiere perder volumen antes que bajar el precio por debajo de su ROE mínimo del 20 % [12].</w:t>
      </w:r>
    </w:p>
    <w:p>
      <w:pPr>
        <w:numPr>
          <w:ilvl w:val="0"/>
          <w:numId w:val="1003"/>
        </w:numPr>
        <w:pStyle w:val="Compact"/>
      </w:pPr>
      <w:r>
        <w:rPr>
          <w:bCs/>
          <w:b/>
        </w:rPr>
        <w:t xml:space="preserve">Posición 3/5:</w:t>
      </w:r>
      <w:r>
        <w:t xml:space="preserve"> </w:t>
      </w:r>
      <w:r>
        <w:t xml:space="preserve">entre los líderes en cuentas pequeñas E&amp;S, pero hoy pierde cuota en su división más grande a propósito.</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Zacks baja el BPA 2027 de 21,41 a 21,33 (ago); Argus baja el objetivo de 406 a 356 (30-sep); consenso Hold/Reduce</w:t>
            </w:r>
          </w:p>
        </w:tc>
        <w:tc>
          <w:tcPr/>
          <w:p>
            <w:pPr>
              <w:pStyle w:val="Compact"/>
              <w:jc w:val="left"/>
            </w:pPr>
            <w:r>
              <w:t xml:space="preserve">[6][7][8]</w:t>
            </w:r>
          </w:p>
        </w:tc>
      </w:tr>
      <w:tr>
        <w:tc>
          <w:tcPr/>
          <w:p>
            <w:pPr>
              <w:pStyle w:val="Compact"/>
              <w:jc w:val="left"/>
            </w:pPr>
            <w:r>
              <w:t xml:space="preserve">2. Precio sobre la media de 200 y la media al alza</w:t>
            </w:r>
          </w:p>
        </w:tc>
        <w:tc>
          <w:tcPr/>
          <w:p>
            <w:pPr>
              <w:pStyle w:val="Compact"/>
              <w:jc w:val="left"/>
            </w:pPr>
            <w:r>
              <w:t xml:space="preserve">No</w:t>
            </w:r>
          </w:p>
        </w:tc>
        <w:tc>
          <w:tcPr/>
          <w:p>
            <w:pPr>
              <w:pStyle w:val="Compact"/>
              <w:jc w:val="left"/>
            </w:pPr>
            <w:r>
              <w:t xml:space="preserve">339,97 frente a 353,2; la media baja (359,0 → 357,5 → 353,2)</w:t>
            </w:r>
          </w:p>
        </w:tc>
        <w:tc>
          <w:tcPr/>
          <w:p>
            <w:pPr>
              <w:pStyle w:val="Compact"/>
              <w:jc w:val="left"/>
            </w:pPr>
            <w:r>
              <w:t xml:space="preserve">[4]</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−4,9 % frente a +13,4 % del S&amp;P 500 y +2,7 % del S&amp;P 400</w:t>
            </w:r>
          </w:p>
        </w:tc>
        <w:tc>
          <w:tcPr/>
          <w:p>
            <w:pPr>
              <w:pStyle w:val="Compact"/>
              <w:jc w:val="left"/>
            </w:pPr>
            <w:r>
              <w:t xml:space="preserve">[4]</w:t>
            </w:r>
          </w:p>
        </w:tc>
      </w:tr>
      <w:tr>
        <w:tc>
          <w:tcPr/>
          <w:p>
            <w:pPr>
              <w:pStyle w:val="Compact"/>
              <w:jc w:val="left"/>
            </w:pPr>
            <w:r>
              <w:t xml:space="preserve">4. Múltiplo +20 % desde el mínimo de 12 meses</w:t>
            </w:r>
          </w:p>
        </w:tc>
        <w:tc>
          <w:tcPr/>
          <w:p>
            <w:pPr>
              <w:pStyle w:val="Compact"/>
              <w:jc w:val="left"/>
            </w:pPr>
            <w:r>
              <w:t xml:space="preserve">No</w:t>
            </w:r>
          </w:p>
        </w:tc>
        <w:tc>
          <w:tcPr/>
          <w:p>
            <w:pPr>
              <w:pStyle w:val="Compact"/>
              <w:jc w:val="left"/>
            </w:pPr>
            <w:r>
              <w:t xml:space="preserve">+17 % desde 290,20 (may-26) con el beneficio estable</w:t>
            </w:r>
          </w:p>
        </w:tc>
        <w:tc>
          <w:tcPr/>
          <w:p>
            <w:pPr>
              <w:pStyle w:val="Compact"/>
              <w:jc w:val="left"/>
            </w:pPr>
            <w:r>
              <w:t xml:space="preserve">[4]</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neto operativo sobre primas +3,2 pp (26,4 → 29,6 %); el ratio combinado está en máximos de ciclo, no en una inflexión</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Informe bajista de Bear Cave (2026), consenso «Reduce», −13 % en septiembre sin noticia</w:t>
            </w:r>
          </w:p>
        </w:tc>
        <w:tc>
          <w:tcPr/>
          <w:p>
            <w:pPr>
              <w:pStyle w:val="Compact"/>
              <w:jc w:val="left"/>
            </w:pPr>
            <w:r>
              <w:t xml:space="preserve">[9][10]</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Compras pequeñas de consejeros (≈1 M USD en dic-25; 0,1 M en jun-26) frente a la venta de ≈22.600 acciones del consejero delegado a ~302 USD (may-26). La empresa sí recompra: 163 M en el 1S26 (321.055 acciones a 311,47 en el 2T) y amplía el programa en 250 M</w:t>
            </w:r>
          </w:p>
        </w:tc>
        <w:tc>
          <w:tcPr/>
          <w:p>
            <w:pPr>
              <w:pStyle w:val="Compact"/>
              <w:jc w:val="left"/>
            </w:pPr>
            <w:r>
              <w:t xml:space="preserve">[1][5]</w:t>
            </w:r>
          </w:p>
        </w:tc>
      </w:tr>
      <w:tr>
        <w:tc>
          <w:tcPr/>
          <w:p>
            <w:pPr>
              <w:pStyle w:val="Compact"/>
              <w:jc w:val="left"/>
            </w:pPr>
            <w:r>
              <w:t xml:space="preserve">8. Catalizador nuevo en 6 meses</w:t>
            </w:r>
          </w:p>
        </w:tc>
        <w:tc>
          <w:tcPr/>
          <w:p>
            <w:pPr>
              <w:pStyle w:val="Compact"/>
              <w:jc w:val="left"/>
            </w:pPr>
            <w:r>
              <w:t xml:space="preserve">No</w:t>
            </w:r>
          </w:p>
        </w:tc>
        <w:tc>
          <w:tcPr/>
          <w:p>
            <w:pPr>
              <w:pStyle w:val="Compact"/>
              <w:jc w:val="left"/>
            </w:pPr>
            <w:r>
              <w:t xml:space="preserve">Resultados del 3T el 22-oct; sin cambio de ciclo a la vista (la dirección no ve estabilización en propiedad)</w:t>
            </w:r>
          </w:p>
        </w:tc>
        <w:tc>
          <w:tcPr/>
          <w:p>
            <w:pPr>
              <w:pStyle w:val="Compact"/>
              <w:jc w:val="left"/>
            </w:pPr>
            <w:r>
              <w:t xml:space="preserve">[12]</w:t>
            </w:r>
          </w:p>
        </w:tc>
      </w:tr>
    </w:tbl>
    <w:p>
      <w:pPr>
        <w:pStyle w:val="BodyText"/>
      </w:pPr>
      <w:r>
        <w:rPr>
          <w:bCs/>
          <w:b/>
        </w:rPr>
        <w:t xml:space="preserve">Euforia: no.</w:t>
      </w:r>
      <w:r>
        <w:t xml:space="preserve"> </w:t>
      </w:r>
      <w:r>
        <w:t xml:space="preserve">Ha caído un −28,0 % en 12 meses (de 472,16 a 339,97), y −27 % desde el máximo de 52 semanas.</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Rentable y muy por encima del sector:</w:t>
      </w:r>
      <w:r>
        <w:t xml:space="preserve"> </w:t>
      </w:r>
      <w:r>
        <w:t xml:space="preserve">ratio combinado del 75,9 % en 2025 y del 76,4 % en el 1S26. El sector E&amp;S suele moverse entre el 85 y el 95 %. La siniestralidad del 1S26 (55,0 %) lleva</w:t>
      </w:r>
      <w:r>
        <w:t xml:space="preserve"> </w:t>
      </w:r>
      <w:r>
        <w:rPr>
          <w:bCs/>
          <w:b/>
        </w:rPr>
        <w:t xml:space="preserve">4,5 puntos de liberación de reservas</w:t>
      </w:r>
      <w:r>
        <w:t xml:space="preserve"> </w:t>
      </w:r>
      <w:r>
        <w:t xml:space="preserve">de años anteriores y solo 0,8 puntos de catástrofes. El año de ocurrencia limpio está en ~58,7 %.</w:t>
      </w:r>
    </w:p>
    <w:p>
      <w:pPr>
        <w:numPr>
          <w:ilvl w:val="0"/>
          <w:numId w:val="1004"/>
        </w:numPr>
        <w:pStyle w:val="Compact"/>
      </w:pPr>
      <w:r>
        <w:rPr>
          <w:bCs/>
          <w:b/>
        </w:rPr>
        <w:t xml:space="preserve">Margen «bruto»</w:t>
      </w:r>
      <w:r>
        <w:t xml:space="preserve"> </w:t>
      </w:r>
      <w:r>
        <w:t xml:space="preserve">(1 − siniestralidad): 46 %.</w:t>
      </w:r>
      <w:r>
        <w:t xml:space="preserve"> </w:t>
      </w:r>
      <w:r>
        <w:rPr>
          <w:bCs/>
          <w:b/>
        </w:rPr>
        <w:t xml:space="preserve">Margen neto operativo</w:t>
      </w:r>
      <w:r>
        <w:t xml:space="preserve"> </w:t>
      </w:r>
      <w:r>
        <w:t xml:space="preserve">sobre primas: 30 %.</w:t>
      </w:r>
      <w:r>
        <w:t xml:space="preserve"> </w:t>
      </w:r>
      <w:r>
        <w:rPr>
          <w:bCs/>
          <w:b/>
        </w:rPr>
        <w:t xml:space="preserve">Regla del 40:</w:t>
      </w:r>
      <w:r>
        <w:t xml:space="preserve"> </w:t>
      </w:r>
      <w:r>
        <w:t xml:space="preserve">13,2 + 30,3 = 43,5.</w:t>
      </w:r>
    </w:p>
    <w:p>
      <w:pPr>
        <w:numPr>
          <w:ilvl w:val="0"/>
          <w:numId w:val="1004"/>
        </w:numPr>
        <w:pStyle w:val="Compact"/>
      </w:pPr>
      <w:r>
        <w:rPr>
          <w:bCs/>
          <w:b/>
        </w:rPr>
        <w:t xml:space="preserve">Renta de inversiones:</w:t>
      </w:r>
      <w:r>
        <w:t xml:space="preserve"> </w:t>
      </w:r>
      <w:r>
        <w:t xml:space="preserve">111 M en el 1S26 (+23 %), con una rentabilidad bruta del 4,5 %, calidad AA− y duración de 4,3 años. Con las bajadas de tipos, el dinero nuevo se invierte a menos. Además hay 773 M en acciones (15 % de la cartera), que meten volatilidad en el beneficio contable (+56 M en el 2T26).</w:t>
      </w:r>
    </w:p>
    <w:p>
      <w:pPr>
        <w:numPr>
          <w:ilvl w:val="0"/>
          <w:numId w:val="1004"/>
        </w:numPr>
        <w:pStyle w:val="Compact"/>
      </w:pPr>
      <w:r>
        <w:rPr>
          <w:bCs/>
          <w:b/>
        </w:rPr>
        <w:t xml:space="preserve">Flujo de caja operativo:</w:t>
      </w:r>
      <w:r>
        <w:t xml:space="preserve"> </w:t>
      </w:r>
      <w:r>
        <w:t xml:space="preserve">1.036 M en 12 meses. Pero el 1S26 (491 M) ya no crece frente al 1S25 (499 M): la caja sigue a las primas emitidas.</w:t>
      </w:r>
    </w:p>
    <w:p>
      <w:pPr>
        <w:numPr>
          <w:ilvl w:val="0"/>
          <w:numId w:val="1004"/>
        </w:numPr>
        <w:pStyle w:val="Compact"/>
      </w:pPr>
      <w:r>
        <w:rPr>
          <w:bCs/>
          <w:b/>
        </w:rPr>
        <w:t xml:space="preserve">Riesgo de margen:</w:t>
      </w:r>
      <w:r>
        <w:t xml:space="preserve"> </w:t>
      </w:r>
      <w:r>
        <w:t xml:space="preserve">el beneficio de hoy sale de un ratio combinado de máximo de ciclo. Si en un mercado blando sube al ~82 %, el beneficio operativo baja ~17 % con las mismas primas. El motor no lo modela: congela el margen implícito (apartado 11).</w:t>
      </w:r>
    </w:p>
    <w:bookmarkEnd w:id="25"/>
    <w:bookmarkStart w:id="26" w:name="caja-deuda-y-dilución"/>
    <w:p>
      <w:pPr>
        <w:pStyle w:val="Heading2"/>
      </w:pPr>
      <w:r>
        <w:t xml:space="preserve">7. Caja, deuda y dilución</w:t>
      </w:r>
    </w:p>
    <w:p>
      <w:pPr>
        <w:numPr>
          <w:ilvl w:val="0"/>
          <w:numId w:val="1005"/>
        </w:numPr>
        <w:pStyle w:val="Compact"/>
      </w:pPr>
      <w:r>
        <w:t xml:space="preserve">Patrimonio 2.035 M; valor contable por acción 89,34 USD (+5,5 % en el semestre pese a las recompras). Deuda 225 M (11 % del patrimonio). Pista: no aplica (beneficio y caja positivos).</w:t>
      </w:r>
    </w:p>
    <w:p>
      <w:pPr>
        <w:numPr>
          <w:ilvl w:val="0"/>
          <w:numId w:val="1005"/>
        </w:numPr>
        <w:pStyle w:val="Compact"/>
      </w:pPr>
      <w:r>
        <w:rPr>
          <w:bCs/>
          <w:b/>
        </w:rPr>
        <w:t xml:space="preserve">Recompras:</w:t>
      </w:r>
      <w:r>
        <w:t xml:space="preserve"> </w:t>
      </w:r>
      <w:r>
        <w:t xml:space="preserve">90 M en 2025 y 163 M en el 1S26. Acciones diluidas −2,2 % en 12 meses (23,29 → 22,79 M). Dividendo 1 USD al año (0,3 %).</w:t>
      </w:r>
    </w:p>
    <w:p>
      <w:pPr>
        <w:numPr>
          <w:ilvl w:val="0"/>
          <w:numId w:val="1005"/>
        </w:numPr>
        <w:pStyle w:val="Compact"/>
      </w:pPr>
      <w:r>
        <w:rPr>
          <w:bCs/>
          <w:b/>
        </w:rPr>
        <w:t xml:space="preserve">Pagos en acciones:</w:t>
      </w:r>
      <w:r>
        <w:t xml:space="preserve"> </w:t>
      </w:r>
      <w:r>
        <w:t xml:space="preserve">17,9 M en 2025, el 1,1 % de las primas. Sin dilución relevante.</w:t>
      </w:r>
    </w:p>
    <w:bookmarkEnd w:id="26"/>
    <w:bookmarkStart w:id="27" w:name="dirección-y-ejecución"/>
    <w:p>
      <w:pPr>
        <w:pStyle w:val="Heading2"/>
      </w:pPr>
      <w:r>
        <w:t xml:space="preserve">8. Dirección y ejecución</w:t>
      </w:r>
    </w:p>
    <w:p>
      <w:pPr>
        <w:pStyle w:val="FirstParagraph"/>
      </w:pPr>
      <w:r>
        <w:t xml:space="preserve">Michael Kehoe fundó la empresa y la dirige desde 2009. Desde la salida a bolsa ha cumplido siempre su promesa central (crecer con ratio combinado por debajo de 80-85 % y ROE ≥ 20 %). En 2026 mantiene la disciplina en el ablandamiento, renunciando a volumen. Historial 4/5: no hay guía que batir, pero el BPA operativo supera al consenso de forma habitual (2T26: 5,54 frente a ~5,10). Dirección 4/5: capital bien asignado (recompras por debajo de 380 USD, dividendo creciente), pero el consejero delegado vendió ≈6,8 M USD en mayo, en el mínimo, tras ejercer opciones.</w:t>
      </w:r>
    </w:p>
    <w:bookmarkEnd w:id="27"/>
    <w:bookmarkStart w:id="28" w:name="valoración"/>
    <w:p>
      <w:pPr>
        <w:pStyle w:val="Heading2"/>
      </w:pPr>
      <w:r>
        <w:t xml:space="preserve">9. Valoración</w:t>
      </w:r>
    </w:p>
    <w:p>
      <w:pPr>
        <w:pStyle w:val="FirstParagraph"/>
      </w:pPr>
      <w:r>
        <w:t xml:space="preserve">PER del beneficio operativo de los 12 meses siguientes: 16,0x (BPA ~21,2 USD, entre el consenso de 2026, 21,1, y el de 2027, 21,3) [6]. PER de los últimos 12 meses: 13,8x contable y 15,7x operativo. Mediana de 3 años ~21x (PER sobre el beneficio que luego se obtuvo, oct-23 a sep-25; cálculo propio con XBRL y Yahoo). Mínimo ~13,5x (may-26). Comparables, PER de 12 m: RLI 12,0, W. R. Berkley 15,1, Skyward 13,7, Palomar 18,1, Bowhead 18,4; mediana ~15 (Arch, 7,6, fuera por ser reaseguradora).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Primas devengadas a sep-28 (M)</w:t>
            </w:r>
          </w:p>
        </w:tc>
        <w:tc>
          <w:tcPr/>
          <w:p>
            <w:pPr>
              <w:pStyle w:val="Compact"/>
              <w:jc w:val="left"/>
            </w:pPr>
            <w:r>
              <w:t xml:space="preserve">PER</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 (el ablandamiento llega a la responsabilidad civil; las primas caen ~1,5 % al año)</w:t>
            </w:r>
          </w:p>
        </w:tc>
        <w:tc>
          <w:tcPr/>
          <w:p>
            <w:pPr>
              <w:pStyle w:val="Compact"/>
              <w:jc w:val="left"/>
            </w:pPr>
            <w:r>
              <w:t xml:space="preserve">1.600</w:t>
            </w:r>
          </w:p>
        </w:tc>
        <w:tc>
          <w:tcPr/>
          <w:p>
            <w:pPr>
              <w:pStyle w:val="Compact"/>
              <w:jc w:val="left"/>
            </w:pPr>
            <w:r>
              <w:t xml:space="preserve">9,6x</w:t>
            </w:r>
          </w:p>
        </w:tc>
        <w:tc>
          <w:tcPr/>
          <w:p>
            <w:pPr>
              <w:pStyle w:val="Compact"/>
              <w:jc w:val="left"/>
            </w:pPr>
            <w:r>
              <w:t xml:space="preserve">195,8</w:t>
            </w:r>
          </w:p>
        </w:tc>
        <w:tc>
          <w:tcPr/>
          <w:p>
            <w:pPr>
              <w:pStyle w:val="Compact"/>
              <w:jc w:val="left"/>
            </w:pPr>
            <w:r>
              <w:t xml:space="preserve">−42,1 %</w:t>
            </w:r>
          </w:p>
        </w:tc>
        <w:tc>
          <w:tcPr/>
          <w:p>
            <w:pPr>
              <w:pStyle w:val="Compact"/>
              <w:jc w:val="left"/>
            </w:pPr>
            <w:r>
              <w:t xml:space="preserve">25 %</w:t>
            </w:r>
          </w:p>
        </w:tc>
      </w:tr>
      <w:tr>
        <w:tc>
          <w:tcPr/>
          <w:p>
            <w:pPr>
              <w:pStyle w:val="Compact"/>
              <w:jc w:val="left"/>
            </w:pPr>
            <w:r>
              <w:t xml:space="preserve">Base (+3 % y +4 %; como el consenso)</w:t>
            </w:r>
          </w:p>
        </w:tc>
        <w:tc>
          <w:tcPr/>
          <w:p>
            <w:pPr>
              <w:pStyle w:val="Compact"/>
              <w:jc w:val="left"/>
            </w:pPr>
            <w:r>
              <w:t xml:space="preserve">1.780</w:t>
            </w:r>
          </w:p>
        </w:tc>
        <w:tc>
          <w:tcPr/>
          <w:p>
            <w:pPr>
              <w:pStyle w:val="Compact"/>
              <w:jc w:val="left"/>
            </w:pPr>
            <w:r>
              <w:t xml:space="preserve">16,0x</w:t>
            </w:r>
          </w:p>
        </w:tc>
        <w:tc>
          <w:tcPr/>
          <w:p>
            <w:pPr>
              <w:pStyle w:val="Compact"/>
              <w:jc w:val="left"/>
            </w:pPr>
            <w:r>
              <w:t xml:space="preserve">363,1</w:t>
            </w:r>
          </w:p>
        </w:tc>
        <w:tc>
          <w:tcPr/>
          <w:p>
            <w:pPr>
              <w:pStyle w:val="Compact"/>
              <w:jc w:val="left"/>
            </w:pPr>
            <w:r>
              <w:t xml:space="preserve">+7,1 %</w:t>
            </w:r>
          </w:p>
        </w:tc>
        <w:tc>
          <w:tcPr/>
          <w:p>
            <w:pPr>
              <w:pStyle w:val="Compact"/>
              <w:jc w:val="left"/>
            </w:pPr>
            <w:r>
              <w:t xml:space="preserve">50 %</w:t>
            </w:r>
          </w:p>
        </w:tc>
      </w:tr>
      <w:tr>
        <w:tc>
          <w:tcPr/>
          <w:p>
            <w:pPr>
              <w:pStyle w:val="Compact"/>
              <w:jc w:val="left"/>
            </w:pPr>
            <w:r>
              <w:t xml:space="preserve">Alcista (el mercado se endurece otra vez; +9 % al año)</w:t>
            </w:r>
          </w:p>
        </w:tc>
        <w:tc>
          <w:tcPr/>
          <w:p>
            <w:pPr>
              <w:pStyle w:val="Compact"/>
              <w:jc w:val="left"/>
            </w:pPr>
            <w:r>
              <w:t xml:space="preserve">1.950</w:t>
            </w:r>
          </w:p>
        </w:tc>
        <w:tc>
          <w:tcPr/>
          <w:p>
            <w:pPr>
              <w:pStyle w:val="Compact"/>
              <w:jc w:val="left"/>
            </w:pPr>
            <w:r>
              <w:t xml:space="preserve">21,2x</w:t>
            </w:r>
          </w:p>
        </w:tc>
        <w:tc>
          <w:tcPr/>
          <w:p>
            <w:pPr>
              <w:pStyle w:val="Compact"/>
              <w:jc w:val="left"/>
            </w:pPr>
            <w:r>
              <w:t xml:space="preserve">527,1</w:t>
            </w:r>
          </w:p>
        </w:tc>
        <w:tc>
          <w:tcPr/>
          <w:p>
            <w:pPr>
              <w:pStyle w:val="Compact"/>
              <w:jc w:val="left"/>
            </w:pPr>
            <w:r>
              <w:t xml:space="preserve">+55,3 %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362,3</w:t>
            </w:r>
          </w:p>
        </w:tc>
        <w:tc>
          <w:tcPr/>
          <w:p>
            <w:pPr>
              <w:pStyle w:val="Compact"/>
              <w:jc w:val="left"/>
            </w:pPr>
            <w:r>
              <w:rPr>
                <w:bCs/>
                <w:b/>
              </w:rPr>
              <w:t xml:space="preserve">+6,9 %</w:t>
            </w:r>
          </w:p>
        </w:tc>
        <w:tc>
          <w:tcPr/>
          <w:p>
            <w:pPr>
              <w:pStyle w:val="Compact"/>
            </w:pPr>
          </w:p>
        </w:tc>
      </w:tr>
    </w:tbl>
    <w:p>
      <w:pPr>
        <w:pStyle w:val="BodyText"/>
      </w:pPr>
      <w:r>
        <w:t xml:space="preserve">Margen implícito (beneficio / primas) del 28,5 % en los tres escenarios, con 22,34 M de acciones a 12 meses (−2 % por recompras). La proyección mecánica daría 1.866 / 2.095 / 2.190 M; v11 usa la del informe, que es menor en los tres.</w:t>
      </w:r>
    </w:p>
    <w:p>
      <w:pPr>
        <w:numPr>
          <w:ilvl w:val="0"/>
          <w:numId w:val="1006"/>
        </w:numPr>
        <w:pStyle w:val="Compact"/>
      </w:pPr>
      <w:r>
        <w:rPr>
          <w:bCs/>
          <w:b/>
        </w:rPr>
        <w:t xml:space="preserve">Contraste con el consenso:</w:t>
      </w:r>
      <w:r>
        <w:t xml:space="preserve"> </w:t>
      </w:r>
      <w:r>
        <w:t xml:space="preserve">objetivo medio ~352 USD (11 analistas, Stocksguide) y entre 350 y 376 según la fuente (MarketBeat 375,8; Indmoney 354,8) [7][8]. Mi base, 363, cae en el mismo rango. El BPA de mi base a sep-28 (~22,7 USD) cuadra con el consenso de 2028 (22,97).</w:t>
      </w:r>
    </w:p>
    <w:p>
      <w:pPr>
        <w:numPr>
          <w:ilvl w:val="0"/>
          <w:numId w:val="1006"/>
        </w:numPr>
        <w:pStyle w:val="Compact"/>
      </w:pPr>
      <w:r>
        <w:rPr>
          <w:bCs/>
          <w:b/>
        </w:rPr>
        <w:t xml:space="preserve">P/VC frente al ROE:</w:t>
      </w:r>
      <w:r>
        <w:t xml:space="preserve"> </w:t>
      </w:r>
      <w:r>
        <w:t xml:space="preserve">3,8x el valor contable con un ROE operativo del 24 %. Con un coste del capital del 9,5 % y crecimiento a largo del 6 %, el P/VC justo es (24 − 6) / (9,5 − 6) ≈ 5,1x. Con un ROE que vuelva al 20 % (su mínimo propio), ≈ 4,0x. El precio de hoy ya supone que el ROE se queda alrededor del 20-22 %.</w:t>
      </w:r>
    </w:p>
    <w:p>
      <w:pPr>
        <w:numPr>
          <w:ilvl w:val="0"/>
          <w:numId w:val="1006"/>
        </w:numPr>
        <w:pStyle w:val="Compact"/>
      </w:pPr>
      <w:r>
        <w:rPr>
          <w:bCs/>
          <w:b/>
        </w:rPr>
        <w:t xml:space="preserve">DCF inverso:</w:t>
      </w:r>
      <w:r>
        <w:t xml:space="preserve"> </w:t>
      </w:r>
      <w:r>
        <w:t xml:space="preserve">con coste del capital del 9 %, ROE del 24 % (la retención financia el crecimiento) y crecimiento terminal del 3 %, el precio descuenta un</w:t>
      </w:r>
      <w:r>
        <w:t xml:space="preserve"> </w:t>
      </w:r>
      <w:r>
        <w:rPr>
          <w:bCs/>
          <w:b/>
        </w:rPr>
        <w:t xml:space="preserve">~4,5 % anual de crecimiento del beneficio a 10 años</w:t>
      </w:r>
      <w:r>
        <w:t xml:space="preserve">. Es razonable para una aseguradora de calidad, pero no es una tesis growth.</w:t>
      </w:r>
    </w:p>
    <w:bookmarkEnd w:id="28"/>
    <w:bookmarkStart w:id="29" w:name="foros-y-sentimiento"/>
    <w:p>
      <w:pPr>
        <w:pStyle w:val="Heading2"/>
      </w:pPr>
      <w:r>
        <w:t xml:space="preserve">10. Foros y sentimiento</w:t>
      </w:r>
    </w:p>
    <w:p>
      <w:pPr>
        <w:numPr>
          <w:ilvl w:val="0"/>
          <w:numId w:val="1007"/>
        </w:numPr>
        <w:pStyle w:val="Compact"/>
      </w:pPr>
      <w:r>
        <w:rPr>
          <w:bCs/>
          <w:b/>
        </w:rPr>
        <w:t xml:space="preserve">Prensa y analistas:</w:t>
      </w:r>
      <w:r>
        <w:t xml:space="preserve"> </w:t>
      </w:r>
      <w:r>
        <w:t xml:space="preserve">tono de «buena empresa en mal ciclo». 11 de 14 analistas están en Mantener y la recomendación media es 2,93, entre Mantener y Vender [11]. La caída del 13 % en septiembre no tuvo noticia: rotación fuera de aseguradoras de daños y miedo al ablandamiento [10].</w:t>
      </w:r>
    </w:p>
    <w:p>
      <w:pPr>
        <w:numPr>
          <w:ilvl w:val="0"/>
          <w:numId w:val="1007"/>
        </w:numPr>
        <w:pStyle w:val="Compact"/>
      </w:pPr>
      <w:r>
        <w:rPr>
          <w:bCs/>
          <w:b/>
        </w:rPr>
        <w:t xml:space="preserve">Bajistas:</w:t>
      </w:r>
      <w:r>
        <w:t xml:space="preserve"> </w:t>
      </w:r>
      <w:r>
        <w:t xml:space="preserve">el informe de The Bear Cave (2026) acusa precios altos, exclusiones amplias y una renovación de pólizas de ~60 %, con quejas ante reguladores [9]. Las réplicas (Substack «slow compounding») dicen que hay que comparar las quejas con las de los rivales y que el negocio es «más cíclico que roto» [9].</w:t>
      </w:r>
    </w:p>
    <w:p>
      <w:pPr>
        <w:numPr>
          <w:ilvl w:val="0"/>
          <w:numId w:val="1007"/>
        </w:numPr>
        <w:pStyle w:val="Compact"/>
      </w:pPr>
      <w:r>
        <w:rPr>
          <w:bCs/>
          <w:b/>
        </w:rPr>
        <w:t xml:space="preserve">Reddit (r/stocks, r/investing, r/ValueInvesting), StockTwits, Seeking Alpha, Rankia:</w:t>
      </w:r>
      <w:r>
        <w:t xml:space="preserve"> </w:t>
      </w:r>
      <w:r>
        <w:t xml:space="preserve">las búsquedas no devolvieron hilos recientes con contenido citable. Lo que se ve en agregadores es un tono de «compounder de calidad a precio de ciclo». No hay euforia ni capitulación. Ningún dato de foros entra en las cifras.</w:t>
      </w:r>
    </w:p>
    <w:p>
      <w:pPr>
        <w:numPr>
          <w:ilvl w:val="0"/>
          <w:numId w:val="1007"/>
        </w:numPr>
        <w:pStyle w:val="Compact"/>
      </w:pPr>
      <w:r>
        <w:rPr>
          <w:bCs/>
          <w:b/>
        </w:rPr>
        <w:t xml:space="preserve">Contraste con los datos:</w:t>
      </w:r>
      <w:r>
        <w:t xml:space="preserve"> </w:t>
      </w:r>
      <w:r>
        <w:t xml:space="preserve">el pesimismo encaja con las primas emitidas (caen). El beneficio (+25 % el BPA operativo del 1S26) va mejor que el sentimiento, pero por partidas que no se repiten igual: reservas, catástrofes bajas y renta de inversiones.</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(v11):</w:t>
      </w:r>
      <w:r>
        <w:t xml:space="preserve"> </w:t>
      </w:r>
      <w:r>
        <w:t xml:space="preserve">1.</w:t>
      </w:r>
      <w:r>
        <w:t xml:space="preserve"> </w:t>
      </w:r>
      <w:r>
        <w:rPr>
          <w:iCs/>
          <w:i/>
        </w:rPr>
        <w:t xml:space="preserve">«Sin guía anual de 12 meses: el recorte por la guía (v9) no actúa».</w:t>
      </w:r>
      <w:r>
        <w:t xml:space="preserve"> </w:t>
      </w:r>
      <w:r>
        <w:t xml:space="preserve">Kinsale no da guía.</w:t>
      </w:r>
      <w:r>
        <w:t xml:space="preserve"> </w:t>
      </w:r>
      <w:r>
        <w:rPr>
          <w:bCs/>
          <w:b/>
        </w:rPr>
        <w:t xml:space="preserve">No debilita la señal, la protege.</w:t>
      </w:r>
      <w:r>
        <w:t xml:space="preserve"> </w:t>
      </w:r>
      <w:r>
        <w:t xml:space="preserve">Sin guía, v9 proyecta +13,7 % y sale una ponderada de +23,5 % que no se sostiene: las primas emitidas caen y las devengadas las seguirán. v11 sustituye la proyección mecánica por la del informe, cercana al consenso (1.780 M frente a 1.770 M de ingresos de 2027). La mecánica (2.095 M) es</w:t>
      </w:r>
      <w:r>
        <w:t xml:space="preserve"> </w:t>
      </w:r>
      <w:r>
        <w:rPr>
          <w:bCs/>
          <w:b/>
        </w:rPr>
        <w:t xml:space="preserve">1,18 veces</w:t>
      </w:r>
      <w:r>
        <w:t xml:space="preserve"> </w:t>
      </w:r>
      <w:r>
        <w:t xml:space="preserve">la del informe, justo por debajo del umbral de alerta de 1,2. Si se publicara una guía, entraría en el siguiente informe.</w:t>
      </w:r>
      <w:r>
        <w:t xml:space="preserve"> </w:t>
      </w:r>
      <w:r>
        <w:t xml:space="preserve">2.</w:t>
      </w:r>
      <w:r>
        <w:t xml:space="preserve"> </w:t>
      </w:r>
      <w:r>
        <w:rPr>
          <w:iCs/>
          <w:i/>
        </w:rPr>
        <w:t xml:space="preserve">«Métrica P/beneficio NTM (ni ventas ni EBITDA)… la puntuación no está pensada para este negocio».</w:t>
      </w:r>
      <w:r>
        <w:t xml:space="preserve"> </w:t>
      </w:r>
      <w:r>
        <w:rPr>
          <w:bCs/>
          <w:b/>
        </w:rPr>
        <w:t xml:space="preserve">Cierto, y lo he comprobado al revés.</w:t>
      </w:r>
      <w:r>
        <w:t xml:space="preserve"> </w:t>
      </w:r>
      <w:r>
        <w:t xml:space="preserve">Probé a puntuar con la nota máxima en todo lo subjetivo (tecnología 5, posición 5, margen bruto 100 % como en Nu, ejecución 10/10, mercado de 130.000 M). La puntuación sube a</w:t>
      </w:r>
      <w:r>
        <w:t xml:space="preserve"> </w:t>
      </w:r>
      <w:r>
        <w:rPr>
          <w:bCs/>
          <w:b/>
        </w:rPr>
        <w:t xml:space="preserve">59,7</w:t>
      </w:r>
      <w:r>
        <w:t xml:space="preserve">, todavía por debajo de 60. La señal Mantener no depende de cómo se traduzca el seguro a la plantilla: depende del crecimiento (6,7/25) y de que no hay ninguna señal de cambio de tendencia (0/20). Además, el motor aplica un margen</w:t>
      </w:r>
      <w:r>
        <w:t xml:space="preserve"> </w:t>
      </w:r>
      <w:r>
        <w:rPr>
          <w:bCs/>
          <w:b/>
        </w:rPr>
        <w:t xml:space="preserve">constante</w:t>
      </w:r>
      <w:r>
        <w:t xml:space="preserve"> </w:t>
      </w:r>
      <w:r>
        <w:t xml:space="preserve">(28,5 %). En un mercado blando el ratio combinado tiende a subir: con el 82 % y las mismas primas, el base bajaría a ~−11 %. El escenario base es, por tanto, más bien optimista.</w:t>
      </w:r>
    </w:p>
    <w:p>
      <w:pPr>
        <w:pStyle w:val="BodyText"/>
      </w:pPr>
      <w:r>
        <w:rPr>
          <w:bCs/>
          <w:b/>
        </w:rPr>
        <w:t xml:space="preserve">Pruebas de robustez</w:t>
      </w:r>
      <w:r>
        <w:t xml:space="preserve"> </w:t>
      </w:r>
      <w:r>
        <w:t xml:space="preserve">(</w:t>
      </w:r>
      <w:r>
        <w:rPr>
          <w:rStyle w:val="VerbatimChar"/>
        </w:rPr>
        <w:t xml:space="preserve">herramientas/robustez-growth.mjs --precios</w:t>
      </w:r>
      <w:r>
        <w:t xml:space="preserve">, 14-oct): veredicto</w:t>
      </w:r>
      <w:r>
        <w:t xml:space="preserve"> </w:t>
      </w:r>
      <w:r>
        <w:rPr>
          <w:bCs/>
          <w:b/>
        </w:rPr>
        <w:t xml:space="preserve">SÓLIDA, Mantener</w:t>
      </w:r>
      <w:r>
        <w:t xml:space="preserve">. Las variantes dan siempre Mantener: v7 (+23,5 %), pesos 35/50/15 (−2,9 %) y el precio de hoy con el objetivo fijo (+6,8 %). Avisos:</w:t>
      </w:r>
      <w:r>
        <w:t xml:space="preserve"> </w:t>
      </w:r>
      <w:r>
        <w:t xml:space="preserve">- El objetivo se mueve con el precio (elasticidad 0,92, por la métrica PER): se deja fijo el del informe.</w:t>
      </w:r>
      <w:r>
        <w:t xml:space="preserve"> </w:t>
      </w:r>
      <w:r>
        <w:t xml:space="preserve">- No hay guía de la empresa.</w:t>
      </w:r>
      <w:r>
        <w:t xml:space="preserve"> </w:t>
      </w:r>
      <w:r>
        <w:t xml:space="preserve">- El bajista es del −42 %.</w:t>
      </w:r>
      <w:r>
        <w:t xml:space="preserve"> </w:t>
      </w:r>
      <w:r>
        <w:t xml:space="preserve">- El precio ya descuenta crecer ~5 % al año durante 10 años, más que el 4 % del final de mi base.</w:t>
      </w:r>
    </w:p>
    <w:p>
      <w:pPr>
        <w:pStyle w:val="BodyText"/>
      </w:pPr>
      <w:r>
        <w:rPr>
          <w:bCs/>
          <w:b/>
        </w:rPr>
        <w:t xml:space="preserve">Riesgos de negocio:</w:t>
      </w:r>
      <w:r>
        <w:t xml:space="preserve"> </w:t>
      </w:r>
      <w:r>
        <w:t xml:space="preserve">-</w:t>
      </w:r>
      <w:r>
        <w:t xml:space="preserve"> </w:t>
      </w:r>
      <w:r>
        <w:rPr>
          <w:bCs/>
          <w:b/>
        </w:rPr>
        <w:t xml:space="preserve">Ciclo:</w:t>
      </w:r>
      <w:r>
        <w:t xml:space="preserve"> </w:t>
      </w:r>
      <w:r>
        <w:t xml:space="preserve">el ablandamiento pasa de propiedad a la responsabilidad civil. Señal de venta, si se tuviera: las primas emitidas sin propiedad caen dos trimestres seguidos.</w:t>
      </w:r>
      <w:r>
        <w:t xml:space="preserve"> </w:t>
      </w:r>
      <w:r>
        <w:t xml:space="preserve">-</w:t>
      </w:r>
      <w:r>
        <w:t xml:space="preserve"> </w:t>
      </w:r>
      <w:r>
        <w:rPr>
          <w:bCs/>
          <w:b/>
        </w:rPr>
        <w:t xml:space="preserve">Reservas:</w:t>
      </w:r>
      <w:r>
        <w:t xml:space="preserve"> </w:t>
      </w:r>
      <w:r>
        <w:t xml:space="preserve">el resultado depende en parte de liberar reservas (4,5 puntos). Una reserva insuficiente en construcción o responsabilidad civil de años blandos (como 2015-2019 en el sector) rompería la tesis. Señal: desarrollo desfavorable de años anteriores.</w:t>
      </w:r>
      <w:r>
        <w:t xml:space="preserve"> </w:t>
      </w:r>
      <w:r>
        <w:t xml:space="preserve">-</w:t>
      </w:r>
      <w:r>
        <w:t xml:space="preserve"> </w:t>
      </w:r>
      <w:r>
        <w:rPr>
          <w:bCs/>
          <w:b/>
        </w:rPr>
        <w:t xml:space="preserve">Catástrofes:</w:t>
      </w:r>
      <w:r>
        <w:t xml:space="preserve"> </w:t>
      </w:r>
      <w:r>
        <w:t xml:space="preserve">2025 tuvo el incendio de Palisades (3,4 puntos en el 1S25). Kinsale retiene más riesgo desde jun-25 (menos reaseguro), así que un gran huracán pesaría más. No hay dato de catástrofes del 3T26 hasta el 22-oct.</w:t>
      </w:r>
      <w:r>
        <w:t xml:space="preserve"> </w:t>
      </w:r>
      <w:r>
        <w:t xml:space="preserve">-</w:t>
      </w:r>
      <w:r>
        <w:t xml:space="preserve"> </w:t>
      </w:r>
      <w:r>
        <w:rPr>
          <w:bCs/>
          <w:b/>
        </w:rPr>
        <w:t xml:space="preserve">Tipos y cartera:</w:t>
      </w:r>
      <w:r>
        <w:t xml:space="preserve"> </w:t>
      </w:r>
      <w:r>
        <w:t xml:space="preserve">las bajadas de tipos reducen la renta de reinversión. Hay 773 M en acciones, un riesgo de mercado.</w:t>
      </w:r>
      <w:r>
        <w:t xml:space="preserve"> </w:t>
      </w:r>
      <w:r>
        <w:t xml:space="preserve">-</w:t>
      </w:r>
      <w:r>
        <w:t xml:space="preserve"> </w:t>
      </w:r>
      <w:r>
        <w:rPr>
          <w:bCs/>
          <w:b/>
        </w:rPr>
        <w:t xml:space="preserve">Regulación y reputación:</w:t>
      </w:r>
      <w:r>
        <w:t xml:space="preserve"> </w:t>
      </w:r>
      <w:r>
        <w:t xml:space="preserve">quejas por exclusiones (Bear Cave); en E&amp;S hay menos control de tarifas, pero sí control de conducta.</w:t>
      </w:r>
      <w:r>
        <w:t xml:space="preserve"> </w:t>
      </w:r>
      <w:r>
        <w:t xml:space="preserve">-</w:t>
      </w:r>
      <w:r>
        <w:t xml:space="preserve"> </w:t>
      </w:r>
      <w:r>
        <w:rPr>
          <w:bCs/>
          <w:b/>
        </w:rPr>
        <w:t xml:space="preserve">Corredores:</w:t>
      </w:r>
      <w:r>
        <w:t xml:space="preserve"> </w:t>
      </w:r>
      <w:r>
        <w:t xml:space="preserve">depende de pocos grupos mayoristas.</w:t>
      </w:r>
      <w:r>
        <w:t xml:space="preserve"> </w:t>
      </w:r>
      <w:r>
        <w:t xml:space="preserve">-</w:t>
      </w:r>
      <w:r>
        <w:t xml:space="preserve"> </w:t>
      </w:r>
      <w:r>
        <w:rPr>
          <w:bCs/>
          <w:b/>
        </w:rPr>
        <w:t xml:space="preserve">Riesgo de IA: bajo-medio.</w:t>
      </w:r>
      <w:r>
        <w:t xml:space="preserve"> </w:t>
      </w:r>
      <w:r>
        <w:t xml:space="preserve">No sustituye el negocio: asumir riesgo con capital y reservas no lo hace un modelo. Pero puede</w:t>
      </w:r>
      <w:r>
        <w:t xml:space="preserve"> </w:t>
      </w:r>
      <w:r>
        <w:rPr>
          <w:bCs/>
          <w:b/>
        </w:rPr>
        <w:t xml:space="preserve">reducir su ventaja</w:t>
      </w:r>
      <w:r>
        <w:t xml:space="preserve">. Su foso es el coste bajo gracias a su tecnología propia. Si la IA permite a los rivales (y a las aseguradoras normales) suscribir cuentas pequeñas con el mismo coste y la misma velocidad, el diferencial de ~9 puntos en gastos se estrecha. También puede ayudar a los corredores a comparar coberturas y exclusiones. A favor: Kinsale ya es nativa digital y está entre las mejor colocadas para usarla.</w:t>
      </w:r>
    </w:p>
    <w:bookmarkEnd w:id="30"/>
    <w:bookmarkStart w:id="31" w:name="catalizadores-con-fecha"/>
    <w:p>
      <w:pPr>
        <w:pStyle w:val="Heading2"/>
      </w:pPr>
      <w:r>
        <w:t xml:space="preserve">12. Catalizadores con fecha</w:t>
      </w:r>
    </w:p>
    <w:p>
      <w:pPr>
        <w:numPr>
          <w:ilvl w:val="0"/>
          <w:numId w:val="1008"/>
        </w:numPr>
        <w:pStyle w:val="Compact"/>
      </w:pPr>
      <w:r>
        <w:rPr>
          <w:bCs/>
          <w:b/>
        </w:rPr>
        <w:t xml:space="preserve">22-oct-2026:</w:t>
      </w:r>
      <w:r>
        <w:t xml:space="preserve"> </w:t>
      </w:r>
      <w:r>
        <w:t xml:space="preserve">resultados del 3T26. Hay que mirar las primas emitidas sin propiedad (¿siguen creciendo +3-5 %?), la siniestralidad del año de ocurrencia, el desarrollo de reservas, las catástrofes del 3T y las recompras.</w:t>
      </w:r>
    </w:p>
    <w:p>
      <w:pPr>
        <w:numPr>
          <w:ilvl w:val="0"/>
          <w:numId w:val="1008"/>
        </w:numPr>
        <w:pStyle w:val="Compact"/>
      </w:pPr>
      <w:r>
        <w:rPr>
          <w:bCs/>
          <w:b/>
        </w:rPr>
        <w:t xml:space="preserve">Renovaciones de reaseguro (1-ene y 1-jun-2027):</w:t>
      </w:r>
      <w:r>
        <w:t xml:space="preserve"> </w:t>
      </w:r>
      <w:r>
        <w:t xml:space="preserve">precio de la capacidad, que influye en el ciclo de propiedad.</w:t>
      </w:r>
    </w:p>
    <w:p>
      <w:pPr>
        <w:numPr>
          <w:ilvl w:val="0"/>
          <w:numId w:val="1008"/>
        </w:numPr>
        <w:pStyle w:val="Compact"/>
      </w:pPr>
      <w:r>
        <w:rPr>
          <w:bCs/>
          <w:b/>
        </w:rPr>
        <w:t xml:space="preserve">Datos semestrales de la WSIA (feb-2027)</w:t>
      </w:r>
      <w:r>
        <w:t xml:space="preserve"> </w:t>
      </w:r>
      <w:r>
        <w:t xml:space="preserve">y la temporada de huracanes: indican si el ablandamiento toca fondo.</w:t>
      </w:r>
    </w:p>
    <w:bookmarkEnd w:id="31"/>
    <w:bookmarkStart w:id="32" w:name="encaje-en-cartera"/>
    <w:p>
      <w:pPr>
        <w:pStyle w:val="Heading2"/>
      </w:pPr>
      <w:r>
        <w:t xml:space="preserve">13. Encaje en cartera</w:t>
      </w:r>
    </w:p>
    <w:p>
      <w:pPr>
        <w:numPr>
          <w:ilvl w:val="0"/>
          <w:numId w:val="1009"/>
        </w:numPr>
        <w:pStyle w:val="Compact"/>
      </w:pPr>
      <w:r>
        <w:rPr>
          <w:bCs/>
          <w:b/>
        </w:rPr>
        <w:t xml:space="preserve">Bolsillo growth lleno</w:t>
      </w:r>
      <w:r>
        <w:t xml:space="preserve"> </w:t>
      </w:r>
      <w:r>
        <w:t xml:space="preserve">(~20 %): Nu (+19 % al precio actual con v11), Axon (+36 %), Shopify (+18 %), Snowflake (+13 %) y Samsara (+15 %). Liquidez ≈27 EUR: solo cabe sustituir. Alphabet se vende mañana y no cuenta como exposición a IA.</w:t>
      </w:r>
    </w:p>
    <w:p>
      <w:pPr>
        <w:numPr>
          <w:ilvl w:val="0"/>
          <w:numId w:val="1009"/>
        </w:numPr>
        <w:pStyle w:val="Compact"/>
      </w:pPr>
      <w:r>
        <w:rPr>
          <w:bCs/>
          <w:b/>
        </w:rPr>
        <w:t xml:space="preserve">Kinsale no entra.</w:t>
      </w:r>
      <w:r>
        <w:t xml:space="preserve"> </w:t>
      </w:r>
      <w:r>
        <w:t xml:space="preserve">Da Mantener con +6,5 % al precio actual, frente a +13 % o más de las cinco posiciones.</w:t>
      </w:r>
      <w:r>
        <w:t xml:space="preserve"> </w:t>
      </w:r>
      <w:r>
        <w:rPr>
          <w:bCs/>
          <w:b/>
        </w:rPr>
        <w:t xml:space="preserve">No sustituye a ninguna</w:t>
      </w:r>
      <w:r>
        <w:t xml:space="preserve"> </w:t>
      </w:r>
      <w:r>
        <w:t xml:space="preserve">y tampoco entra en la lista de suplentes (MongoDB, Toast, Zscaler, Dexcom, Datadog, argenx, Natera), que son todas Comprar.</w:t>
      </w:r>
    </w:p>
    <w:p>
      <w:pPr>
        <w:numPr>
          <w:ilvl w:val="0"/>
          <w:numId w:val="1009"/>
        </w:numPr>
        <w:pStyle w:val="Compact"/>
      </w:pPr>
      <w:r>
        <w:rPr>
          <w:bCs/>
          <w:b/>
        </w:rPr>
        <w:t xml:space="preserve">Diversificación:</w:t>
      </w:r>
      <w:r>
        <w:t xml:space="preserve"> </w:t>
      </w:r>
      <w:r>
        <w:t xml:space="preserve">el bolsillo ya tiene un financiero (Nu, banco). Una aseguradora E&amp;S aportaría poca correlación con el software, pero eso no compensa una puntuación growth de 50.</w:t>
      </w:r>
    </w:p>
    <w:p>
      <w:pPr>
        <w:numPr>
          <w:ilvl w:val="0"/>
          <w:numId w:val="1009"/>
        </w:numPr>
        <w:pStyle w:val="Compact"/>
      </w:pPr>
      <w:r>
        <w:rPr>
          <w:bCs/>
          <w:b/>
        </w:rPr>
        <w:t xml:space="preserve">Recomendación:</w:t>
      </w:r>
      <w:r>
        <w:t xml:space="preserve"> </w:t>
      </w:r>
      <w:r>
        <w:t xml:space="preserve">pasarla al</w:t>
      </w:r>
      <w:r>
        <w:t xml:space="preserve"> </w:t>
      </w:r>
      <w:r>
        <w:rPr>
          <w:bCs/>
          <w:b/>
        </w:rPr>
        <w:t xml:space="preserve">análisis value</w:t>
      </w:r>
      <w:r>
        <w:t xml:space="preserve"> </w:t>
      </w:r>
      <w:r>
        <w:t xml:space="preserve">(ROE del 24 %, PER 16x, ciclo a la baja) si el usuario quiere exposición a aseguradoras de calidad. La regla mira el ROIC − WACC y un PER objetivo, que es como se valora este negocio. En growth, revisar tras el 3T26 solo si las primas emitidas vuelven a crecer más del 10 % (endurecimiento).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6,7</w:t>
            </w:r>
          </w:p>
        </w:tc>
        <w:tc>
          <w:tcPr/>
          <w:p>
            <w:pPr>
              <w:pStyle w:val="Compact"/>
              <w:jc w:val="left"/>
            </w:pPr>
            <w:r>
              <w:t xml:space="preserve">25</w:t>
            </w:r>
          </w:p>
        </w:tc>
        <w:tc>
          <w:tcPr/>
          <w:p>
            <w:pPr>
              <w:pStyle w:val="Compact"/>
              <w:jc w:val="left"/>
            </w:pPr>
            <w:r>
              <w:t xml:space="preserve">Primas devengadas +13,2 % en 12 m, CAGR 16,3 %, aceleración −6,1 pp</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2,4 %, tecnología 4 (coste), posición 3</w:t>
            </w:r>
          </w:p>
        </w:tc>
      </w:tr>
      <w:tr>
        <w:tc>
          <w:tcPr/>
          <w:p>
            <w:pPr>
              <w:pStyle w:val="Compact"/>
              <w:jc w:val="left"/>
            </w:pPr>
            <w:r>
              <w:t xml:space="preserve">C. Cambio de tendencia</w:t>
            </w:r>
          </w:p>
        </w:tc>
        <w:tc>
          <w:tcPr/>
          <w:p>
            <w:pPr>
              <w:pStyle w:val="Compact"/>
              <w:jc w:val="left"/>
            </w:pPr>
            <w:r>
              <w:t xml:space="preserve">0</w:t>
            </w:r>
          </w:p>
        </w:tc>
        <w:tc>
          <w:tcPr/>
          <w:p>
            <w:pPr>
              <w:pStyle w:val="Compact"/>
              <w:jc w:val="left"/>
            </w:pPr>
            <w:r>
              <w:t xml:space="preserve">20</w:t>
            </w:r>
          </w:p>
        </w:tc>
        <w:tc>
          <w:tcPr/>
          <w:p>
            <w:pPr>
              <w:pStyle w:val="Compact"/>
              <w:jc w:val="left"/>
            </w:pPr>
            <w:r>
              <w:t xml:space="preserve">0 de 8 señales</w:t>
            </w:r>
          </w:p>
        </w:tc>
      </w:tr>
      <w:tr>
        <w:tc>
          <w:tcPr/>
          <w:p>
            <w:pPr>
              <w:pStyle w:val="Compact"/>
              <w:jc w:val="left"/>
            </w:pPr>
            <w:r>
              <w:t xml:space="preserve">D. Economía unitaria</w:t>
            </w:r>
          </w:p>
        </w:tc>
        <w:tc>
          <w:tcPr/>
          <w:p>
            <w:pPr>
              <w:pStyle w:val="Compact"/>
              <w:jc w:val="left"/>
            </w:pPr>
            <w:r>
              <w:t xml:space="preserve">11</w:t>
            </w:r>
          </w:p>
        </w:tc>
        <w:tc>
          <w:tcPr/>
          <w:p>
            <w:pPr>
              <w:pStyle w:val="Compact"/>
              <w:jc w:val="left"/>
            </w:pPr>
            <w:r>
              <w:t xml:space="preserve">15</w:t>
            </w:r>
          </w:p>
        </w:tc>
        <w:tc>
          <w:tcPr/>
          <w:p>
            <w:pPr>
              <w:pStyle w:val="Compact"/>
              <w:jc w:val="left"/>
            </w:pPr>
            <w:r>
              <w:t xml:space="preserve">Margen 46 %, regla del 40 = 43,5, beneficio creciente</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Rentable; las acciones bajan un 2 % al año</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c>
          <w:tcPr/>
          <w:p>
            <w:pPr>
              <w:pStyle w:val="Compact"/>
              <w:jc w:val="left"/>
            </w:pPr>
            <w:r>
              <w:t xml:space="preserve">Historial 4, dirección 4</w:t>
            </w:r>
          </w:p>
        </w:tc>
      </w:tr>
      <w:tr>
        <w:tc>
          <w:tcPr/>
          <w:p>
            <w:pPr>
              <w:pStyle w:val="Compact"/>
              <w:jc w:val="left"/>
            </w:pPr>
            <w:r>
              <w:rPr>
                <w:bCs/>
                <w:b/>
              </w:rPr>
              <w:t xml:space="preserve">Total</w:t>
            </w:r>
          </w:p>
        </w:tc>
        <w:tc>
          <w:tcPr/>
          <w:p>
            <w:pPr>
              <w:pStyle w:val="Compact"/>
              <w:jc w:val="left"/>
            </w:pPr>
            <w:r>
              <w:rPr>
                <w:bCs/>
                <w:b/>
              </w:rPr>
              <w:t xml:space="preserve">50,3</w:t>
            </w:r>
          </w:p>
        </w:tc>
        <w:tc>
          <w:tcPr/>
          <w:p>
            <w:pPr>
              <w:pStyle w:val="Compact"/>
              <w:jc w:val="left"/>
            </w:pPr>
            <w:r>
              <w:t xml:space="preserve">100</w:t>
            </w:r>
          </w:p>
        </w:tc>
        <w:tc>
          <w:tcPr/>
          <w:p>
            <w:pPr>
              <w:pStyle w:val="Compact"/>
              <w:jc w:val="left"/>
            </w:pPr>
            <w:r>
              <w:t xml:space="preserve">Mantener (v9 y v11)</w:t>
            </w:r>
          </w:p>
        </w:tc>
      </w:tr>
    </w:tbl>
    <w:bookmarkEnd w:id="33"/>
    <w:bookmarkStart w:id="34" w:name="fuentes"/>
    <w:p>
      <w:pPr>
        <w:pStyle w:val="Heading2"/>
      </w:pPr>
      <w:r>
        <w:t xml:space="preserve">Fuentes</w:t>
      </w:r>
    </w:p>
    <w:p>
      <w:pPr>
        <w:numPr>
          <w:ilvl w:val="0"/>
          <w:numId w:val="1010"/>
        </w:numPr>
        <w:pStyle w:val="Compact"/>
      </w:pPr>
      <w:r>
        <w:t xml:space="preserve">Kinsale Capital, nota de resultados 2T26 (8-K, ex. 99.1, 23-jul-2026), SEC: https://www.sec.gov/Archives/edgar/data/1669162/000166916226000039/earningsrelease2q2026.htm</w:t>
      </w:r>
    </w:p>
    <w:p>
      <w:pPr>
        <w:numPr>
          <w:ilvl w:val="0"/>
          <w:numId w:val="1010"/>
        </w:numPr>
        <w:pStyle w:val="Compact"/>
      </w:pPr>
      <w:r>
        <w:t xml:space="preserve">Kinsale Capital, notas de resultados 1T26 (8-K, 23-abr-2026) y 4T25 (8-K, 12-feb-2026), SEC.</w:t>
      </w:r>
    </w:p>
    <w:p>
      <w:pPr>
        <w:numPr>
          <w:ilvl w:val="0"/>
          <w:numId w:val="1010"/>
        </w:numPr>
        <w:pStyle w:val="Compact"/>
      </w:pPr>
      <w:r>
        <w:t xml:space="preserve">SEC XBRL companyfacts, CIK 1669162 (primas devengadas y emitidas, BPA, flujo de caja, recompras, pagos en acciones), y los de RLI, WRB, SKWD, PLMR, BOW y ACGL para los PER de los comparables.</w:t>
      </w:r>
    </w:p>
    <w:p>
      <w:pPr>
        <w:numPr>
          <w:ilvl w:val="0"/>
          <w:numId w:val="1010"/>
        </w:numPr>
        <w:pStyle w:val="Compact"/>
      </w:pPr>
      <w:r>
        <w:t xml:space="preserve">Precios: Yahoo Finance chart API (KNSL, SPY, ^SP400) y Nasdaq.com (histórico e intradía), 14-oct-2026.</w:t>
      </w:r>
    </w:p>
    <w:p>
      <w:pPr>
        <w:numPr>
          <w:ilvl w:val="0"/>
          <w:numId w:val="1010"/>
        </w:numPr>
        <w:pStyle w:val="Compact"/>
      </w:pPr>
      <w:r>
        <w:t xml:space="preserve">Formularios 4 de la SEC (oct-25 a jun-26).</w:t>
      </w:r>
    </w:p>
    <w:p>
      <w:pPr>
        <w:numPr>
          <w:ilvl w:val="0"/>
          <w:numId w:val="1010"/>
        </w:numPr>
        <w:pStyle w:val="Compact"/>
      </w:pPr>
      <w:r>
        <w:t xml:space="preserve">MarketBeat / Zacks: estimaciones de BPA 2026-2028 (ago-2026) y consenso de recomendación.</w:t>
      </w:r>
    </w:p>
    <w:p>
      <w:pPr>
        <w:numPr>
          <w:ilvl w:val="0"/>
          <w:numId w:val="1010"/>
        </w:numPr>
        <w:pStyle w:val="Compact"/>
      </w:pPr>
      <w:r>
        <w:t xml:space="preserve">Argus vía Yahoo Finance (objetivo 356 USD, 30-sep-2026); Indmoney (5 analistas, objetivo medio 354,78).</w:t>
      </w:r>
    </w:p>
    <w:p>
      <w:pPr>
        <w:numPr>
          <w:ilvl w:val="0"/>
          <w:numId w:val="1010"/>
        </w:numPr>
        <w:pStyle w:val="Compact"/>
      </w:pPr>
      <w:r>
        <w:t xml:space="preserve">Stocksguide (11 analistas, objetivo medio 351,90); Tickflow (ingresos 2026 1.690 M y 2027 ~1.770 M, 2-3 analistas, 31-jul-2026).</w:t>
      </w:r>
    </w:p>
    <w:p>
      <w:pPr>
        <w:numPr>
          <w:ilvl w:val="0"/>
          <w:numId w:val="1010"/>
        </w:numPr>
        <w:pStyle w:val="Compact"/>
      </w:pPr>
      <w:r>
        <w:t xml:space="preserve">Investing.com, newsquawk y goldesel.de sobre el informe bajista de The Bear Cave (2026); réplica en slowcompounding.substack.com.</w:t>
      </w:r>
    </w:p>
    <w:p>
      <w:pPr>
        <w:numPr>
          <w:ilvl w:val="0"/>
          <w:numId w:val="1010"/>
        </w:numPr>
        <w:pStyle w:val="Compact"/>
      </w:pPr>
      <w:r>
        <w:t xml:space="preserve">Yahoo Finance (Zacks): «Is Kinsale Capital Group (KNSL) Undervalued After Its 13% Monthly Slide?» (sep-2026); ad-hoc-news (23-sep-2026).</w:t>
      </w:r>
    </w:p>
    <w:p>
      <w:pPr>
        <w:numPr>
          <w:ilvl w:val="0"/>
          <w:numId w:val="1010"/>
        </w:numPr>
        <w:pStyle w:val="Compact"/>
      </w:pPr>
      <w:r>
        <w:t xml:space="preserve">Webull: análisis previo a resultados (22-jul-2026; 14 analistas, recomendación media 2,93).</w:t>
      </w:r>
    </w:p>
    <w:p>
      <w:pPr>
        <w:numPr>
          <w:ilvl w:val="0"/>
          <w:numId w:val="1010"/>
        </w:numPr>
        <w:pStyle w:val="Compact"/>
      </w:pPr>
      <w:r>
        <w:t xml:space="preserve">Resúmenes de la conferencia del 2T26 (Yahoo Finance, Investing.com; The Insurer: «Kinsale’s GWP drops 5% in Q2 earnings beat»).</w:t>
      </w:r>
    </w:p>
    <w:p>
      <w:pPr>
        <w:numPr>
          <w:ilvl w:val="0"/>
          <w:numId w:val="1010"/>
        </w:numPr>
        <w:pStyle w:val="Compact"/>
      </w:pPr>
      <w:r>
        <w:t xml:space="preserve">WSIA, informe de mitad de año 2026 vía Business Insurance («Surplus lines premium growth slows sharply in first half of 2026»); CRC vía Artemis; AM Best (perspectiva del E&amp;S a estable, nov-2025).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2026-10-14T17:28:44Z</dcterms:created>
  <dcterms:modified xsi:type="dcterms:W3CDTF">2026-10-14T17:28:44Z</dcterms:modified>
</cp:coreProperties>
</file>

<file path=docProps/custom.xml><?xml version="1.0" encoding="utf-8"?>
<Properties xmlns="http://schemas.openxmlformats.org/officeDocument/2006/custom-properties" xmlns:vt="http://schemas.openxmlformats.org/officeDocument/2006/docPropsVTypes"/>
</file>