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13c0b075fb67e963ebf41efe20ced196e7bbc4e"/>
    <w:p>
      <w:pPr>
        <w:pStyle w:val="Heading1"/>
      </w:pPr>
      <w:r>
        <w:t xml:space="preserve">Saab AB (SAAB-B): análisis growth, 14-oct-2026</w:t>
      </w:r>
    </w:p>
    <w:p>
      <w:pPr>
        <w:pStyle w:val="FirstParagraph"/>
      </w:pPr>
      <w:r>
        <w:rPr>
          <w:bCs/>
          <w:b/>
        </w:rPr>
        <w:t xml:space="preserve">Señal (método v11, vigente): Comprar (convicción baja)</w:t>
      </w:r>
      <w:r>
        <w:t xml:space="preserve"> </w:t>
      </w:r>
      <w:r>
        <w:t xml:space="preserve">· Puntuación 63,3/100 · Señales de cambio de tendencia 2/8 · EV/beneficio bruto 13,6x · EV/EBITDA de los 12 meses siguientes 20,3x</w:t>
      </w:r>
      <w:r>
        <w:t xml:space="preserve"> </w:t>
      </w:r>
      <w:r>
        <w:t xml:space="preserve">Precio 598,10 SEK (cierre del 13-oct) · Objetivo 12 m 644,7 SEK (ponderada +8,2 %, base +10,9 %, bajista −42,9 %, alcista +53,8 %) · Compra hasta 616,3 SEK</w:t>
      </w:r>
      <w:r>
        <w:t xml:space="preserve"> </w:t>
      </w:r>
      <w:r>
        <w:t xml:space="preserve">Peso orientativo: 3,5 % por la regla, pero</w:t>
      </w:r>
      <w:r>
        <w:t xml:space="preserve"> </w:t>
      </w:r>
      <w:r>
        <w:rPr>
          <w:bCs/>
          <w:b/>
        </w:rPr>
        <w:t xml:space="preserve">no entra hoy</w:t>
      </w:r>
      <w:r>
        <w:t xml:space="preserve">: el bolsillo growth está lleno y Saab rinde menos que las cinco que lo ocupan (sección 13).</w:t>
      </w:r>
      <w:r>
        <w:t xml:space="preserve"> </w:t>
      </w:r>
      <w:r>
        <w:t xml:space="preserve">Referencia v9: Comprar (baja), ponderada +11,0 %, base +14,0 %, bajista −42,9 %, compra hasta 632,2 SEK (v9 usa las ventas de la regla mecánica, 131.657 M en el base, y v11 las del informe, 128.000 M, la cifra más baja de las dos).</w:t>
      </w:r>
      <w:r>
        <w:t xml:space="preserve"> </w:t>
      </w:r>
      <w:r>
        <w:rPr>
          <w:bCs/>
          <w:b/>
        </w:rPr>
        <w:t xml:space="preserve">Al precio actual</w:t>
      </w:r>
      <w:r>
        <w:t xml:space="preserve"> </w:t>
      </w:r>
      <w:r>
        <w:t xml:space="preserve">(610,50 SEK, cierre del 14-oct, 15:29 UTC; objetivo del informe fijo): ponderada</w:t>
      </w:r>
      <w:r>
        <w:t xml:space="preserve"> </w:t>
      </w:r>
      <w:r>
        <w:rPr>
          <w:bCs/>
          <w:b/>
        </w:rPr>
        <w:t xml:space="preserve">+6,0 %</w:t>
      </w:r>
      <w:r>
        <w:t xml:space="preserve">, base +8,6 %, bajista −44,0 %. Sigue por debajo del «compra hasta» (616,3), pero solo un 1 % por debajo.</w:t>
      </w:r>
      <w:r>
        <w:t xml:space="preserve"> </w:t>
      </w:r>
      <w:r>
        <w:t xml:space="preserve">Alertas de robustez: 1 (exceso sobre la guía de 11,6 pp; ver sección 11). Pruebas de</w:t>
      </w:r>
      <w:r>
        <w:t xml:space="preserve"> </w:t>
      </w:r>
      <w:r>
        <w:rPr>
          <w:rStyle w:val="VerbatimChar"/>
        </w:rPr>
        <w:t xml:space="preserve">robustez-growth</w:t>
      </w:r>
      <w:r>
        <w:t xml:space="preserve">:</w:t>
      </w:r>
      <w:r>
        <w:t xml:space="preserve"> </w:t>
      </w:r>
      <w:r>
        <w:rPr>
          <w:bCs/>
          <w:b/>
        </w:rPr>
        <w:t xml:space="preserve">SÓLIDA</w:t>
      </w:r>
      <w:r>
        <w:t xml:space="preserve"> </w:t>
      </w:r>
      <w:r>
        <w:t xml:space="preserve">(Comprar en v11, v7, con ventas del analista y con 25/50/25; Mantener solo con probabilidades 35/50/15).</w:t>
      </w:r>
    </w:p>
    <w:bookmarkStart w:id="20" w:name="la-tesis-en-cinco-líneas"/>
    <w:p>
      <w:pPr>
        <w:pStyle w:val="Heading2"/>
      </w:pPr>
      <w:r>
        <w:t xml:space="preserve">1. La tesis en cinco líneas</w:t>
      </w:r>
    </w:p>
    <w:p>
      <w:pPr>
        <w:numPr>
          <w:ilvl w:val="0"/>
          <w:numId w:val="1001"/>
        </w:numPr>
        <w:pStyle w:val="Compact"/>
      </w:pPr>
      <w:r>
        <w:t xml:space="preserve">Saab es la otra gran ganadora del rearme europeo, junto con Rheinmetall. Crece un 26 % en 12 meses (orgánico +29,8 % en el 2T26), con una cartera récord de 317.700 M SEK, 3,6 años de ventas, y un 76 % de esa cartera es exportación [1].</w:t>
      </w:r>
    </w:p>
    <w:p>
      <w:pPr>
        <w:numPr>
          <w:ilvl w:val="0"/>
          <w:numId w:val="1001"/>
        </w:numPr>
        <w:pStyle w:val="Compact"/>
      </w:pPr>
      <w:r>
        <w:t xml:space="preserve">A diferencia de Rheinmetall,</w:t>
      </w:r>
      <w:r>
        <w:t xml:space="preserve"> </w:t>
      </w:r>
      <w:r>
        <w:rPr>
          <w:bCs/>
          <w:b/>
        </w:rPr>
        <w:t xml:space="preserve">ejecuta sin sobresaltos</w:t>
      </w:r>
      <w:r>
        <w:t xml:space="preserve">. Ha batido sus guías cada año (en 2025 guió +12-16 % y creció +25,6 %), ha subido el objetivo a medio plazo tres veces (10 → 18 → 22 %), el margen operativo sube cada año (9,6 → 10,6 % en el semestre) y el FCF es positivo y crece. Tiene caja neta [1][3][5].</w:t>
      </w:r>
    </w:p>
    <w:p>
      <w:pPr>
        <w:numPr>
          <w:ilvl w:val="0"/>
          <w:numId w:val="1001"/>
        </w:numPr>
        <w:pStyle w:val="Compact"/>
      </w:pPr>
      <w:r>
        <w:t xml:space="preserve">Es cara para ser una empresa de defensa (20,3x EV/EBITDA y 34x el beneficio de 2027, frente a 11x y 19x de Rheinmetall, BAE o Thales). Aun así está</w:t>
      </w:r>
      <w:r>
        <w:t xml:space="preserve"> </w:t>
      </w:r>
      <w:r>
        <w:rPr>
          <w:bCs/>
          <w:b/>
        </w:rPr>
        <w:t xml:space="preserve">en línea con su propia historia</w:t>
      </w:r>
      <w:r>
        <w:t xml:space="preserve"> </w:t>
      </w:r>
      <w:r>
        <w:t xml:space="preserve">(mediana de 3 años ~18,7x) y el DCF inverso solo descuenta un ~14 % anual a 10 años, por debajo del 20 % que implica su objetivo [7][8][15].</w:t>
      </w:r>
    </w:p>
    <w:p>
      <w:pPr>
        <w:numPr>
          <w:ilvl w:val="0"/>
          <w:numId w:val="1001"/>
        </w:numPr>
        <w:pStyle w:val="Compact"/>
      </w:pPr>
      <w:r>
        <w:t xml:space="preserve">El método da</w:t>
      </w:r>
      <w:r>
        <w:t xml:space="preserve"> </w:t>
      </w:r>
      <w:r>
        <w:rPr>
          <w:bCs/>
          <w:b/>
        </w:rPr>
        <w:t xml:space="preserve">Comprar con convicción baja, y por poco</w:t>
      </w:r>
      <w:r>
        <w:t xml:space="preserve">: ponderada +8,2 % (listón 5 %), base +10,9 % y bajista −43 % (listón −50 %). La puntuación es 63,3 (listón 60) y la tendencia todavía no ha girado del todo (2 de 8 señales, precio justo en la media de 200 sesiones).</w:t>
      </w:r>
    </w:p>
    <w:p>
      <w:pPr>
        <w:numPr>
          <w:ilvl w:val="0"/>
          <w:numId w:val="1001"/>
        </w:numPr>
        <w:pStyle w:val="Compact"/>
      </w:pPr>
      <w:r>
        <w:t xml:space="preserve">Conclusión: buena empresa, con un precio razonable para lo que crece, pero sin margen de seguridad. No sustituye a ninguna de las cinco growth en cartera; queda</w:t>
      </w:r>
      <w:r>
        <w:t xml:space="preserve"> </w:t>
      </w:r>
      <w:r>
        <w:rPr>
          <w:bCs/>
          <w:b/>
        </w:rPr>
        <w:t xml:space="preserve">8.ª suplente</w:t>
      </w:r>
      <w:r>
        <w:t xml:space="preserve"> </w:t>
      </w:r>
      <w:r>
        <w:t xml:space="preserve">y sería la única de defensa y de Europa del bolsillo.</w:t>
      </w:r>
    </w:p>
    <w:bookmarkEnd w:id="20"/>
    <w:bookmarkStart w:id="21" w:name="negocio-y-tecnología"/>
    <w:p>
      <w:pPr>
        <w:pStyle w:val="Heading2"/>
      </w:pPr>
      <w:r>
        <w:t xml:space="preserve">2. Negocio y tecnología</w:t>
      </w:r>
    </w:p>
    <w:p>
      <w:pPr>
        <w:pStyle w:val="FirstParagraph"/>
      </w:pPr>
      <w:r>
        <w:t xml:space="preserve">Saab (Linköping, Suecia; controlada por Investor, de la familia Wallenberg, con un 30,2 % del capital y un 39,9 % de los votos) vende sistemas de defensa a través de cinco áreas tras la reorganización del 2T26 [1]:</w:t>
      </w:r>
      <w:r>
        <w:t xml:space="preserve"> </w:t>
      </w:r>
      <w:r>
        <w:t xml:space="preserve">-</w:t>
      </w:r>
      <w:r>
        <w:t xml:space="preserve"> </w:t>
      </w:r>
      <w:r>
        <w:rPr>
          <w:bCs/>
          <w:b/>
        </w:rPr>
        <w:t xml:space="preserve">Aeronautics</w:t>
      </w:r>
      <w:r>
        <w:t xml:space="preserve">: caza Gripen E/F (Suecia, Brasil, Hungría; nuevos contratos con Colombia y Ucrania, con 16 Gripen E por 24.600 M SEK) y entrenadores (T-7 con Boeing). Ventas +31 % en el 2T26.</w:t>
      </w:r>
      <w:r>
        <w:t xml:space="preserve"> </w:t>
      </w:r>
      <w:r>
        <w:t xml:space="preserve">-</w:t>
      </w:r>
      <w:r>
        <w:t xml:space="preserve"> </w:t>
      </w:r>
      <w:r>
        <w:rPr>
          <w:bCs/>
          <w:b/>
        </w:rPr>
        <w:t xml:space="preserve">Dynamics</w:t>
      </w:r>
      <w:r>
        <w:t xml:space="preserve">: armas ligeras (Carl-Gustaf, AT4, NLAW), misiles (RBS 70 NG, defensa aérea de corto alcance, Nimbrix contra drones) y torpedos. +36 % y resultado operativo trimestral récord.</w:t>
      </w:r>
      <w:r>
        <w:t xml:space="preserve"> </w:t>
      </w:r>
      <w:r>
        <w:t xml:space="preserve">-</w:t>
      </w:r>
      <w:r>
        <w:t xml:space="preserve"> </w:t>
      </w:r>
      <w:r>
        <w:rPr>
          <w:bCs/>
          <w:b/>
        </w:rPr>
        <w:t xml:space="preserve">Surveillance</w:t>
      </w:r>
      <w:r>
        <w:t xml:space="preserve">: radares (Giraffe, Arthur), guerra electrónica y el avión de alerta temprana</w:t>
      </w:r>
      <w:r>
        <w:t xml:space="preserve"> </w:t>
      </w:r>
      <w:r>
        <w:rPr>
          <w:bCs/>
          <w:b/>
        </w:rPr>
        <w:t xml:space="preserve">GlobalEye</w:t>
      </w:r>
      <w:r>
        <w:t xml:space="preserve">. +47 % en el 2T26. La OTAN lo ha elegido (hasta 10 aviones) y Canadá y Países Bajos están en negociación.</w:t>
      </w:r>
      <w:r>
        <w:t xml:space="preserve"> </w:t>
      </w:r>
      <w:r>
        <w:t xml:space="preserve">-</w:t>
      </w:r>
      <w:r>
        <w:t xml:space="preserve"> </w:t>
      </w:r>
      <w:r>
        <w:rPr>
          <w:bCs/>
          <w:b/>
        </w:rPr>
        <w:t xml:space="preserve">Naval</w:t>
      </w:r>
      <w:r>
        <w:t xml:space="preserve"> </w:t>
      </w:r>
      <w:r>
        <w:t xml:space="preserve">(nueva): submarinos A26 (con Polonia, 3 unidades por 47.000 M SEK, el mayor pedido de exportación de su historia), buques y sistemas de combate naval. +9 %.</w:t>
      </w:r>
      <w:r>
        <w:t xml:space="preserve"> </w:t>
      </w:r>
      <w:r>
        <w:t xml:space="preserve">-</w:t>
      </w:r>
      <w:r>
        <w:t xml:space="preserve"> </w:t>
      </w:r>
      <w:r>
        <w:rPr>
          <w:bCs/>
          <w:b/>
        </w:rPr>
        <w:t xml:space="preserve">Combitech</w:t>
      </w:r>
      <w:r>
        <w:t xml:space="preserve"> </w:t>
      </w:r>
      <w:r>
        <w:t xml:space="preserve">(consultoría y ciberseguridad) y las participaciones, entre ellas</w:t>
      </w:r>
      <w:r>
        <w:t xml:space="preserve"> </w:t>
      </w:r>
      <w:r>
        <w:rPr>
          <w:bCs/>
          <w:b/>
        </w:rPr>
        <w:t xml:space="preserve">Helsing</w:t>
      </w:r>
      <w:r>
        <w:t xml:space="preserve"> </w:t>
      </w:r>
      <w:r>
        <w:t xml:space="preserve">(IA para defensa, 8.532 M de inversiones financieras tras revalorizarla) [1].</w:t>
      </w:r>
    </w:p>
    <w:p>
      <w:pPr>
        <w:pStyle w:val="BodyText"/>
      </w:pPr>
      <w:r>
        <w:t xml:space="preserve">Qué tiene de nuevo: es de las pocas empresas del mundo que hacen a la vez un caza, un avión de alerta temprana y submarinos, y lo hace a un coste por hora de vuelo muy inferior al de sus rivales estadounidenses. Invierte en autonomía (alerta temprana sin piloto con General Atomics, Combat Boat 90 no tripulada) y en sistemas antidrón baratos [1][13].</w:t>
      </w:r>
      <w:r>
        <w:t xml:space="preserve"> </w:t>
      </w:r>
      <w:r>
        <w:rPr>
          <w:bCs/>
          <w:b/>
        </w:rPr>
        <w:t xml:space="preserve">Tecnología 4/5</w:t>
      </w:r>
      <w:r>
        <w:t xml:space="preserve">: propia y difícil de replicar en 3 años en caza y en alerta temprana; en armas ligeras y radares hay alternativas.</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Periodo</w:t>
            </w:r>
          </w:p>
        </w:tc>
        <w:tc>
          <w:tcPr/>
          <w:p>
            <w:pPr>
              <w:pStyle w:val="Compact"/>
              <w:jc w:val="left"/>
            </w:pPr>
            <w:r>
              <w:t xml:space="preserve">Ventas (M SEK)</w:t>
            </w:r>
          </w:p>
        </w:tc>
        <w:tc>
          <w:tcPr/>
          <w:p>
            <w:pPr>
              <w:pStyle w:val="Compact"/>
              <w:jc w:val="left"/>
            </w:pPr>
            <w:r>
              <w:t xml:space="preserve">Crec. interanual (orgánico)</w:t>
            </w:r>
          </w:p>
        </w:tc>
        <w:tc>
          <w:tcPr/>
          <w:p>
            <w:pPr>
              <w:pStyle w:val="Compact"/>
              <w:jc w:val="left"/>
            </w:pPr>
            <w:r>
              <w:t xml:space="preserve">Margen operativo</w:t>
            </w:r>
          </w:p>
        </w:tc>
        <w:tc>
          <w:tcPr/>
          <w:p>
            <w:pPr>
              <w:pStyle w:val="Compact"/>
              <w:jc w:val="left"/>
            </w:pPr>
            <w:r>
              <w:t xml:space="preserve">Fuente</w:t>
            </w:r>
          </w:p>
        </w:tc>
      </w:tr>
      <w:tr>
        <w:tc>
          <w:tcPr/>
          <w:p>
            <w:pPr>
              <w:pStyle w:val="Compact"/>
              <w:jc w:val="left"/>
            </w:pPr>
            <w:r>
              <w:t xml:space="preserve">2023</w:t>
            </w:r>
          </w:p>
        </w:tc>
        <w:tc>
          <w:tcPr/>
          <w:p>
            <w:pPr>
              <w:pStyle w:val="Compact"/>
              <w:jc w:val="left"/>
            </w:pPr>
            <w:r>
              <w:t xml:space="preserve">51.609</w:t>
            </w:r>
          </w:p>
        </w:tc>
        <w:tc>
          <w:tcPr/>
          <w:p>
            <w:pPr>
              <w:pStyle w:val="Compact"/>
              <w:jc w:val="left"/>
            </w:pPr>
            <w:r>
              <w:t xml:space="preserve">+23 %</w:t>
            </w:r>
          </w:p>
        </w:tc>
        <w:tc>
          <w:tcPr/>
          <w:p>
            <w:pPr>
              <w:pStyle w:val="Compact"/>
              <w:jc w:val="left"/>
            </w:pPr>
            <w:r>
              <w:t xml:space="preserve">8,3 %</w:t>
            </w:r>
          </w:p>
        </w:tc>
        <w:tc>
          <w:tcPr/>
          <w:p>
            <w:pPr>
              <w:pStyle w:val="Compact"/>
              <w:jc w:val="left"/>
            </w:pPr>
            <w:r>
              <w:t xml:space="preserve">[7]</w:t>
            </w:r>
          </w:p>
        </w:tc>
      </w:tr>
      <w:tr>
        <w:tc>
          <w:tcPr/>
          <w:p>
            <w:pPr>
              <w:pStyle w:val="Compact"/>
              <w:jc w:val="left"/>
            </w:pPr>
            <w:r>
              <w:t xml:space="preserve">2024</w:t>
            </w:r>
          </w:p>
        </w:tc>
        <w:tc>
          <w:tcPr/>
          <w:p>
            <w:pPr>
              <w:pStyle w:val="Compact"/>
              <w:jc w:val="left"/>
            </w:pPr>
            <w:r>
              <w:t xml:space="preserve">63.751</w:t>
            </w:r>
          </w:p>
        </w:tc>
        <w:tc>
          <w:tcPr/>
          <w:p>
            <w:pPr>
              <w:pStyle w:val="Compact"/>
              <w:jc w:val="left"/>
            </w:pPr>
            <w:r>
              <w:t xml:space="preserve">+23,5 %</w:t>
            </w:r>
          </w:p>
        </w:tc>
        <w:tc>
          <w:tcPr/>
          <w:p>
            <w:pPr>
              <w:pStyle w:val="Compact"/>
              <w:jc w:val="left"/>
            </w:pPr>
            <w:r>
              <w:t xml:space="preserve">8,9 %</w:t>
            </w:r>
          </w:p>
        </w:tc>
        <w:tc>
          <w:tcPr/>
          <w:p>
            <w:pPr>
              <w:pStyle w:val="Compact"/>
              <w:jc w:val="left"/>
            </w:pPr>
            <w:r>
              <w:t xml:space="preserve">[7]</w:t>
            </w:r>
          </w:p>
        </w:tc>
      </w:tr>
      <w:tr>
        <w:tc>
          <w:tcPr/>
          <w:p>
            <w:pPr>
              <w:pStyle w:val="Compact"/>
              <w:jc w:val="left"/>
            </w:pPr>
            <w:r>
              <w:t xml:space="preserve">2025</w:t>
            </w:r>
          </w:p>
        </w:tc>
        <w:tc>
          <w:tcPr/>
          <w:p>
            <w:pPr>
              <w:pStyle w:val="Compact"/>
              <w:jc w:val="left"/>
            </w:pPr>
            <w:r>
              <w:t xml:space="preserve">79.146</w:t>
            </w:r>
          </w:p>
        </w:tc>
        <w:tc>
          <w:tcPr/>
          <w:p>
            <w:pPr>
              <w:pStyle w:val="Compact"/>
              <w:jc w:val="left"/>
            </w:pPr>
            <w:r>
              <w:t xml:space="preserve">+24,1 % (+25,6 %)</w:t>
            </w:r>
          </w:p>
        </w:tc>
        <w:tc>
          <w:tcPr/>
          <w:p>
            <w:pPr>
              <w:pStyle w:val="Compact"/>
              <w:jc w:val="left"/>
            </w:pPr>
            <w:r>
              <w:t xml:space="preserve">10,2 %</w:t>
            </w:r>
          </w:p>
        </w:tc>
        <w:tc>
          <w:tcPr/>
          <w:p>
            <w:pPr>
              <w:pStyle w:val="Compact"/>
              <w:jc w:val="left"/>
            </w:pPr>
            <w:r>
              <w:t xml:space="preserve">[1]</w:t>
            </w:r>
          </w:p>
        </w:tc>
      </w:tr>
      <w:tr>
        <w:tc>
          <w:tcPr/>
          <w:p>
            <w:pPr>
              <w:pStyle w:val="Compact"/>
              <w:jc w:val="left"/>
            </w:pPr>
            <w:r>
              <w:t xml:space="preserve">3T25</w:t>
            </w:r>
          </w:p>
        </w:tc>
        <w:tc>
          <w:tcPr/>
          <w:p>
            <w:pPr>
              <w:pStyle w:val="Compact"/>
              <w:jc w:val="left"/>
            </w:pPr>
            <w:r>
              <w:t xml:space="preserve">15.871</w:t>
            </w:r>
          </w:p>
        </w:tc>
        <w:tc>
          <w:tcPr/>
          <w:p>
            <w:pPr>
              <w:pStyle w:val="Compact"/>
              <w:jc w:val="left"/>
            </w:pPr>
            <w:r>
              <w:t xml:space="preserve">+17,2 %</w:t>
            </w:r>
          </w:p>
        </w:tc>
        <w:tc>
          <w:tcPr/>
          <w:p>
            <w:pPr>
              <w:pStyle w:val="Compact"/>
              <w:jc w:val="left"/>
            </w:pPr>
            <w:r>
              <w:t xml:space="preserve">8,7 %</w:t>
            </w:r>
          </w:p>
        </w:tc>
        <w:tc>
          <w:tcPr/>
          <w:p>
            <w:pPr>
              <w:pStyle w:val="Compact"/>
              <w:jc w:val="left"/>
            </w:pPr>
            <w:r>
              <w:t xml:space="preserve">[1]</w:t>
            </w:r>
          </w:p>
        </w:tc>
      </w:tr>
      <w:tr>
        <w:tc>
          <w:tcPr/>
          <w:p>
            <w:pPr>
              <w:pStyle w:val="Compact"/>
              <w:jc w:val="left"/>
            </w:pPr>
            <w:r>
              <w:t xml:space="preserve">4T25</w:t>
            </w:r>
          </w:p>
        </w:tc>
        <w:tc>
          <w:tcPr/>
          <w:p>
            <w:pPr>
              <w:pStyle w:val="Compact"/>
              <w:jc w:val="left"/>
            </w:pPr>
            <w:r>
              <w:t xml:space="preserve">27.697</w:t>
            </w:r>
          </w:p>
        </w:tc>
        <w:tc>
          <w:tcPr/>
          <w:p>
            <w:pPr>
              <w:pStyle w:val="Compact"/>
              <w:jc w:val="left"/>
            </w:pPr>
            <w:r>
              <w:t xml:space="preserve">+32,8 % (+34,5 %)</w:t>
            </w:r>
          </w:p>
        </w:tc>
        <w:tc>
          <w:tcPr/>
          <w:p>
            <w:pPr>
              <w:pStyle w:val="Compact"/>
              <w:jc w:val="left"/>
            </w:pPr>
            <w:r>
              <w:t xml:space="preserve">11,8 %</w:t>
            </w:r>
          </w:p>
        </w:tc>
        <w:tc>
          <w:tcPr/>
          <w:p>
            <w:pPr>
              <w:pStyle w:val="Compact"/>
              <w:jc w:val="left"/>
            </w:pPr>
            <w:r>
              <w:t xml:space="preserve">[1][3]</w:t>
            </w:r>
          </w:p>
        </w:tc>
      </w:tr>
      <w:tr>
        <w:tc>
          <w:tcPr/>
          <w:p>
            <w:pPr>
              <w:pStyle w:val="Compact"/>
              <w:jc w:val="left"/>
            </w:pPr>
            <w:r>
              <w:t xml:space="preserve">1T26</w:t>
            </w:r>
          </w:p>
        </w:tc>
        <w:tc>
          <w:tcPr/>
          <w:p>
            <w:pPr>
              <w:pStyle w:val="Compact"/>
              <w:jc w:val="left"/>
            </w:pPr>
            <w:r>
              <w:t xml:space="preserve">19.164</w:t>
            </w:r>
          </w:p>
        </w:tc>
        <w:tc>
          <w:tcPr/>
          <w:p>
            <w:pPr>
              <w:pStyle w:val="Compact"/>
              <w:jc w:val="left"/>
            </w:pPr>
            <w:r>
              <w:t xml:space="preserve">+21,4 % (+23,6 %)</w:t>
            </w:r>
          </w:p>
        </w:tc>
        <w:tc>
          <w:tcPr/>
          <w:p>
            <w:pPr>
              <w:pStyle w:val="Compact"/>
              <w:jc w:val="left"/>
            </w:pPr>
            <w:r>
              <w:t xml:space="preserve">10,0 %</w:t>
            </w:r>
          </w:p>
        </w:tc>
        <w:tc>
          <w:tcPr/>
          <w:p>
            <w:pPr>
              <w:pStyle w:val="Compact"/>
              <w:jc w:val="left"/>
            </w:pPr>
            <w:r>
              <w:t xml:space="preserve">[1]</w:t>
            </w:r>
          </w:p>
        </w:tc>
      </w:tr>
      <w:tr>
        <w:tc>
          <w:tcPr/>
          <w:p>
            <w:pPr>
              <w:pStyle w:val="Compact"/>
              <w:jc w:val="left"/>
            </w:pPr>
            <w:r>
              <w:t xml:space="preserve">2T26</w:t>
            </w:r>
          </w:p>
        </w:tc>
        <w:tc>
          <w:tcPr/>
          <w:p>
            <w:pPr>
              <w:pStyle w:val="Compact"/>
              <w:jc w:val="left"/>
            </w:pPr>
            <w:r>
              <w:t xml:space="preserve">25.453</w:t>
            </w:r>
          </w:p>
        </w:tc>
        <w:tc>
          <w:tcPr/>
          <w:p>
            <w:pPr>
              <w:pStyle w:val="Compact"/>
              <w:jc w:val="left"/>
            </w:pPr>
            <w:r>
              <w:t xml:space="preserve">+28,6 % (+29,8 %)</w:t>
            </w:r>
          </w:p>
        </w:tc>
        <w:tc>
          <w:tcPr/>
          <w:p>
            <w:pPr>
              <w:pStyle w:val="Compact"/>
              <w:jc w:val="left"/>
            </w:pPr>
            <w:r>
              <w:t xml:space="preserve">11,0 %</w:t>
            </w:r>
          </w:p>
        </w:tc>
        <w:tc>
          <w:tcPr/>
          <w:p>
            <w:pPr>
              <w:pStyle w:val="Compact"/>
              <w:jc w:val="left"/>
            </w:pPr>
            <w:r>
              <w:t xml:space="preserve">[1]</w:t>
            </w:r>
          </w:p>
        </w:tc>
      </w:tr>
      <w:tr>
        <w:tc>
          <w:tcPr/>
          <w:p>
            <w:pPr>
              <w:pStyle w:val="Compact"/>
              <w:jc w:val="left"/>
            </w:pPr>
            <w:r>
              <w:t xml:space="preserve">Últimos 12 meses (jul-25 a jun-26)</w:t>
            </w:r>
          </w:p>
        </w:tc>
        <w:tc>
          <w:tcPr/>
          <w:p>
            <w:pPr>
              <w:pStyle w:val="Compact"/>
              <w:jc w:val="left"/>
            </w:pPr>
            <w:r>
              <w:t xml:space="preserve">88.185</w:t>
            </w:r>
          </w:p>
        </w:tc>
        <w:tc>
          <w:tcPr/>
          <w:p>
            <w:pPr>
              <w:pStyle w:val="Compact"/>
              <w:jc w:val="left"/>
            </w:pPr>
            <w:r>
              <w:t xml:space="preserve">+26,0 %</w:t>
            </w:r>
          </w:p>
        </w:tc>
        <w:tc>
          <w:tcPr/>
          <w:p>
            <w:pPr>
              <w:pStyle w:val="Compact"/>
              <w:jc w:val="left"/>
            </w:pPr>
            <w:r>
              <w:t xml:space="preserve">10,6 %</w:t>
            </w:r>
          </w:p>
        </w:tc>
        <w:tc>
          <w:tcPr/>
          <w:p>
            <w:pPr>
              <w:pStyle w:val="Compact"/>
              <w:jc w:val="left"/>
            </w:pPr>
            <w:r>
              <w:t xml:space="preserve">cálculo [1]</w:t>
            </w:r>
          </w:p>
        </w:tc>
      </w:tr>
      <w:tr>
        <w:tc>
          <w:tcPr/>
          <w:p>
            <w:pPr>
              <w:pStyle w:val="Compact"/>
              <w:jc w:val="left"/>
            </w:pPr>
            <w:r>
              <w:t xml:space="preserve">2026 consenso</w:t>
            </w:r>
          </w:p>
        </w:tc>
        <w:tc>
          <w:tcPr/>
          <w:p>
            <w:pPr>
              <w:pStyle w:val="Compact"/>
              <w:jc w:val="left"/>
            </w:pPr>
            <w:r>
              <w:t xml:space="preserve">97.930</w:t>
            </w:r>
          </w:p>
        </w:tc>
        <w:tc>
          <w:tcPr/>
          <w:p>
            <w:pPr>
              <w:pStyle w:val="Compact"/>
              <w:jc w:val="left"/>
            </w:pPr>
            <w:r>
              <w:t xml:space="preserve">+23,7 %</w:t>
            </w:r>
          </w:p>
        </w:tc>
        <w:tc>
          <w:tcPr/>
          <w:p>
            <w:pPr>
              <w:pStyle w:val="Compact"/>
              <w:jc w:val="left"/>
            </w:pPr>
            <w:r>
              <w:t xml:space="preserve">10,8 %</w:t>
            </w:r>
          </w:p>
        </w:tc>
        <w:tc>
          <w:tcPr/>
          <w:p>
            <w:pPr>
              <w:pStyle w:val="Compact"/>
              <w:jc w:val="left"/>
            </w:pPr>
            <w:r>
              <w:t xml:space="preserve">[7]</w:t>
            </w:r>
          </w:p>
        </w:tc>
      </w:tr>
      <w:tr>
        <w:tc>
          <w:tcPr/>
          <w:p>
            <w:pPr>
              <w:pStyle w:val="Compact"/>
              <w:jc w:val="left"/>
            </w:pPr>
            <w:r>
              <w:t xml:space="preserve">2027 consenso</w:t>
            </w:r>
          </w:p>
        </w:tc>
        <w:tc>
          <w:tcPr/>
          <w:p>
            <w:pPr>
              <w:pStyle w:val="Compact"/>
              <w:jc w:val="left"/>
            </w:pPr>
            <w:r>
              <w:t xml:space="preserve">119.098</w:t>
            </w:r>
          </w:p>
        </w:tc>
        <w:tc>
          <w:tcPr/>
          <w:p>
            <w:pPr>
              <w:pStyle w:val="Compact"/>
              <w:jc w:val="left"/>
            </w:pPr>
            <w:r>
              <w:t xml:space="preserve">+21,6 %</w:t>
            </w:r>
          </w:p>
        </w:tc>
        <w:tc>
          <w:tcPr/>
          <w:p>
            <w:pPr>
              <w:pStyle w:val="Compact"/>
              <w:jc w:val="left"/>
            </w:pPr>
            <w:r>
              <w:t xml:space="preserve">11,2 %</w:t>
            </w:r>
          </w:p>
        </w:tc>
        <w:tc>
          <w:tcPr/>
          <w:p>
            <w:pPr>
              <w:pStyle w:val="Compact"/>
              <w:jc w:val="left"/>
            </w:pPr>
            <w:r>
              <w:t xml:space="preserve">[7]</w:t>
            </w:r>
          </w:p>
        </w:tc>
      </w:tr>
      <w:tr>
        <w:tc>
          <w:tcPr/>
          <w:p>
            <w:pPr>
              <w:pStyle w:val="Compact"/>
              <w:jc w:val="left"/>
            </w:pPr>
            <w:r>
              <w:t xml:space="preserve">Ventana objetivo (12 m a jun-2028), consenso</w:t>
            </w:r>
          </w:p>
        </w:tc>
        <w:tc>
          <w:tcPr/>
          <w:p>
            <w:pPr>
              <w:pStyle w:val="Compact"/>
              <w:jc w:val="left"/>
            </w:pPr>
            <w:r>
              <w:t xml:space="preserve">~128.500</w:t>
            </w:r>
          </w:p>
        </w:tc>
        <w:tc>
          <w:tcPr/>
          <w:p>
            <w:pPr>
              <w:pStyle w:val="Compact"/>
              <w:jc w:val="left"/>
            </w:pPr>
            <w:r>
              <w:t xml:space="preserve">+19 % sobre los 12 m a jun-2027</w:t>
            </w:r>
          </w:p>
        </w:tc>
        <w:tc>
          <w:tcPr/>
          <w:p>
            <w:pPr>
              <w:pStyle w:val="Compact"/>
              <w:jc w:val="left"/>
            </w:pPr>
            <w:r>
              <w:t xml:space="preserve">—</w:t>
            </w:r>
          </w:p>
        </w:tc>
        <w:tc>
          <w:tcPr/>
          <w:p>
            <w:pPr>
              <w:pStyle w:val="Compact"/>
              <w:jc w:val="left"/>
            </w:pPr>
            <w:r>
              <w:t xml:space="preserve">cálculo [7]</w:t>
            </w:r>
          </w:p>
        </w:tc>
      </w:tr>
    </w:tbl>
    <w:p>
      <w:pPr>
        <w:numPr>
          <w:ilvl w:val="0"/>
          <w:numId w:val="1002"/>
        </w:numPr>
        <w:pStyle w:val="Compact"/>
      </w:pPr>
      <w:r>
        <w:rPr>
          <w:bCs/>
          <w:b/>
        </w:rPr>
        <w:t xml:space="preserve">Aceleración +3,2 pp</w:t>
      </w:r>
      <w:r>
        <w:t xml:space="preserve">: el 2T26 (+28,6 %) frente a la media de los cuatro trimestres anteriores (+25,5 %). Los trimestres son irregulares (el 4T concentra entregas), así que el dato se lee con cautela.</w:t>
      </w:r>
    </w:p>
    <w:p>
      <w:pPr>
        <w:numPr>
          <w:ilvl w:val="0"/>
          <w:numId w:val="1002"/>
        </w:numPr>
        <w:pStyle w:val="Compact"/>
      </w:pPr>
      <w:r>
        <w:rPr>
          <w:bCs/>
          <w:b/>
        </w:rPr>
        <w:t xml:space="preserve">CAGR propio a 2 años: 20,7 %</w:t>
      </w:r>
      <w:r>
        <w:t xml:space="preserve"> </w:t>
      </w:r>
      <w:r>
        <w:t xml:space="preserve">(de 88.185 M a ~128.500 M en la misma ventana; es el consenso, no lo supera).</w:t>
      </w:r>
    </w:p>
    <w:p>
      <w:pPr>
        <w:numPr>
          <w:ilvl w:val="0"/>
          <w:numId w:val="1002"/>
        </w:numPr>
        <w:pStyle w:val="Compact"/>
      </w:pPr>
      <w:r>
        <w:rPr>
          <w:bCs/>
          <w:b/>
        </w:rPr>
        <w:t xml:space="preserve">Retención neta</w:t>
      </w:r>
      <w:r>
        <w:t xml:space="preserve">: no aplica. La medida equivalente es la cartera de pedidos:</w:t>
      </w:r>
      <w:r>
        <w:t xml:space="preserve"> </w:t>
      </w:r>
      <w:r>
        <w:rPr>
          <w:bCs/>
          <w:b/>
        </w:rPr>
        <w:t xml:space="preserve">317.700 M SEK</w:t>
      </w:r>
      <w:r>
        <w:t xml:space="preserve"> </w:t>
      </w:r>
      <w:r>
        <w:t xml:space="preserve">(+61 % en un año), con 43.200 M a entregar en lo que queda de 2026, 88.700 M en 2027 y 66.300 M en 2028. La cartera ya cubre ~74 % del consenso de ventas de 2027 y ~47 % del de 2028 [1].</w:t>
      </w:r>
    </w:p>
    <w:p>
      <w:pPr>
        <w:numPr>
          <w:ilvl w:val="0"/>
          <w:numId w:val="1002"/>
        </w:numPr>
        <w:pStyle w:val="Compact"/>
      </w:pPr>
      <w:r>
        <w:rPr>
          <w:bCs/>
          <w:b/>
        </w:rPr>
        <w:t xml:space="preserve">Guía</w:t>
      </w:r>
      <w:r>
        <w:t xml:space="preserve">: Saab</w:t>
      </w:r>
      <w:r>
        <w:t xml:space="preserve"> </w:t>
      </w:r>
      <w:r>
        <w:rPr>
          <w:bCs/>
          <w:b/>
        </w:rPr>
        <w:t xml:space="preserve">no da guía para 2026</w:t>
      </w:r>
      <w:r>
        <w:t xml:space="preserve"> </w:t>
      </w:r>
      <w:r>
        <w:t xml:space="preserve">(«hemos decidido no dar una previsión específica para 2026», 5-feb-2026). Su objetivo 2023-2027 es crecer ~22 % anual compuesto; con 2023-2025 ya hechos, eso implica</w:t>
      </w:r>
      <w:r>
        <w:t xml:space="preserve"> </w:t>
      </w:r>
      <w:r>
        <w:rPr>
          <w:bCs/>
          <w:b/>
        </w:rPr>
        <w:t xml:space="preserve">~20 % anual en 2026-2027</w:t>
      </w:r>
      <w:r>
        <w:t xml:space="preserve"> </w:t>
      </w:r>
      <w:r>
        <w:t xml:space="preserve">[3]. En el JSON va como</w:t>
      </w:r>
      <w:r>
        <w:t xml:space="preserve"> </w:t>
      </w:r>
      <w:r>
        <w:rPr>
          <w:rStyle w:val="VerbatimChar"/>
        </w:rPr>
        <w:t xml:space="preserve">guia_12m_pct</w:t>
      </w:r>
      <w:r>
        <w:t xml:space="preserve"> </w:t>
      </w:r>
      <w:r>
        <w:t xml:space="preserve">20 y se dice. En la conferencia del 2T26 la dirección dijo que va por delante del objetivo y que lo revisará a fin de año [13]. El</w:t>
      </w:r>
      <w:r>
        <w:t xml:space="preserve"> </w:t>
      </w:r>
      <w:r>
        <w:rPr>
          <w:bCs/>
          <w:b/>
        </w:rPr>
        <w:t xml:space="preserve">exceso</w:t>
      </w:r>
      <w:r>
        <w:t xml:space="preserve"> </w:t>
      </w:r>
      <w:r>
        <w:t xml:space="preserve">sobre la guía es de +11,6 pp: en 2025 la primera guía fue del 12-16 % (luego 16-20 % y 20-24 %) y el crecimiento orgánico real fue del 25,6 % [5].</w:t>
      </w:r>
    </w:p>
    <w:bookmarkEnd w:id="22"/>
    <w:bookmarkStart w:id="23" w:name="mercado-y-competencia"/>
    <w:p>
      <w:pPr>
        <w:pStyle w:val="Heading2"/>
      </w:pPr>
      <w:r>
        <w:t xml:space="preserve">4. Mercado y competencia</w:t>
      </w:r>
    </w:p>
    <w:p>
      <w:pPr>
        <w:numPr>
          <w:ilvl w:val="0"/>
          <w:numId w:val="1003"/>
        </w:numPr>
        <w:pStyle w:val="Compact"/>
      </w:pPr>
      <w:r>
        <w:rPr>
          <w:bCs/>
          <w:b/>
        </w:rPr>
        <w:t xml:space="preserve">Mercado alcanzable 2028: ~1.300.000 M SEK (~115.000 M EUR)</w:t>
      </w:r>
      <w:r>
        <w:t xml:space="preserve">, estimación propia. Sale de la parte relevante para Saab (aire, sensores, misiles y defensa aérea, submarinos, mando y control) de la compra de equipo europea, que en 2028 será de ~150.000 M EUR (se toman ~75.000 M), más exportación fuera de Europa (Brasil, Colombia, Tailandia, India, Canadá, Australia; ~40.000 M EUR) [14].</w:t>
      </w:r>
      <w:r>
        <w:t xml:space="preserve"> </w:t>
      </w:r>
      <w:r>
        <w:rPr>
          <w:bCs/>
          <w:b/>
        </w:rPr>
        <w:t xml:space="preserve">Penetración 6,8 %.</w:t>
      </w:r>
    </w:p>
    <w:p>
      <w:pPr>
        <w:numPr>
          <w:ilvl w:val="0"/>
          <w:numId w:val="1003"/>
        </w:numPr>
        <w:pStyle w:val="Compact"/>
      </w:pPr>
      <w:r>
        <w:rPr>
          <w:bCs/>
          <w:b/>
        </w:rPr>
        <w:t xml:space="preserve">Posición 4/5</w:t>
      </w:r>
      <w:r>
        <w:t xml:space="preserve">: líder en su nicho de caza ligero exportable, alerta temprana con reactor de negocios (GlobalEye frente a E-7 de Boeing), armas ligeras antitanque y defensa aérea de muy corto alcance. Gana cuota: ventas fuera de Suecia +36 % en el semestre, con «resto de Europa» +55 % [1].</w:t>
      </w:r>
    </w:p>
    <w:p>
      <w:pPr>
        <w:numPr>
          <w:ilvl w:val="0"/>
          <w:numId w:val="1003"/>
        </w:numPr>
        <w:pStyle w:val="Compact"/>
      </w:pPr>
      <w:r>
        <w:rPr>
          <w:bCs/>
          <w:b/>
        </w:rPr>
        <w:t xml:space="preserve">Rivales</w:t>
      </w:r>
      <w:r>
        <w:t xml:space="preserve">: Lockheed Martin (F-16/F-35), Dassault (Rafale), Boeing (E-7), TKMS y Naval Group (submarinos), Rheinmetall y MBDA (defensa aérea, munición), Kongsberg (misiles), Hanwha y KAI (precio).</w:t>
      </w:r>
    </w:p>
    <w:p>
      <w:pPr>
        <w:numPr>
          <w:ilvl w:val="0"/>
          <w:numId w:val="1003"/>
        </w:numPr>
        <w:pStyle w:val="Compact"/>
      </w:pPr>
      <w:r>
        <w:rPr>
          <w:bCs/>
          <w:b/>
        </w:rPr>
        <w:t xml:space="preserve">Por qué gana</w:t>
      </w:r>
      <w:r>
        <w:t xml:space="preserve">: coste de ciclo de vida, transferencia de tecnología y producción local (Brasil con Embraer, acuerdo de jul-2026 para ampliar la producción de Gripen) y neutralidad política frente a la dependencia de EE. UU. [12].</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rPr>
                <w:bCs/>
                <w:b/>
              </w:rPr>
              <w:t xml:space="preserve">Sí</w:t>
            </w:r>
          </w:p>
        </w:tc>
        <w:tc>
          <w:tcPr/>
          <w:p>
            <w:pPr>
              <w:pStyle w:val="Compact"/>
              <w:jc w:val="left"/>
            </w:pPr>
            <w:r>
              <w:t xml:space="preserve">Consenso de ventas 2027: de ~115.400 M (julio) a 119.100 M; BPA 2026 de 14,8 a 14,99 SEK; Citi sube su objetivo de 527 a 628 SEK (23-sep). Pero el objetivo medio (~574-594 SEK) sigue por debajo del precio</w:t>
            </w:r>
          </w:p>
        </w:tc>
        <w:tc>
          <w:tcPr/>
          <w:p>
            <w:pPr>
              <w:pStyle w:val="Compact"/>
              <w:jc w:val="left"/>
            </w:pPr>
            <w:r>
              <w:t xml:space="preserve">[6][7]</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 (por poco)</w:t>
            </w:r>
          </w:p>
        </w:tc>
        <w:tc>
          <w:tcPr/>
          <w:p>
            <w:pPr>
              <w:pStyle w:val="Compact"/>
              <w:jc w:val="left"/>
            </w:pPr>
            <w:r>
              <w:t xml:space="preserve">598,10 SEK al cierre del 13-oct frente a una media de 605,5, que sube (592,3 hace un mes). El 14-oct cerró en 610,5, justo por encima</w:t>
            </w:r>
          </w:p>
        </w:tc>
        <w:tc>
          <w:tcPr/>
          <w:p>
            <w:pPr>
              <w:pStyle w:val="Compact"/>
              <w:jc w:val="left"/>
            </w:pPr>
            <w:r>
              <w:t xml:space="preserve">[2]</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−3,5 % frente a +4,5 % del OMX Stockholm PI (a 3 meses sí: +13,0 % frente a +2,9 %)</w:t>
            </w:r>
          </w:p>
        </w:tc>
        <w:tc>
          <w:tcPr/>
          <w:p>
            <w:pPr>
              <w:pStyle w:val="Compact"/>
              <w:jc w:val="left"/>
            </w:pPr>
            <w:r>
              <w:t xml:space="preserve">[2]</w:t>
            </w:r>
          </w:p>
        </w:tc>
      </w:tr>
      <w:tr>
        <w:tc>
          <w:tcPr/>
          <w:p>
            <w:pPr>
              <w:pStyle w:val="Compact"/>
              <w:jc w:val="left"/>
            </w:pPr>
            <w:r>
              <w:t xml:space="preserve">4</w:t>
            </w:r>
          </w:p>
        </w:tc>
        <w:tc>
          <w:tcPr/>
          <w:p>
            <w:pPr>
              <w:pStyle w:val="Compact"/>
              <w:jc w:val="left"/>
            </w:pPr>
            <w:r>
              <w:t xml:space="preserve">Mejora del múltiplo ≥ 20 %</w:t>
            </w:r>
          </w:p>
        </w:tc>
        <w:tc>
          <w:tcPr/>
          <w:p>
            <w:pPr>
              <w:pStyle w:val="Compact"/>
              <w:jc w:val="left"/>
            </w:pPr>
            <w:r>
              <w:t xml:space="preserve">No</w:t>
            </w:r>
          </w:p>
        </w:tc>
        <w:tc>
          <w:tcPr/>
          <w:p>
            <w:pPr>
              <w:pStyle w:val="Compact"/>
              <w:jc w:val="left"/>
            </w:pPr>
            <w:r>
              <w:t xml:space="preserve">EV/EBITDA de los 12 meses siguientes ~20,3x frente a un mínimo de 12 meses de ~16,3-17,5x (nov-2025 y jun-2026). Con la misma base en los dos lados, +16 %</w:t>
            </w:r>
          </w:p>
        </w:tc>
        <w:tc>
          <w:tcPr/>
          <w:p>
            <w:pPr>
              <w:pStyle w:val="Compact"/>
              <w:jc w:val="left"/>
            </w:pPr>
            <w:r>
              <w:t xml:space="preserve">[2][15]</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No</w:t>
            </w:r>
          </w:p>
        </w:tc>
        <w:tc>
          <w:tcPr/>
          <w:p>
            <w:pPr>
              <w:pStyle w:val="Compact"/>
              <w:jc w:val="left"/>
            </w:pPr>
            <w:r>
              <w:t xml:space="preserve">Margen operativo +1,0 pp en el 2T26 (11,0 %) y +1,0 pp en el semestre. Mejora continua, pero no llega a +5 pp</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Dividido. Muchos «sobrevalorada» en la prensa sueca (Handelsbanken 398 SEK; Inderes y ABG, Vender), frente a Morningstar (610 SEK, barata) y Citi. Rebote con el sector, sin giro claro</w:t>
            </w:r>
          </w:p>
        </w:tc>
        <w:tc>
          <w:tcPr/>
          <w:p>
            <w:pPr>
              <w:pStyle w:val="Compact"/>
              <w:jc w:val="left"/>
            </w:pPr>
            <w:r>
              <w:t xml:space="preserve">[8][9][10]</w:t>
            </w:r>
          </w:p>
        </w:tc>
      </w:tr>
      <w:tr>
        <w:tc>
          <w:tcPr/>
          <w:p>
            <w:pPr>
              <w:pStyle w:val="Compact"/>
              <w:jc w:val="left"/>
            </w:pPr>
            <w:r>
              <w:t xml:space="preserve">7</w:t>
            </w:r>
          </w:p>
        </w:tc>
        <w:tc>
          <w:tcPr/>
          <w:p>
            <w:pPr>
              <w:pStyle w:val="Compact"/>
              <w:jc w:val="left"/>
            </w:pPr>
            <w:r>
              <w:t xml:space="preserve">Compras de directivos o de inversores de referencia</w:t>
            </w:r>
          </w:p>
        </w:tc>
        <w:tc>
          <w:tcPr/>
          <w:p>
            <w:pPr>
              <w:pStyle w:val="Compact"/>
              <w:jc w:val="left"/>
            </w:pPr>
            <w:r>
              <w:t xml:space="preserve">No</w:t>
            </w:r>
          </w:p>
        </w:tc>
        <w:tc>
          <w:tcPr/>
          <w:p>
            <w:pPr>
              <w:pStyle w:val="Compact"/>
              <w:jc w:val="left"/>
            </w:pPr>
            <w:r>
              <w:t xml:space="preserve">En 2026 solo hay ventas para pagar impuestos del plan de incentivos (consejero delegado y vicepresidente, 18-feb). Investor mantiene su 30 %, sin entradas nuevas</w:t>
            </w:r>
          </w:p>
        </w:tc>
        <w:tc>
          <w:tcPr/>
          <w:p>
            <w:pPr>
              <w:pStyle w:val="Compact"/>
              <w:jc w:val="left"/>
            </w:pPr>
            <w:r>
              <w:t xml:space="preserve">[1][11]</w:t>
            </w:r>
          </w:p>
        </w:tc>
      </w:tr>
      <w:tr>
        <w:tc>
          <w:tcPr/>
          <w:p>
            <w:pPr>
              <w:pStyle w:val="Compact"/>
              <w:jc w:val="left"/>
            </w:pPr>
            <w:r>
              <w:t xml:space="preserve">8</w:t>
            </w:r>
          </w:p>
        </w:tc>
        <w:tc>
          <w:tcPr/>
          <w:p>
            <w:pPr>
              <w:pStyle w:val="Compact"/>
              <w:jc w:val="left"/>
            </w:pPr>
            <w:r>
              <w:t xml:space="preserve">Catalizador nuevo (6 meses)</w:t>
            </w:r>
          </w:p>
        </w:tc>
        <w:tc>
          <w:tcPr/>
          <w:p>
            <w:pPr>
              <w:pStyle w:val="Compact"/>
              <w:jc w:val="left"/>
            </w:pPr>
            <w:r>
              <w:rPr>
                <w:bCs/>
                <w:b/>
              </w:rPr>
              <w:t xml:space="preserve">Sí</w:t>
            </w:r>
          </w:p>
        </w:tc>
        <w:tc>
          <w:tcPr/>
          <w:p>
            <w:pPr>
              <w:pStyle w:val="Compact"/>
              <w:jc w:val="left"/>
            </w:pPr>
            <w:r>
              <w:t xml:space="preserve">Gripen para Ucrania (24.600 M), que se registra en el 3T. GlobalEye: OTAN (hasta 10), Países Bajos y Canadá. Resultados del 3T el 23-oct. Revisión de objetivos a fin de año</w:t>
            </w:r>
          </w:p>
        </w:tc>
        <w:tc>
          <w:tcPr/>
          <w:p>
            <w:pPr>
              <w:pStyle w:val="Compact"/>
              <w:jc w:val="left"/>
            </w:pPr>
            <w:r>
              <w:t xml:space="preserve">[1][12]</w:t>
            </w:r>
          </w:p>
        </w:tc>
      </w:tr>
    </w:tbl>
    <w:p>
      <w:pPr>
        <w:pStyle w:val="BodyText"/>
      </w:pPr>
      <w:r>
        <w:rPr>
          <w:bCs/>
          <w:b/>
        </w:rPr>
        <w:t xml:space="preserve">Euforia: no.</w:t>
      </w:r>
      <w:r>
        <w:t xml:space="preserve"> </w:t>
      </w:r>
      <w:r>
        <w:t xml:space="preserve">Sube un 16,3 % en 12 meses, pero está un 18 % bajo el máximo de enero (729,8 SEK), y el EV/beneficio bruto es de 13,6x. Bloque C: 5/20.</w:t>
      </w:r>
    </w:p>
    <w:bookmarkEnd w:id="24"/>
    <w:bookmarkStart w:id="25" w:name="X6a3ced9ea5ed5bb9ac58f5e7c1bb09ad4718b77"/>
    <w:p>
      <w:pPr>
        <w:pStyle w:val="Heading2"/>
      </w:pPr>
      <w:r>
        <w:t xml:space="preserve">6. Economía unitaria y camino a la rentabilidad</w:t>
      </w:r>
    </w:p>
    <w:p>
      <w:pPr>
        <w:numPr>
          <w:ilvl w:val="0"/>
          <w:numId w:val="1004"/>
        </w:numPr>
        <w:pStyle w:val="Compact"/>
      </w:pPr>
      <w:r>
        <w:rPr>
          <w:bCs/>
          <w:b/>
        </w:rPr>
        <w:t xml:space="preserve">Margen bruto ~22 %</w:t>
      </w:r>
      <w:r>
        <w:t xml:space="preserve"> </w:t>
      </w:r>
      <w:r>
        <w:t xml:space="preserve">(12 meses; récord del 22,6 % en el 2T26 por el mayor peso de Surveillance y Dynamics) [1]. Es de industria, no de software: puntúa 1/5. Por eso el método valora por EBITDA.</w:t>
      </w:r>
    </w:p>
    <w:p>
      <w:pPr>
        <w:numPr>
          <w:ilvl w:val="0"/>
          <w:numId w:val="1004"/>
        </w:numPr>
        <w:pStyle w:val="Compact"/>
      </w:pPr>
      <w:r>
        <w:rPr>
          <w:bCs/>
          <w:b/>
        </w:rPr>
        <w:t xml:space="preserve">Margen EBITDA 14,6 %</w:t>
      </w:r>
      <w:r>
        <w:t xml:space="preserve"> </w:t>
      </w:r>
      <w:r>
        <w:t xml:space="preserve">en 12 meses (14,8 % en el 2T26) y margen operativo 10,6 %. El objetivo de la empresa es que el resultado operativo crezca más que las ventas, sin cifra de margen.</w:t>
      </w:r>
      <w:r>
        <w:t xml:space="preserve"> </w:t>
      </w:r>
      <w:r>
        <w:rPr>
          <w:rStyle w:val="VerbatimChar"/>
        </w:rPr>
        <w:t xml:space="preserve">margen_ebitda_obj_pct</w:t>
      </w:r>
      <w:r>
        <w:t xml:space="preserve"> </w:t>
      </w:r>
      <w:r>
        <w:t xml:space="preserve">va a 15 % como cota inferior y solo lo usa v10.</w:t>
      </w:r>
    </w:p>
    <w:p>
      <w:pPr>
        <w:numPr>
          <w:ilvl w:val="0"/>
          <w:numId w:val="1004"/>
        </w:numPr>
        <w:pStyle w:val="Compact"/>
      </w:pPr>
      <w:r>
        <w:rPr>
          <w:bCs/>
          <w:b/>
        </w:rPr>
        <w:t xml:space="preserve">FCF de 12 meses: 5.381 M (margen 6,1 %)</w:t>
      </w:r>
      <w:r>
        <w:t xml:space="preserve">, frente a 4.120 M un año antes:</w:t>
      </w:r>
      <w:r>
        <w:t xml:space="preserve"> </w:t>
      </w:r>
      <w:r>
        <w:rPr>
          <w:bCs/>
          <w:b/>
        </w:rPr>
        <w:t xml:space="preserve">creciente</w:t>
      </w:r>
      <w:r>
        <w:t xml:space="preserve"> </w:t>
      </w:r>
      <w:r>
        <w:t xml:space="preserve">(5/5). Es muy estacional: el 1S siempre es negativo (−594 M en el 1S26, frente a −1.769 M en el 1S25) y el 4T trae los cobros (6.451 M en el 4T25) [1].</w:t>
      </w:r>
    </w:p>
    <w:p>
      <w:pPr>
        <w:numPr>
          <w:ilvl w:val="0"/>
          <w:numId w:val="1004"/>
        </w:numPr>
        <w:pStyle w:val="Compact"/>
      </w:pPr>
      <w:r>
        <w:rPr>
          <w:bCs/>
          <w:b/>
        </w:rPr>
        <w:t xml:space="preserve">Regla del 40: 32</w:t>
      </w:r>
      <w:r>
        <w:t xml:space="preserve"> </w:t>
      </w:r>
      <w:r>
        <w:t xml:space="preserve">(26 % de crecimiento + 6 % de margen FCF): puntúa 2/5.</w:t>
      </w:r>
    </w:p>
    <w:p>
      <w:pPr>
        <w:numPr>
          <w:ilvl w:val="0"/>
          <w:numId w:val="1004"/>
        </w:numPr>
        <w:pStyle w:val="Compact"/>
      </w:pPr>
      <w:r>
        <w:rPr>
          <w:bCs/>
          <w:b/>
        </w:rPr>
        <w:t xml:space="preserve">Apalancamiento operativo</w:t>
      </w:r>
      <w:r>
        <w:t xml:space="preserve">: el resultado operativo crece 1,4 veces más que las ventas (+37 % frente a +25 % en el semestre). El capex en máquinas e instalaciones sube a 3.915 M en el semestre (frente a 2.655 M) para ganar capacidad, y aun así el FCF de 12 meses crece [1].</w:t>
      </w:r>
    </w:p>
    <w:p>
      <w:pPr>
        <w:numPr>
          <w:ilvl w:val="0"/>
          <w:numId w:val="1004"/>
        </w:numPr>
        <w:pStyle w:val="Compact"/>
      </w:pPr>
      <w:r>
        <w:t xml:space="preserve">Bloque D: 8/15.</w:t>
      </w:r>
    </w:p>
    <w:bookmarkEnd w:id="25"/>
    <w:bookmarkStart w:id="26" w:name="caja-deuda-y-dilución"/>
    <w:p>
      <w:pPr>
        <w:pStyle w:val="Heading2"/>
      </w:pPr>
      <w:r>
        <w:t xml:space="preserve">7. Caja, deuda y dilución</w:t>
      </w:r>
    </w:p>
    <w:p>
      <w:pPr>
        <w:numPr>
          <w:ilvl w:val="0"/>
          <w:numId w:val="1005"/>
        </w:numPr>
        <w:pStyle w:val="Compact"/>
      </w:pPr>
      <w:r>
        <w:rPr>
          <w:bCs/>
          <w:b/>
        </w:rPr>
        <w:t xml:space="preserve">Liquidez neta de 2.523 M SEK</w:t>
      </w:r>
      <w:r>
        <w:t xml:space="preserve"> </w:t>
      </w:r>
      <w:r>
        <w:t xml:space="preserve">a 30-jun-2026 (16.850 M de caja e inversiones frente a 14.451 M de deuda con arrendamientos y 180 M de pensiones); deuda neta/EBITDA −0,2; calificación BBB+ (S&amp;P); línea de crédito sin usar de 6.000 M [1][13]. En el JSON,</w:t>
      </w:r>
      <w:r>
        <w:t xml:space="preserve"> </w:t>
      </w:r>
      <w:r>
        <w:rPr>
          <w:rStyle w:val="VerbatimChar"/>
        </w:rPr>
        <w:t xml:space="preserve">caja_m</w:t>
      </w:r>
      <w:r>
        <w:t xml:space="preserve"> </w:t>
      </w:r>
      <w:r>
        <w:t xml:space="preserve">= 2.523 (neta) y</w:t>
      </w:r>
      <w:r>
        <w:t xml:space="preserve"> </w:t>
      </w:r>
      <w:r>
        <w:rPr>
          <w:rStyle w:val="VerbatimChar"/>
        </w:rPr>
        <w:t xml:space="preserve">deuda_m</w:t>
      </w:r>
      <w:r>
        <w:t xml:space="preserve"> </w:t>
      </w:r>
      <w:r>
        <w:t xml:space="preserve">= 0. No se suma la participación en Helsing (8.532 M de inversiones financieras), así que el cálculo es algo prudente (~16 SEK por acción).</w:t>
      </w:r>
    </w:p>
    <w:p>
      <w:pPr>
        <w:numPr>
          <w:ilvl w:val="0"/>
          <w:numId w:val="1005"/>
        </w:numPr>
        <w:pStyle w:val="Compact"/>
      </w:pPr>
      <w:r>
        <w:rPr>
          <w:bCs/>
          <w:b/>
        </w:rPr>
        <w:t xml:space="preserve">Pista: FCF positivo.</w:t>
      </w:r>
      <w:r>
        <w:t xml:space="preserve"> </w:t>
      </w:r>
      <w:r>
        <w:rPr>
          <w:bCs/>
          <w:b/>
        </w:rPr>
        <w:t xml:space="preserve">Dilución ~0 %</w:t>
      </w:r>
      <w:r>
        <w:t xml:space="preserve"> </w:t>
      </w:r>
      <w:r>
        <w:t xml:space="preserve">(541,2 M de acciones diluidas, igual que hace un año). Los pagos en acciones son pequeños (~0,3 % de las ventas, estimación), y la autocartera cubre los planes de incentivos. Bloque E: 10/10.</w:t>
      </w:r>
    </w:p>
    <w:p>
      <w:pPr>
        <w:numPr>
          <w:ilvl w:val="0"/>
          <w:numId w:val="1005"/>
        </w:numPr>
        <w:pStyle w:val="Compact"/>
      </w:pPr>
      <w:r>
        <w:t xml:space="preserve">Dividendo de 2,40 SEK por 2025 (0,4 %).</w:t>
      </w:r>
    </w:p>
    <w:bookmarkEnd w:id="26"/>
    <w:bookmarkStart w:id="27" w:name="dirección-y-ejecución"/>
    <w:p>
      <w:pPr>
        <w:pStyle w:val="Heading2"/>
      </w:pPr>
      <w:r>
        <w:t xml:space="preserve">8. Dirección y ejecución</w:t>
      </w:r>
    </w:p>
    <w:p>
      <w:pPr>
        <w:numPr>
          <w:ilvl w:val="0"/>
          <w:numId w:val="1006"/>
        </w:numPr>
        <w:pStyle w:val="Compact"/>
      </w:pPr>
      <w:r>
        <w:rPr>
          <w:bCs/>
          <w:b/>
        </w:rPr>
        <w:t xml:space="preserve">Micael Johansson</w:t>
      </w:r>
      <w:r>
        <w:t xml:space="preserve">, consejero delegado desde 2020, ha multiplicado la cartera de pedidos por más de 3 y las ventas casi por 2 (42.000 → 88.000 M). Tiene 343.299 acciones; solo vende para pagar impuestos del plan [11]. Reorganización de la dirección el 1-oct-2026: Anders Carp (vicepresidente) pasa a Dynamics y Marcus Wandt a Aeronautics. Es una rotación interna, no una salida [12]. El accionista de control (Investor) es estable y de largo plazo.</w:t>
      </w:r>
      <w:r>
        <w:t xml:space="preserve"> </w:t>
      </w:r>
      <w:r>
        <w:rPr>
          <w:bCs/>
          <w:b/>
        </w:rPr>
        <w:t xml:space="preserve">Dirección 4/5</w:t>
      </w:r>
      <w:r>
        <w:t xml:space="preserve"> </w:t>
      </w:r>
      <w:r>
        <w:t xml:space="preserve">(no 5: no hay compras con su propio dinero).</w:t>
      </w:r>
    </w:p>
    <w:p>
      <w:pPr>
        <w:numPr>
          <w:ilvl w:val="0"/>
          <w:numId w:val="1006"/>
        </w:numPr>
        <w:pStyle w:val="Compact"/>
      </w:pPr>
      <w:r>
        <w:rPr>
          <w:bCs/>
          <w:b/>
        </w:rPr>
        <w:t xml:space="preserve">Historial 5/5</w:t>
      </w:r>
      <w:r>
        <w:t xml:space="preserve">: subió la guía de 2025 dos veces y la batió; el 4T25 superó el consenso de Bloomberg (ventas +5 %, EBIT +21 %); el objetivo a medio plazo se ha subido tres veces [3][5]. Hay una sombra: la investigación del Departamento de Justicia de EE. UU. (desde oct-2024) sobre la venta de Gripen a Brasil de 2014; las de Brasil y Suecia se cerraron sin cargos [1].</w:t>
      </w:r>
    </w:p>
    <w:bookmarkEnd w:id="27"/>
    <w:bookmarkStart w:id="28" w:name="valoración"/>
    <w:p>
      <w:pPr>
        <w:pStyle w:val="Heading2"/>
      </w:pPr>
      <w:r>
        <w:t xml:space="preserve">9. Valoración</w:t>
      </w:r>
    </w:p>
    <w:p>
      <w:pPr>
        <w:pStyle w:val="FirstParagraph"/>
      </w:pPr>
      <w:r>
        <w:rPr>
          <w:bCs/>
          <w:b/>
        </w:rPr>
        <w:t xml:space="preserve">Métrica: EV/EBITDA de los 12 meses siguientes.</w:t>
      </w:r>
      <w:r>
        <w:t xml:space="preserve"> </w:t>
      </w:r>
      <w:r>
        <w:t xml:space="preserve">Saab gana dinero de forma estable desde hace décadas (margen operativo de ~10 %) y tiene un margen bruto de industria (22 %). EV/ventas la compararía mal con el software y con su propio pasado de menor margen. Es además como la valora el mercado y como se valoró a Rheinmetall (comparación directa).</w:t>
      </w:r>
    </w:p>
    <w:p>
      <w:pPr>
        <w:numPr>
          <w:ilvl w:val="0"/>
          <w:numId w:val="1007"/>
        </w:numPr>
        <w:pStyle w:val="Compact"/>
      </w:pPr>
      <w:r>
        <w:rPr>
          <w:bCs/>
          <w:b/>
        </w:rPr>
        <w:t xml:space="preserve">Hoy</w:t>
      </w:r>
      <w:r>
        <w:t xml:space="preserve">: EV ≈ 321.170 M SEK (598,10 × 541,2 M − 2.523 M de liquidez neta). EBITDA de los 12 meses siguientes ≈ 15.850 M (consenso: 7.771 M del 2S26 + ~8.070 M del 1S27) →</w:t>
      </w:r>
      <w:r>
        <w:t xml:space="preserve"> </w:t>
      </w:r>
      <w:r>
        <w:rPr>
          <w:bCs/>
          <w:b/>
        </w:rPr>
        <w:t xml:space="preserve">20,3x</w:t>
      </w:r>
      <w:r>
        <w:t xml:space="preserve"> </w:t>
      </w:r>
      <w:r>
        <w:t xml:space="preserve">(MarketScreener daba 18,9x el 7-oct, con otra ventana de 12 meses; el resultado del motor no cambia con la base, porque múltiplo × margen = EV/ventas). Mediana de 3 años</w:t>
      </w:r>
      <w:r>
        <w:t xml:space="preserve"> </w:t>
      </w:r>
      <w:r>
        <w:rPr>
          <w:bCs/>
          <w:b/>
        </w:rPr>
        <w:t xml:space="preserve">~18,7x</w:t>
      </w:r>
      <w:r>
        <w:t xml:space="preserve"> </w:t>
      </w:r>
      <w:r>
        <w:t xml:space="preserve">y mínimo</w:t>
      </w:r>
      <w:r>
        <w:t xml:space="preserve"> </w:t>
      </w:r>
      <w:r>
        <w:rPr>
          <w:bCs/>
          <w:b/>
        </w:rPr>
        <w:t xml:space="preserve">~8,9x</w:t>
      </w:r>
      <w:r>
        <w:t xml:space="preserve"> </w:t>
      </w:r>
      <w:r>
        <w:t xml:space="preserve">(oct-2023): estimación propia [15]. Comparables: Rheinmetall 10,8x, Thales 11,3x, BAE 11,4x, Leonardo 8,7x, Kongsberg ~21x →</w:t>
      </w:r>
      <w:r>
        <w:t xml:space="preserve"> </w:t>
      </w:r>
      <w:r>
        <w:rPr>
          <w:bCs/>
          <w:b/>
        </w:rPr>
        <w:t xml:space="preserve">mediana 11,3x</w:t>
      </w:r>
      <w:r>
        <w:t xml:space="preserve">.</w:t>
      </w:r>
    </w:p>
    <w:p>
      <w:pPr>
        <w:numPr>
          <w:ilvl w:val="0"/>
          <w:numId w:val="1007"/>
        </w:numPr>
        <w:pStyle w:val="Compact"/>
      </w:pPr>
      <w:r>
        <w:rPr>
          <w:bCs/>
          <w:b/>
        </w:rPr>
        <w:t xml:space="preserve">Ventas del ejercicio objetivo</w:t>
      </w:r>
      <w:r>
        <w:t xml:space="preserve"> </w:t>
      </w:r>
      <w:r>
        <w:t xml:space="preserve">(12 meses a jun-2028; misma ventana que la regla mecánica): bajista 113.000 M (~13 % anual: solo la cartera y algo más),</w:t>
      </w:r>
      <w:r>
        <w:t xml:space="preserve"> </w:t>
      </w:r>
      <w:r>
        <w:rPr>
          <w:bCs/>
          <w:b/>
        </w:rPr>
        <w:t xml:space="preserve">base 128.000 M (≈ consenso de 128.500 M)</w:t>
      </w:r>
      <w:r>
        <w:t xml:space="preserve"> </w:t>
      </w:r>
      <w:r>
        <w:t xml:space="preserve">y alcista 137.000 M. La regla mecánica da 108.841 / 131.657 / 141.387 M; v11 toma la menor de las dos en cada escenario.</w:t>
      </w:r>
    </w:p>
    <w:p>
      <w:pPr>
        <w:numPr>
          <w:ilvl w:val="0"/>
          <w:numId w:val="1007"/>
        </w:numPr>
        <w:pStyle w:val="Compact"/>
      </w:pPr>
      <w:r>
        <w:rPr>
          <w:bCs/>
          <w:b/>
        </w:rPr>
        <w:t xml:space="preserve">Crecimiento</w:t>
      </w:r>
      <w:r>
        <w:t xml:space="preserve"> </w:t>
      </w:r>
      <w:r>
        <w:t xml:space="preserve">de los 12 meses siguientes 22 % (consenso) y del año objetivo 19 % → factor de desaceleración 0,93.</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Escenario</w:t>
            </w:r>
          </w:p>
        </w:tc>
        <w:tc>
          <w:tcPr/>
          <w:p>
            <w:pPr>
              <w:pStyle w:val="Compact"/>
              <w:jc w:val="left"/>
            </w:pPr>
            <w:r>
              <w:t xml:space="preserve">Ventas (M SEK)</w:t>
            </w:r>
          </w:p>
        </w:tc>
        <w:tc>
          <w:tcPr/>
          <w:p>
            <w:pPr>
              <w:pStyle w:val="Compact"/>
              <w:jc w:val="left"/>
            </w:pPr>
            <w:r>
              <w:t xml:space="preserve">Múltiplo EV/EBITDA</w:t>
            </w:r>
          </w:p>
        </w:tc>
        <w:tc>
          <w:tcPr/>
          <w:p>
            <w:pPr>
              <w:pStyle w:val="Compact"/>
              <w:jc w:val="left"/>
            </w:pPr>
            <w:r>
              <w:t xml:space="preserve">Margen EBITDA</w:t>
            </w:r>
          </w:p>
        </w:tc>
        <w:tc>
          <w:tcPr/>
          <w:p>
            <w:pPr>
              <w:pStyle w:val="Compact"/>
              <w:jc w:val="left"/>
            </w:pPr>
            <w:r>
              <w:t xml:space="preserve">Precio</w:t>
            </w:r>
          </w:p>
        </w:tc>
        <w:tc>
          <w:tcPr/>
          <w:p>
            <w:pPr>
              <w:pStyle w:val="Compact"/>
              <w:jc w:val="left"/>
            </w:pPr>
            <w:r>
              <w:t xml:space="preserve">Rentabilidad (con 0,4 % de dividendo)</w:t>
            </w:r>
          </w:p>
        </w:tc>
        <w:tc>
          <w:tcPr/>
          <w:p>
            <w:pPr>
              <w:pStyle w:val="Compact"/>
              <w:jc w:val="left"/>
            </w:pPr>
            <w:r>
              <w:t xml:space="preserve">Prob.</w:t>
            </w:r>
          </w:p>
        </w:tc>
      </w:tr>
      <w:tr>
        <w:tc>
          <w:tcPr/>
          <w:p>
            <w:pPr>
              <w:pStyle w:val="Compact"/>
              <w:jc w:val="left"/>
            </w:pPr>
            <w:r>
              <w:t xml:space="preserve">Bajista</w:t>
            </w:r>
          </w:p>
        </w:tc>
        <w:tc>
          <w:tcPr/>
          <w:p>
            <w:pPr>
              <w:pStyle w:val="Compact"/>
              <w:jc w:val="left"/>
            </w:pPr>
            <w:r>
              <w:t xml:space="preserve">108.841 (mecánica)</w:t>
            </w:r>
          </w:p>
        </w:tc>
        <w:tc>
          <w:tcPr/>
          <w:p>
            <w:pPr>
              <w:pStyle w:val="Compact"/>
              <w:jc w:val="left"/>
            </w:pPr>
            <w:r>
              <w:t xml:space="preserve">11,3x</w:t>
            </w:r>
          </w:p>
        </w:tc>
        <w:tc>
          <w:tcPr/>
          <w:p>
            <w:pPr>
              <w:pStyle w:val="Compact"/>
              <w:jc w:val="left"/>
            </w:pPr>
            <w:r>
              <w:t xml:space="preserve">14,7 %</w:t>
            </w:r>
          </w:p>
        </w:tc>
        <w:tc>
          <w:tcPr/>
          <w:p>
            <w:pPr>
              <w:pStyle w:val="Compact"/>
              <w:jc w:val="left"/>
            </w:pPr>
            <w:r>
              <w:t xml:space="preserve">339,4 SEK</w:t>
            </w:r>
          </w:p>
        </w:tc>
        <w:tc>
          <w:tcPr/>
          <w:p>
            <w:pPr>
              <w:pStyle w:val="Compact"/>
              <w:jc w:val="left"/>
            </w:pPr>
            <w:r>
              <w:t xml:space="preserve">−42,9 %</w:t>
            </w:r>
          </w:p>
        </w:tc>
        <w:tc>
          <w:tcPr/>
          <w:p>
            <w:pPr>
              <w:pStyle w:val="Compact"/>
              <w:jc w:val="left"/>
            </w:pPr>
            <w:r>
              <w:t xml:space="preserve">25 %</w:t>
            </w:r>
          </w:p>
        </w:tc>
      </w:tr>
      <w:tr>
        <w:tc>
          <w:tcPr/>
          <w:p>
            <w:pPr>
              <w:pStyle w:val="Compact"/>
              <w:jc w:val="left"/>
            </w:pPr>
            <w:r>
              <w:t xml:space="preserve">Base</w:t>
            </w:r>
          </w:p>
        </w:tc>
        <w:tc>
          <w:tcPr/>
          <w:p>
            <w:pPr>
              <w:pStyle w:val="Compact"/>
              <w:jc w:val="left"/>
            </w:pPr>
            <w:r>
              <w:t xml:space="preserve">128.000 (informe)</w:t>
            </w:r>
          </w:p>
        </w:tc>
        <w:tc>
          <w:tcPr/>
          <w:p>
            <w:pPr>
              <w:pStyle w:val="Compact"/>
              <w:jc w:val="left"/>
            </w:pPr>
            <w:r>
              <w:t xml:space="preserve">18,9x</w:t>
            </w:r>
          </w:p>
        </w:tc>
        <w:tc>
          <w:tcPr/>
          <w:p>
            <w:pPr>
              <w:pStyle w:val="Compact"/>
              <w:jc w:val="left"/>
            </w:pPr>
            <w:r>
              <w:t xml:space="preserve">14,7 %</w:t>
            </w:r>
          </w:p>
        </w:tc>
        <w:tc>
          <w:tcPr/>
          <w:p>
            <w:pPr>
              <w:pStyle w:val="Compact"/>
              <w:jc w:val="left"/>
            </w:pPr>
            <w:r>
              <w:t xml:space="preserve">660,8 SEK</w:t>
            </w:r>
          </w:p>
        </w:tc>
        <w:tc>
          <w:tcPr/>
          <w:p>
            <w:pPr>
              <w:pStyle w:val="Compact"/>
              <w:jc w:val="left"/>
            </w:pPr>
            <w:r>
              <w:t xml:space="preserve">+10,9 %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137.000 (informe)</w:t>
            </w:r>
          </w:p>
        </w:tc>
        <w:tc>
          <w:tcPr/>
          <w:p>
            <w:pPr>
              <w:pStyle w:val="Compact"/>
              <w:jc w:val="left"/>
            </w:pPr>
            <w:r>
              <w:t xml:space="preserve">24,5x</w:t>
            </w:r>
          </w:p>
        </w:tc>
        <w:tc>
          <w:tcPr/>
          <w:p>
            <w:pPr>
              <w:pStyle w:val="Compact"/>
              <w:jc w:val="left"/>
            </w:pPr>
            <w:r>
              <w:t xml:space="preserve">14,7 %</w:t>
            </w:r>
          </w:p>
        </w:tc>
        <w:tc>
          <w:tcPr/>
          <w:p>
            <w:pPr>
              <w:pStyle w:val="Compact"/>
              <w:jc w:val="left"/>
            </w:pPr>
            <w:r>
              <w:t xml:space="preserve">917,6 SEK</w:t>
            </w:r>
          </w:p>
        </w:tc>
        <w:tc>
          <w:tcPr/>
          <w:p>
            <w:pPr>
              <w:pStyle w:val="Compact"/>
              <w:jc w:val="left"/>
            </w:pPr>
            <w:r>
              <w:t xml:space="preserve">+53,8 %</w:t>
            </w:r>
          </w:p>
        </w:tc>
        <w:tc>
          <w:tcPr/>
          <w:p>
            <w:pPr>
              <w:pStyle w:val="Compact"/>
              <w:jc w:val="left"/>
            </w:pPr>
            <w:r>
              <w:t xml:space="preserve">25 %</w:t>
            </w:r>
          </w:p>
        </w:tc>
      </w:tr>
      <w:tr>
        <w:tc>
          <w:tcPr/>
          <w:p>
            <w:pPr>
              <w:pStyle w:val="Compact"/>
              <w:jc w:val="left"/>
            </w:pPr>
            <w:r>
              <w:rPr>
                <w:bCs/>
                <w:b/>
              </w:rPr>
              <w:t xml:space="preserve">Ponderado (v11)</w:t>
            </w:r>
          </w:p>
        </w:tc>
        <w:tc>
          <w:tcPr/>
          <w:p>
            <w:pPr>
              <w:pStyle w:val="Compact"/>
            </w:pPr>
          </w:p>
        </w:tc>
        <w:tc>
          <w:tcPr/>
          <w:p>
            <w:pPr>
              <w:pStyle w:val="Compact"/>
            </w:pPr>
          </w:p>
        </w:tc>
        <w:tc>
          <w:tcPr/>
          <w:p>
            <w:pPr>
              <w:pStyle w:val="Compact"/>
            </w:pPr>
          </w:p>
        </w:tc>
        <w:tc>
          <w:tcPr/>
          <w:p>
            <w:pPr>
              <w:pStyle w:val="Compact"/>
              <w:jc w:val="left"/>
            </w:pPr>
            <w:r>
              <w:rPr>
                <w:bCs/>
                <w:b/>
              </w:rPr>
              <w:t xml:space="preserve">644,7 SEK</w:t>
            </w:r>
          </w:p>
        </w:tc>
        <w:tc>
          <w:tcPr/>
          <w:p>
            <w:pPr>
              <w:pStyle w:val="Compact"/>
              <w:jc w:val="left"/>
            </w:pPr>
            <w:r>
              <w:rPr>
                <w:bCs/>
                <w:b/>
              </w:rPr>
              <w:t xml:space="preserve">+8,2 %</w:t>
            </w:r>
          </w:p>
        </w:tc>
        <w:tc>
          <w:tcPr/>
          <w:p>
            <w:pPr>
              <w:pStyle w:val="Compact"/>
            </w:pPr>
          </w:p>
        </w:tc>
      </w:tr>
      <w:tr>
        <w:tc>
          <w:tcPr/>
          <w:p>
            <w:pPr>
              <w:pStyle w:val="Compact"/>
              <w:jc w:val="left"/>
            </w:pPr>
            <w:r>
              <w:t xml:space="preserve">Ponderado (v9, ventas mecánicas)</w:t>
            </w:r>
          </w:p>
        </w:tc>
        <w:tc>
          <w:tcPr/>
          <w:p>
            <w:pPr>
              <w:pStyle w:val="Compact"/>
              <w:jc w:val="left"/>
            </w:pPr>
            <w:r>
              <w:t xml:space="preserve">108.841 / 131.657 / 141.387</w:t>
            </w:r>
          </w:p>
        </w:tc>
        <w:tc>
          <w:tcPr/>
          <w:p>
            <w:pPr>
              <w:pStyle w:val="Compact"/>
              <w:jc w:val="left"/>
            </w:pPr>
            <w:r>
              <w:t xml:space="preserve">igual</w:t>
            </w:r>
          </w:p>
        </w:tc>
        <w:tc>
          <w:tcPr/>
          <w:p>
            <w:pPr>
              <w:pStyle w:val="Compact"/>
              <w:jc w:val="left"/>
            </w:pPr>
            <w:r>
              <w:t xml:space="preserve">igual</w:t>
            </w:r>
          </w:p>
        </w:tc>
        <w:tc>
          <w:tcPr/>
          <w:p>
            <w:pPr>
              <w:pStyle w:val="Compact"/>
              <w:jc w:val="left"/>
            </w:pPr>
            <w:r>
              <w:t xml:space="preserve">661,3 SEK</w:t>
            </w:r>
          </w:p>
        </w:tc>
        <w:tc>
          <w:tcPr/>
          <w:p>
            <w:pPr>
              <w:pStyle w:val="Compact"/>
              <w:jc w:val="left"/>
            </w:pPr>
            <w:r>
              <w:t xml:space="preserve">+11,0 %</w:t>
            </w:r>
          </w:p>
        </w:tc>
        <w:tc>
          <w:tcPr/>
          <w:p>
            <w:pPr>
              <w:pStyle w:val="Compact"/>
            </w:pPr>
          </w:p>
        </w:tc>
      </w:tr>
    </w:tbl>
    <w:p>
      <w:pPr>
        <w:numPr>
          <w:ilvl w:val="0"/>
          <w:numId w:val="1008"/>
        </w:numPr>
        <w:pStyle w:val="Compact"/>
      </w:pPr>
      <w:r>
        <w:rPr>
          <w:bCs/>
          <w:b/>
        </w:rPr>
        <w:t xml:space="preserve">Asimetría 1,3</w:t>
      </w:r>
      <w:r>
        <w:t xml:space="preserve"> </w:t>
      </w:r>
      <w:r>
        <w:t xml:space="preserve">(alcista +53,8 % frente a bajista −42,9 %).</w:t>
      </w:r>
      <w:r>
        <w:t xml:space="preserve"> </w:t>
      </w:r>
      <w:r>
        <w:rPr>
          <w:bCs/>
          <w:b/>
        </w:rPr>
        <w:t xml:space="preserve">Compra hasta 616,3 SEK</w:t>
      </w:r>
      <w:r>
        <w:t xml:space="preserve"> </w:t>
      </w:r>
      <w:r>
        <w:t xml:space="preserve">(v11; con v9, 632,2).</w:t>
      </w:r>
    </w:p>
    <w:p>
      <w:pPr>
        <w:numPr>
          <w:ilvl w:val="0"/>
          <w:numId w:val="1008"/>
        </w:numPr>
        <w:pStyle w:val="Compact"/>
      </w:pPr>
      <w:r>
        <w:rPr>
          <w:bCs/>
          <w:b/>
        </w:rPr>
        <w:t xml:space="preserve">Contraste con el consenso</w:t>
      </w:r>
      <w:r>
        <w:t xml:space="preserve">: objetivo medio ~584 SEK (574-594 según la fuente; rango 310-780). El mercado de analistas es más prudente que el método por el múltiplo (34x el beneficio de 2027), no por las ventas: mi base coincide con su consenso de ventas [6][7][8].</w:t>
      </w:r>
    </w:p>
    <w:p>
      <w:pPr>
        <w:numPr>
          <w:ilvl w:val="0"/>
          <w:numId w:val="1008"/>
        </w:numPr>
        <w:pStyle w:val="Compact"/>
      </w:pPr>
      <w:r>
        <w:rPr>
          <w:bCs/>
          <w:b/>
        </w:rPr>
        <w:t xml:space="preserve">DCF inverso</w:t>
      </w:r>
      <w:r>
        <w:t xml:space="preserve">: el precio descuenta</w:t>
      </w:r>
      <w:r>
        <w:t xml:space="preserve"> </w:t>
      </w:r>
      <w:r>
        <w:rPr>
          <w:bCs/>
          <w:b/>
        </w:rPr>
        <w:t xml:space="preserve">~14 % anual de crecimiento de ventas a 10 años</w:t>
      </w:r>
      <w:r>
        <w:t xml:space="preserve"> </w:t>
      </w:r>
      <w:r>
        <w:t xml:space="preserve">(coste de capital 8,5 %, margen FCF a largo plazo 9 %, crecimiento final 2,5 %). Es exigente pero por debajo de lo que crece hoy y de su objetivo (~20 %).</w:t>
      </w:r>
    </w:p>
    <w:p>
      <w:pPr>
        <w:numPr>
          <w:ilvl w:val="0"/>
          <w:numId w:val="1008"/>
        </w:numPr>
        <w:pStyle w:val="Compact"/>
      </w:pPr>
      <w:r>
        <w:rPr>
          <w:bCs/>
          <w:b/>
        </w:rPr>
        <w:t xml:space="preserve">Frente a Rheinmetall (Mantener, +3,5 %)</w:t>
      </w:r>
      <w:r>
        <w:t xml:space="preserve">:</w:t>
      </w:r>
      <w:r>
        <w:t xml:space="preserve"> </w:t>
      </w:r>
      <w:r>
        <w:rPr>
          <w:bCs/>
          <w:b/>
        </w:rPr>
        <w:t xml:space="preserve">por precio/crecimiento, Rheinmetall es claramente más barata</w:t>
      </w:r>
      <w:r>
        <w:t xml:space="preserve">. Cotiza a 10,8x EBITDA creciendo un 33 % (0,33x por punto de crecimiento) y Saab a 20,3x creciendo un 22 % (0,92x); en beneficio de 2027, 19x frente a 34x.</w:t>
      </w:r>
      <w:r>
        <w:t xml:space="preserve"> </w:t>
      </w:r>
      <w:r>
        <w:rPr>
          <w:bCs/>
          <w:b/>
        </w:rPr>
        <w:t xml:space="preserve">Por rentabilidad esperada ajustada al riesgo según el método, gana Saab por poco</w:t>
      </w:r>
      <w:r>
        <w:t xml:space="preserve">: +8,2 % frente a +3,5 %, y bajista −43 % frente a −55 %. Lo explican tres cosas. Saab frena menos (22 → 19 %, factor 0,93, frente a 33 → 21,5 % y 0,81). Su múltiplo está en su media y no en caída. Y su caja y su ejecución no tienen las grietas de Rheinmetall (FCF del semestre −1.616 M, guía recortada, F126). Es decir: Rheinmetall es la apuesta barata con la percepción rota; Saab, la de calidad a precio justo.</w:t>
      </w:r>
      <w:r>
        <w:t xml:space="preserve"> </w:t>
      </w:r>
      <w:r>
        <w:rPr>
          <w:bCs/>
          <w:b/>
        </w:rPr>
        <w:t xml:space="preserve">Ninguna de las dos tiene una relación precio/crecimiento que justifique sustituir a las growth en cartera.</w:t>
      </w:r>
    </w:p>
    <w:bookmarkEnd w:id="28"/>
    <w:bookmarkStart w:id="29" w:name="foros-y-sentimiento"/>
    <w:p>
      <w:pPr>
        <w:pStyle w:val="Heading2"/>
      </w:pPr>
      <w:r>
        <w:t xml:space="preserve">10. Foros y sentimiento</w:t>
      </w:r>
    </w:p>
    <w:p>
      <w:pPr>
        <w:numPr>
          <w:ilvl w:val="0"/>
          <w:numId w:val="1009"/>
        </w:numPr>
        <w:pStyle w:val="Compact"/>
      </w:pPr>
      <w:r>
        <w:rPr>
          <w:bCs/>
          <w:b/>
        </w:rPr>
        <w:t xml:space="preserve">Prensa y foros suecos</w:t>
      </w:r>
      <w:r>
        <w:t xml:space="preserve"> </w:t>
      </w:r>
      <w:r>
        <w:t xml:space="preserve">(Realtid, Affärsvärlden, Placera, Dagens PS): el debate de todo 2026 es la valoración. «Analistas de acuerdo: Saab muy sobrevalorada, vender» (Handelsbanken 398 SEK; Inderes 310; ABG Vender). Affärsvärlden mantiene un consejo neutral a ~42x el beneficio, y Placera la señala como la más cara del sector en abril (~45x EBIT 2026). En enero, 9 de 16 analistas recomendaban vender [9]. En los foros de Avanza y Placera no he encontrado hilos de octubre (las búsquedas no los devuelven); la acción tiene ~297.000 accionistas en Suecia, muy minoristas [9].</w:t>
      </w:r>
    </w:p>
    <w:p>
      <w:pPr>
        <w:numPr>
          <w:ilvl w:val="0"/>
          <w:numId w:val="1009"/>
        </w:numPr>
        <w:pStyle w:val="Compact"/>
      </w:pPr>
      <w:r>
        <w:rPr>
          <w:bCs/>
          <w:b/>
        </w:rPr>
        <w:t xml:space="preserve">Del otro lado</w:t>
      </w:r>
      <w:r>
        <w:t xml:space="preserve">: Morningstar la considera infravalorada (valor razonable 610 SEK) tras la caída de mayo-junio, BofA la subió a Comprar en dic-2025, Citi sube el objetivo a 628 SEK en septiembre y Capital Insights la ve «más defendible, pero aún no barata» (600 SEK) [8][10].</w:t>
      </w:r>
    </w:p>
    <w:p>
      <w:pPr>
        <w:numPr>
          <w:ilvl w:val="0"/>
          <w:numId w:val="1009"/>
        </w:numPr>
        <w:pStyle w:val="Compact"/>
      </w:pPr>
      <w:r>
        <w:rPr>
          <w:bCs/>
          <w:b/>
        </w:rPr>
        <w:t xml:space="preserve">Reddit y Seeking Alpha</w:t>
      </w:r>
      <w:r>
        <w:t xml:space="preserve">: sin hilos recientes localizados. Como con Rheinmetall, el interés anglosajón se ha enfriado tras el pico de 2025.</w:t>
      </w:r>
    </w:p>
    <w:p>
      <w:pPr>
        <w:numPr>
          <w:ilvl w:val="0"/>
          <w:numId w:val="1009"/>
        </w:numPr>
        <w:pStyle w:val="Compact"/>
      </w:pPr>
      <w:r>
        <w:rPr>
          <w:bCs/>
          <w:b/>
        </w:rPr>
        <w:t xml:space="preserve">Patrón del sector</w:t>
      </w:r>
      <w:r>
        <w:t xml:space="preserve">: cada titular de paz en Ucrania hunde el sector varios días (nov-2025, dic-2025, abr-2026, con Saab −2 % a −12 %) y se recupera después [10].</w:t>
      </w:r>
    </w:p>
    <w:p>
      <w:pPr>
        <w:numPr>
          <w:ilvl w:val="0"/>
          <w:numId w:val="1009"/>
        </w:numPr>
        <w:pStyle w:val="Compact"/>
      </w:pPr>
      <w:r>
        <w:rPr>
          <w:bCs/>
          <w:b/>
        </w:rPr>
        <w:t xml:space="preserve">Contraste con los datos</w:t>
      </w:r>
      <w:r>
        <w:t xml:space="preserve">: el negocio va mejor que el sentimiento (pedidos ×2,4 en el 2T, margen al alza, FCF creciente), pero el consenso de precio objetivo sigue bajo el precio. No es euforia ni capitulación: neutral. La señal 6 no se marca.</w:t>
      </w:r>
    </w:p>
    <w:bookmarkEnd w:id="29"/>
    <w:bookmarkStart w:id="30" w:name="riesgos-robustez-y-qué-rompería-la-tesis"/>
    <w:p>
      <w:pPr>
        <w:pStyle w:val="Heading2"/>
      </w:pPr>
      <w:r>
        <w:t xml:space="preserve">11. Riesgos, robustez y qué rompería la tesis</w:t>
      </w:r>
    </w:p>
    <w:p>
      <w:pPr>
        <w:pStyle w:val="FirstParagraph"/>
      </w:pPr>
      <w:r>
        <w:rPr>
          <w:bCs/>
          <w:b/>
        </w:rPr>
        <w:t xml:space="preserve">Alertas del motor (</w:t>
      </w:r>
      <w:r>
        <w:rPr>
          <w:rStyle w:val="VerbatimChar"/>
          <w:bCs/>
          <w:b/>
        </w:rPr>
        <w:t xml:space="preserve">calc.alertas</w:t>
      </w:r>
      <w:r>
        <w:rPr>
          <w:bCs/>
          <w:b/>
        </w:rPr>
        <w:t xml:space="preserve">) y si debilitan la señal:</w:t>
      </w:r>
      <w:r>
        <w:t xml:space="preserve"> </w:t>
      </w:r>
      <w:r>
        <w:t xml:space="preserve">-</w:t>
      </w:r>
      <w:r>
        <w:t xml:space="preserve"> </w:t>
      </w:r>
      <w:r>
        <w:rPr>
          <w:bCs/>
          <w:b/>
        </w:rPr>
        <w:t xml:space="preserve">«Exceso sobre la guía de 11,6 pp (&gt; 10): el recorte por la guía casi no actúa.»</w:t>
      </w:r>
      <w:r>
        <w:t xml:space="preserve"> </w:t>
      </w:r>
      <w:r>
        <w:t xml:space="preserve">Es cierto: con una «guía» del 20 % más 11,6 pp de exceso, el techo de v9 (31,6 %) queda muy por encima de la partida mecánica (24 %).</w:t>
      </w:r>
      <w:r>
        <w:t xml:space="preserve"> </w:t>
      </w:r>
      <w:r>
        <w:rPr>
          <w:bCs/>
          <w:b/>
        </w:rPr>
        <w:t xml:space="preserve">No debilita la señal</w:t>
      </w:r>
      <w:r>
        <w:t xml:space="preserve">, por tres razones. (a) La «guía» aquí es un objetivo a medio plazo, no una guía anual, y el exceso viene de un 2025 en que la guía inicial era muy prudente (12-16 %). (b) v11 ya recorta por otro lado: toma las ventas del informe (128.000 M = consenso), un 3 % por debajo de la mecánica. (c) Aunque se partiera de la guía sin exceso (20 %), las ventas base saldrían ~125.000 M y la señal seguiría siendo Comprar (con 124.000 M: ponderada +6,5 %, base +7,5 %).</w:t>
      </w:r>
    </w:p>
    <w:p>
      <w:pPr>
        <w:pStyle w:val="BodyText"/>
      </w:pPr>
      <w:r>
        <w:rPr>
          <w:bCs/>
          <w:b/>
        </w:rPr>
        <w:t xml:space="preserve">Pruebas propias de sensibilidad</w:t>
      </w:r>
      <w:r>
        <w:t xml:space="preserve"> </w:t>
      </w:r>
      <w:r>
        <w:t xml:space="preserve">(mismo motor v11, cambiando un dato cada vez):</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Variante</w:t>
            </w:r>
          </w:p>
        </w:tc>
        <w:tc>
          <w:tcPr/>
          <w:p>
            <w:pPr>
              <w:pStyle w:val="Compact"/>
              <w:jc w:val="left"/>
            </w:pPr>
            <w:r>
              <w:t xml:space="preserve">Ponderada</w:t>
            </w:r>
          </w:p>
        </w:tc>
        <w:tc>
          <w:tcPr/>
          <w:p>
            <w:pPr>
              <w:pStyle w:val="Compact"/>
              <w:jc w:val="left"/>
            </w:pPr>
            <w:r>
              <w:t xml:space="preserve">Base</w:t>
            </w:r>
          </w:p>
        </w:tc>
        <w:tc>
          <w:tcPr/>
          <w:p>
            <w:pPr>
              <w:pStyle w:val="Compact"/>
              <w:jc w:val="left"/>
            </w:pPr>
            <w:r>
              <w:t xml:space="preserve">Señal</w:t>
            </w:r>
          </w:p>
        </w:tc>
      </w:tr>
      <w:tr>
        <w:tc>
          <w:tcPr/>
          <w:p>
            <w:pPr>
              <w:pStyle w:val="Compact"/>
              <w:jc w:val="left"/>
            </w:pPr>
            <w:r>
              <w:t xml:space="preserve">Vigente</w:t>
            </w:r>
          </w:p>
        </w:tc>
        <w:tc>
          <w:tcPr/>
          <w:p>
            <w:pPr>
              <w:pStyle w:val="Compact"/>
              <w:jc w:val="left"/>
            </w:pPr>
            <w:r>
              <w:t xml:space="preserve">+8,2 %</w:t>
            </w:r>
          </w:p>
        </w:tc>
        <w:tc>
          <w:tcPr/>
          <w:p>
            <w:pPr>
              <w:pStyle w:val="Compact"/>
              <w:jc w:val="left"/>
            </w:pPr>
            <w:r>
              <w:t xml:space="preserve">+10,9 %</w:t>
            </w:r>
          </w:p>
        </w:tc>
        <w:tc>
          <w:tcPr/>
          <w:p>
            <w:pPr>
              <w:pStyle w:val="Compact"/>
              <w:jc w:val="left"/>
            </w:pPr>
            <w:r>
              <w:t xml:space="preserve">Comprar</w:t>
            </w:r>
          </w:p>
        </w:tc>
      </w:tr>
      <w:tr>
        <w:tc>
          <w:tcPr/>
          <w:p>
            <w:pPr>
              <w:pStyle w:val="Compact"/>
              <w:jc w:val="left"/>
            </w:pPr>
            <w:r>
              <w:t xml:space="preserve">Ventas base 124.000 M</w:t>
            </w:r>
          </w:p>
        </w:tc>
        <w:tc>
          <w:tcPr/>
          <w:p>
            <w:pPr>
              <w:pStyle w:val="Compact"/>
              <w:jc w:val="left"/>
            </w:pPr>
            <w:r>
              <w:t xml:space="preserve">+6,5 %</w:t>
            </w:r>
          </w:p>
        </w:tc>
        <w:tc>
          <w:tcPr/>
          <w:p>
            <w:pPr>
              <w:pStyle w:val="Compact"/>
              <w:jc w:val="left"/>
            </w:pPr>
            <w:r>
              <w:t xml:space="preserve">+7,5 %</w:t>
            </w:r>
          </w:p>
        </w:tc>
        <w:tc>
          <w:tcPr/>
          <w:p>
            <w:pPr>
              <w:pStyle w:val="Compact"/>
              <w:jc w:val="left"/>
            </w:pPr>
            <w:r>
              <w:t xml:space="preserve">Comprar</w:t>
            </w:r>
          </w:p>
        </w:tc>
      </w:tr>
      <w:tr>
        <w:tc>
          <w:tcPr/>
          <w:p>
            <w:pPr>
              <w:pStyle w:val="Compact"/>
              <w:jc w:val="left"/>
            </w:pPr>
            <w:r>
              <w:t xml:space="preserve">Ventas base 120.000 M (casi solo cartera)</w:t>
            </w:r>
          </w:p>
        </w:tc>
        <w:tc>
          <w:tcPr/>
          <w:p>
            <w:pPr>
              <w:pStyle w:val="Compact"/>
              <w:jc w:val="left"/>
            </w:pPr>
            <w:r>
              <w:t xml:space="preserve">+4,8 %</w:t>
            </w:r>
          </w:p>
        </w:tc>
        <w:tc>
          <w:tcPr/>
          <w:p>
            <w:pPr>
              <w:pStyle w:val="Compact"/>
              <w:jc w:val="left"/>
            </w:pPr>
            <w:r>
              <w:t xml:space="preserve">+4,0 %</w:t>
            </w:r>
          </w:p>
        </w:tc>
        <w:tc>
          <w:tcPr/>
          <w:p>
            <w:pPr>
              <w:pStyle w:val="Compact"/>
              <w:jc w:val="left"/>
            </w:pPr>
            <w:r>
              <w:t xml:space="preserve">Mantener</w:t>
            </w:r>
          </w:p>
        </w:tc>
      </w:tr>
      <w:tr>
        <w:tc>
          <w:tcPr/>
          <w:p>
            <w:pPr>
              <w:pStyle w:val="Compact"/>
              <w:jc w:val="left"/>
            </w:pPr>
            <w:r>
              <w:t xml:space="preserve">Múltiplo con la base de MarketScreener (18,9x)</w:t>
            </w:r>
          </w:p>
        </w:tc>
        <w:tc>
          <w:tcPr/>
          <w:p>
            <w:pPr>
              <w:pStyle w:val="Compact"/>
              <w:jc w:val="left"/>
            </w:pPr>
            <w:r>
              <w:t xml:space="preserve">+8,2 %</w:t>
            </w:r>
          </w:p>
        </w:tc>
        <w:tc>
          <w:tcPr/>
          <w:p>
            <w:pPr>
              <w:pStyle w:val="Compact"/>
              <w:jc w:val="left"/>
            </w:pPr>
            <w:r>
              <w:t xml:space="preserve">+10,9 %</w:t>
            </w:r>
          </w:p>
        </w:tc>
        <w:tc>
          <w:tcPr/>
          <w:p>
            <w:pPr>
              <w:pStyle w:val="Compact"/>
              <w:jc w:val="left"/>
            </w:pPr>
            <w:r>
              <w:t xml:space="preserve">Comprar (no cambia)</w:t>
            </w:r>
          </w:p>
        </w:tc>
      </w:tr>
      <w:tr>
        <w:tc>
          <w:tcPr/>
          <w:p>
            <w:pPr>
              <w:pStyle w:val="Compact"/>
              <w:jc w:val="left"/>
            </w:pPr>
            <w:r>
              <w:t xml:space="preserve">Crecimiento del año objetivo 15 % (frena más)</w:t>
            </w:r>
          </w:p>
        </w:tc>
        <w:tc>
          <w:tcPr/>
          <w:p>
            <w:pPr>
              <w:pStyle w:val="Compact"/>
              <w:jc w:val="left"/>
            </w:pPr>
            <w:r>
              <w:t xml:space="preserve">−3,7 %</w:t>
            </w:r>
          </w:p>
        </w:tc>
        <w:tc>
          <w:tcPr/>
          <w:p>
            <w:pPr>
              <w:pStyle w:val="Compact"/>
              <w:jc w:val="left"/>
            </w:pPr>
            <w:r>
              <w:t xml:space="preserve">−1,3 %</w:t>
            </w:r>
          </w:p>
        </w:tc>
        <w:tc>
          <w:tcPr/>
          <w:p>
            <w:pPr>
              <w:pStyle w:val="Compact"/>
              <w:jc w:val="left"/>
            </w:pPr>
            <w:r>
              <w:t xml:space="preserve">Mantener</w:t>
            </w:r>
          </w:p>
        </w:tc>
      </w:tr>
      <w:tr>
        <w:tc>
          <w:tcPr/>
          <w:p>
            <w:pPr>
              <w:pStyle w:val="Compact"/>
              <w:jc w:val="left"/>
            </w:pPr>
            <w:r>
              <w:t xml:space="preserve">Crecimiento de los 12 meses siguientes 26 % (el de hoy)</w:t>
            </w:r>
          </w:p>
        </w:tc>
        <w:tc>
          <w:tcPr/>
          <w:p>
            <w:pPr>
              <w:pStyle w:val="Compact"/>
              <w:jc w:val="left"/>
            </w:pPr>
            <w:r>
              <w:t xml:space="preserve">−3,5 %</w:t>
            </w:r>
          </w:p>
        </w:tc>
        <w:tc>
          <w:tcPr/>
          <w:p>
            <w:pPr>
              <w:pStyle w:val="Compact"/>
              <w:jc w:val="left"/>
            </w:pPr>
            <w:r>
              <w:t xml:space="preserve">−1,1 %</w:t>
            </w:r>
          </w:p>
        </w:tc>
        <w:tc>
          <w:tcPr/>
          <w:p>
            <w:pPr>
              <w:pStyle w:val="Compact"/>
              <w:jc w:val="left"/>
            </w:pPr>
            <w:r>
              <w:t xml:space="preserve">Mantener</w:t>
            </w:r>
          </w:p>
        </w:tc>
      </w:tr>
      <w:tr>
        <w:tc>
          <w:tcPr/>
          <w:p>
            <w:pPr>
              <w:pStyle w:val="Compact"/>
              <w:jc w:val="left"/>
            </w:pPr>
            <w:r>
              <w:t xml:space="preserve">Sin la señal de revisiones</w:t>
            </w:r>
          </w:p>
        </w:tc>
        <w:tc>
          <w:tcPr/>
          <w:p>
            <w:pPr>
              <w:pStyle w:val="Compact"/>
              <w:jc w:val="left"/>
            </w:pPr>
            <w:r>
              <w:t xml:space="preserve">+8,2 %</w:t>
            </w:r>
          </w:p>
        </w:tc>
        <w:tc>
          <w:tcPr/>
          <w:p>
            <w:pPr>
              <w:pStyle w:val="Compact"/>
              <w:jc w:val="left"/>
            </w:pPr>
            <w:r>
              <w:t xml:space="preserve">+10,9 %</w:t>
            </w:r>
          </w:p>
        </w:tc>
        <w:tc>
          <w:tcPr/>
          <w:p>
            <w:pPr>
              <w:pStyle w:val="Compact"/>
              <w:jc w:val="left"/>
            </w:pPr>
            <w:r>
              <w:t xml:space="preserve">Comprar (puntuación 60,8)</w:t>
            </w:r>
          </w:p>
        </w:tc>
      </w:tr>
      <w:tr>
        <w:tc>
          <w:tcPr/>
          <w:p>
            <w:pPr>
              <w:pStyle w:val="Compact"/>
              <w:jc w:val="left"/>
            </w:pPr>
            <w:r>
              <w:t xml:space="preserve">Sin revisiones e historial 4</w:t>
            </w:r>
          </w:p>
        </w:tc>
        <w:tc>
          <w:tcPr/>
          <w:p>
            <w:pPr>
              <w:pStyle w:val="Compact"/>
              <w:jc w:val="left"/>
            </w:pPr>
            <w:r>
              <w:t xml:space="preserve">+8,2 %</w:t>
            </w:r>
          </w:p>
        </w:tc>
        <w:tc>
          <w:tcPr/>
          <w:p>
            <w:pPr>
              <w:pStyle w:val="Compact"/>
              <w:jc w:val="left"/>
            </w:pPr>
            <w:r>
              <w:t xml:space="preserve">+10,9 %</w:t>
            </w:r>
          </w:p>
        </w:tc>
        <w:tc>
          <w:tcPr/>
          <w:p>
            <w:pPr>
              <w:pStyle w:val="Compact"/>
              <w:jc w:val="left"/>
            </w:pPr>
            <w:r>
              <w:t xml:space="preserve">Mantener (puntuación 59,8)</w:t>
            </w:r>
          </w:p>
        </w:tc>
      </w:tr>
      <w:tr>
        <w:tc>
          <w:tcPr/>
          <w:p>
            <w:pPr>
              <w:pStyle w:val="Compact"/>
              <w:jc w:val="left"/>
            </w:pPr>
            <w:r>
              <w:t xml:space="preserve">Probabilidades 35/50/15</w:t>
            </w:r>
          </w:p>
        </w:tc>
        <w:tc>
          <w:tcPr/>
          <w:p>
            <w:pPr>
              <w:pStyle w:val="Compact"/>
              <w:jc w:val="left"/>
            </w:pPr>
            <w:r>
              <w:t xml:space="preserve">−1,5 %</w:t>
            </w:r>
          </w:p>
        </w:tc>
        <w:tc>
          <w:tcPr/>
          <w:p>
            <w:pPr>
              <w:pStyle w:val="Compact"/>
              <w:jc w:val="left"/>
            </w:pPr>
            <w:r>
              <w:t xml:space="preserve">+10,9 %</w:t>
            </w:r>
          </w:p>
        </w:tc>
        <w:tc>
          <w:tcPr/>
          <w:p>
            <w:pPr>
              <w:pStyle w:val="Compact"/>
              <w:jc w:val="left"/>
            </w:pPr>
            <w:r>
              <w:t xml:space="preserve">Mantener</w:t>
            </w:r>
          </w:p>
        </w:tc>
      </w:tr>
    </w:tbl>
    <w:p>
      <w:pPr>
        <w:pStyle w:val="BodyText"/>
      </w:pPr>
      <w:r>
        <w:rPr>
          <w:bCs/>
          <w:b/>
        </w:rPr>
        <w:t xml:space="preserve">Lectura honesta:</w:t>
      </w:r>
      <w:r>
        <w:t xml:space="preserve"> </w:t>
      </w:r>
      <w:r>
        <w:t xml:space="preserve">la señal es Comprar, pero</w:t>
      </w:r>
      <w:r>
        <w:t xml:space="preserve"> </w:t>
      </w:r>
      <w:r>
        <w:rPr>
          <w:bCs/>
          <w:b/>
        </w:rPr>
        <w:t xml:space="preserve">frágil</w:t>
      </w:r>
      <w:r>
        <w:t xml:space="preserve">. Tiene poco margen en todo: la ponderada está 3,2 pp por encima del listón, la puntuación 3,3 puntos y el precio un 1 % bajo el límite. Y depende sobre todo de una cosa: que la desaceleración sea suave (del 22 % al ~19 %). Si el mercado ve que Saab frena al 15 % en 2028, el múltiplo que justifica el precio cae y el método pasa a Mantener. Lo defiendo así: la cartera ya cubre ~74 % de las ventas de 2027, el consenso de 2028 (139.649 M, +17 %) es coherente con el 19 % de la ventana, y Saab bate sus guías de forma sistemática. Por eso no la rebajo. Pero es</w:t>
      </w:r>
      <w:r>
        <w:t xml:space="preserve"> </w:t>
      </w:r>
      <w:r>
        <w:rPr>
          <w:bCs/>
          <w:b/>
        </w:rPr>
        <w:t xml:space="preserve">convicción baja</w:t>
      </w:r>
      <w:r>
        <w:t xml:space="preserve"> </w:t>
      </w:r>
      <w:r>
        <w:t xml:space="preserve">de verdad, no por fórmula.</w:t>
      </w:r>
    </w:p>
    <w:p>
      <w:pPr>
        <w:pStyle w:val="BodyText"/>
      </w:pPr>
      <w:r>
        <w:rPr>
          <w:bCs/>
          <w:b/>
        </w:rPr>
        <w:t xml:space="preserve">Riesgos del negocio:</w:t>
      </w:r>
      <w:r>
        <w:t xml:space="preserve"> </w:t>
      </w:r>
      <w:r>
        <w:t xml:space="preserve">-</w:t>
      </w:r>
      <w:r>
        <w:t xml:space="preserve"> </w:t>
      </w:r>
      <w:r>
        <w:rPr>
          <w:bCs/>
          <w:b/>
        </w:rPr>
        <w:t xml:space="preserve">Paz en Ucrania o relajación del gasto</w:t>
      </w:r>
      <w:r>
        <w:t xml:space="preserve">: el sector cae con cada titular. Para Saab el efecto directo es menor que para Rheinmetall (menos munición; el 76 % de la cartera es exportación y casi todo es programa largo: cazas, alerta temprana, submarinos), pero el múltiplo sí se resentiría [10].</w:t>
      </w:r>
      <w:r>
        <w:t xml:space="preserve"> </w:t>
      </w:r>
      <w:r>
        <w:t xml:space="preserve">-</w:t>
      </w:r>
      <w:r>
        <w:t xml:space="preserve"> </w:t>
      </w:r>
      <w:r>
        <w:rPr>
          <w:bCs/>
          <w:b/>
        </w:rPr>
        <w:t xml:space="preserve">Ejecución y capacidad</w:t>
      </w:r>
      <w:r>
        <w:t xml:space="preserve">: ~3.000 contrataciones netas al año, fábricas nuevas, proveedores únicos y tierras raras. Saab lo cita como el principal riesgo de su crecimiento [1].</w:t>
      </w:r>
      <w:r>
        <w:t xml:space="preserve"> </w:t>
      </w:r>
      <w:r>
        <w:t xml:space="preserve">-</w:t>
      </w:r>
      <w:r>
        <w:t xml:space="preserve"> </w:t>
      </w:r>
      <w:r>
        <w:rPr>
          <w:bCs/>
          <w:b/>
        </w:rPr>
        <w:t xml:space="preserve">Valoración</w:t>
      </w:r>
      <w:r>
        <w:t xml:space="preserve">: 34x el beneficio de 2027, la más cara de los grandes europeos salvo Hensoldt. Un 4T flojo podría comprimir el múltiplo hacia 15x (el bajista usa 11,3x).</w:t>
      </w:r>
      <w:r>
        <w:t xml:space="preserve"> </w:t>
      </w:r>
      <w:r>
        <w:t xml:space="preserve">-</w:t>
      </w:r>
      <w:r>
        <w:t xml:space="preserve"> </w:t>
      </w:r>
      <w:r>
        <w:rPr>
          <w:bCs/>
          <w:b/>
        </w:rPr>
        <w:t xml:space="preserve">Concentración en Suecia</w:t>
      </w:r>
      <w:r>
        <w:t xml:space="preserve"> </w:t>
      </w:r>
      <w:r>
        <w:t xml:space="preserve">(42 % de las ventas) y riesgo político de exportación (licencias suecas).</w:t>
      </w:r>
      <w:r>
        <w:t xml:space="preserve"> </w:t>
      </w:r>
      <w:r>
        <w:t xml:space="preserve">-</w:t>
      </w:r>
      <w:r>
        <w:t xml:space="preserve"> </w:t>
      </w:r>
      <w:r>
        <w:rPr>
          <w:bCs/>
          <w:b/>
        </w:rPr>
        <w:t xml:space="preserve">Investigación del Departamento de Justicia de EE. UU.</w:t>
      </w:r>
      <w:r>
        <w:t xml:space="preserve"> </w:t>
      </w:r>
      <w:r>
        <w:t xml:space="preserve">sobre Brasil (2014) [1].</w:t>
      </w:r>
      <w:r>
        <w:t xml:space="preserve"> </w:t>
      </w:r>
      <w:r>
        <w:t xml:space="preserve">-</w:t>
      </w:r>
      <w:r>
        <w:t xml:space="preserve"> </w:t>
      </w:r>
      <w:r>
        <w:rPr>
          <w:bCs/>
          <w:b/>
        </w:rPr>
        <w:t xml:space="preserve">Riesgo de IA: bajo.</w:t>
      </w:r>
      <w:r>
        <w:t xml:space="preserve"> </w:t>
      </w:r>
      <w:r>
        <w:t xml:space="preserve">La IA no sustituye un caza, un radar ni un submarino; al contrario, Saab la incorpora (autonomía, guerra electrónica, Helsing) y le sube la demanda de sensores y de defensa antidrón. El riesgo de fondo es otro: que enjambres de drones baratos con IA quiten peso a las plataformas caras. Saab se cubre con Nimbrix, el antidrón y los vehículos no tripulados, y no depende de vender software sustituible.</w:t>
      </w:r>
    </w:p>
    <w:p>
      <w:pPr>
        <w:pStyle w:val="BodyText"/>
      </w:pPr>
      <w:r>
        <w:rPr>
          <w:bCs/>
          <w:b/>
        </w:rPr>
        <w:t xml:space="preserve">Señales de venta concretas</w:t>
      </w:r>
      <w:r>
        <w:t xml:space="preserve"> </w:t>
      </w:r>
      <w:r>
        <w:t xml:space="preserve">(si se tuviera): dos trimestres seguidos con crecimiento orgánico &lt; 15 %; objetivo 2028 por debajo del ~20 %; FCF anual negativo; pérdida de GlobalEye con la OTAN o Canadá; cargos del Departamento de Justicia.</w:t>
      </w:r>
    </w:p>
    <w:bookmarkEnd w:id="30"/>
    <w:bookmarkStart w:id="31"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Fecha</w:t>
            </w:r>
          </w:p>
        </w:tc>
        <w:tc>
          <w:tcPr/>
          <w:p>
            <w:pPr>
              <w:pStyle w:val="Compact"/>
              <w:jc w:val="left"/>
            </w:pPr>
            <w:r>
              <w:t xml:space="preserve">Evento</w:t>
            </w:r>
          </w:p>
        </w:tc>
      </w:tr>
      <w:tr>
        <w:tc>
          <w:tcPr/>
          <w:p>
            <w:pPr>
              <w:pStyle w:val="Compact"/>
              <w:jc w:val="left"/>
            </w:pPr>
            <w:r>
              <w:t xml:space="preserve">23-oct-2026</w:t>
            </w:r>
          </w:p>
        </w:tc>
        <w:tc>
          <w:tcPr/>
          <w:p>
            <w:pPr>
              <w:pStyle w:val="Compact"/>
              <w:jc w:val="left"/>
            </w:pPr>
            <w:r>
              <w:t xml:space="preserve">Resultados del 3T26 (consenso: ventas ~20.000 M, +26 %; EBITDA ~2.690 M); se registran los 24.600 M de Gripen para Ucrania [7][12]</w:t>
            </w:r>
          </w:p>
        </w:tc>
      </w:tr>
      <w:tr>
        <w:tc>
          <w:tcPr/>
          <w:p>
            <w:pPr>
              <w:pStyle w:val="Compact"/>
              <w:jc w:val="left"/>
            </w:pPr>
            <w:r>
              <w:t xml:space="preserve">4T26</w:t>
            </w:r>
          </w:p>
        </w:tc>
        <w:tc>
          <w:tcPr/>
          <w:p>
            <w:pPr>
              <w:pStyle w:val="Compact"/>
              <w:jc w:val="left"/>
            </w:pPr>
            <w:r>
              <w:t xml:space="preserve">Negociación de los contratos de GlobalEye con la OTAN (hasta 10), Países Bajos y Canadá; cierre de la venta de Public Safety</w:t>
            </w:r>
          </w:p>
        </w:tc>
      </w:tr>
      <w:tr>
        <w:tc>
          <w:tcPr/>
          <w:p>
            <w:pPr>
              <w:pStyle w:val="Compact"/>
              <w:jc w:val="left"/>
            </w:pPr>
            <w:r>
              <w:t xml:space="preserve">5-feb-2027 (aprox.)</w:t>
            </w:r>
          </w:p>
        </w:tc>
        <w:tc>
          <w:tcPr/>
          <w:p>
            <w:pPr>
              <w:pStyle w:val="Compact"/>
              <w:jc w:val="left"/>
            </w:pPr>
            <w:r>
              <w:t xml:space="preserve">Resultados de 2026 y</w:t>
            </w:r>
            <w:r>
              <w:t xml:space="preserve"> </w:t>
            </w:r>
            <w:r>
              <w:rPr>
                <w:bCs/>
                <w:b/>
              </w:rPr>
              <w:t xml:space="preserve">nuevos objetivos a medio plazo</w:t>
            </w:r>
            <w:r>
              <w:t xml:space="preserve"> </w:t>
            </w:r>
            <w:r>
              <w:t xml:space="preserve">(los de 2023-2027 vencen; la dirección anticipó la revisión) [1][13]</w:t>
            </w:r>
          </w:p>
        </w:tc>
      </w:tr>
      <w:tr>
        <w:tc>
          <w:tcPr/>
          <w:p>
            <w:pPr>
              <w:pStyle w:val="Compact"/>
              <w:jc w:val="left"/>
            </w:pPr>
            <w:r>
              <w:t xml:space="preserve">2027</w:t>
            </w:r>
          </w:p>
        </w:tc>
        <w:tc>
          <w:tcPr/>
          <w:p>
            <w:pPr>
              <w:pStyle w:val="Compact"/>
              <w:jc w:val="left"/>
            </w:pPr>
            <w:r>
              <w:t xml:space="preserve">Primeras entregas de Gripen F a Brasil; pedidos de Tailandia y Perú, y quizá de Colombia, Filipinas o Canadá (cazas)</w:t>
            </w:r>
          </w:p>
        </w:tc>
      </w:tr>
      <w:tr>
        <w:tc>
          <w:tcPr/>
          <w:p>
            <w:pPr>
              <w:pStyle w:val="Compact"/>
              <w:jc w:val="left"/>
            </w:pPr>
            <w:r>
              <w:t xml:space="preserve">Continuo</w:t>
            </w:r>
          </w:p>
        </w:tc>
        <w:tc>
          <w:tcPr/>
          <w:p>
            <w:pPr>
              <w:pStyle w:val="Compact"/>
              <w:jc w:val="left"/>
            </w:pPr>
            <w:r>
              <w:t xml:space="preserve">Negociaciones de paz en Ucrania; presupuestos de defensa (meta de la OTAN de 3,5 % + 1,5 % del PIB en 2035, de memoria)</w:t>
            </w:r>
          </w:p>
        </w:tc>
      </w:tr>
    </w:tbl>
    <w:bookmarkEnd w:id="31"/>
    <w:bookmarkStart w:id="32" w:name="encaje-en-cartera"/>
    <w:p>
      <w:pPr>
        <w:pStyle w:val="Heading2"/>
      </w:pPr>
      <w:r>
        <w:t xml:space="preserve">13. Encaje en cartera</w:t>
      </w:r>
    </w:p>
    <w:p>
      <w:pPr>
        <w:numPr>
          <w:ilvl w:val="0"/>
          <w:numId w:val="1010"/>
        </w:numPr>
        <w:pStyle w:val="Compact"/>
      </w:pPr>
      <w:r>
        <w:rPr>
          <w:bCs/>
          <w:b/>
        </w:rPr>
        <w:t xml:space="preserve">Bolsillo growth lleno (~20 %)</w:t>
      </w:r>
      <w:r>
        <w:t xml:space="preserve">: Nu (+19 %), Axon (+36 %), Shopify (+18 %), Snowflake (+13 %) y Samsara (+15 %), a precio actual con v11. La liquidez es de ≈27 EUR, así que solo cabe sustituir. Alphabet se vende mañana y no cuenta.</w:t>
      </w:r>
    </w:p>
    <w:p>
      <w:pPr>
        <w:numPr>
          <w:ilvl w:val="0"/>
          <w:numId w:val="1010"/>
        </w:numPr>
        <w:pStyle w:val="Compact"/>
      </w:pPr>
      <w:r>
        <w:rPr>
          <w:bCs/>
          <w:b/>
        </w:rPr>
        <w:t xml:space="preserve">Saab al precio actual: +6,0 % de ponderada</w:t>
      </w:r>
      <w:r>
        <w:t xml:space="preserve"> </w:t>
      </w:r>
      <w:r>
        <w:t xml:space="preserve">(objetivo fijo de 644,7 SEK frente a 610,50). Rinde menos de la mitad que la peor de las cinco (Snowflake, +13 %), con una convicción menor (baja frente a media) y la puntuación más baja (63 frente a 78).</w:t>
      </w:r>
      <w:r>
        <w:t xml:space="preserve"> </w:t>
      </w:r>
      <w:r>
        <w:rPr>
          <w:bCs/>
          <w:b/>
        </w:rPr>
        <w:t xml:space="preserve">No sustituye a ninguna</w:t>
      </w:r>
      <w:r>
        <w:t xml:space="preserve">: no tiene ni el margen ni la convicción. Sustituir a Snowflake por Saab sería cambiar +13 % por +6 % para ganar diversificación.</w:t>
      </w:r>
    </w:p>
    <w:p>
      <w:pPr>
        <w:numPr>
          <w:ilvl w:val="0"/>
          <w:numId w:val="1010"/>
        </w:numPr>
        <w:pStyle w:val="Compact"/>
      </w:pPr>
      <w:r>
        <w:rPr>
          <w:bCs/>
          <w:b/>
        </w:rPr>
        <w:t xml:space="preserve">Puesto de suplente: 8.º</w:t>
      </w:r>
      <w:r>
        <w:t xml:space="preserve">, detrás de MongoDB, Toast, Zscaler, Dexcom, Datadog, argenx y Natera (Natera +7 %, Saab +6 %).</w:t>
      </w:r>
    </w:p>
    <w:p>
      <w:pPr>
        <w:numPr>
          <w:ilvl w:val="0"/>
          <w:numId w:val="1010"/>
        </w:numPr>
        <w:pStyle w:val="Compact"/>
      </w:pPr>
      <w:r>
        <w:rPr>
          <w:bCs/>
          <w:b/>
        </w:rPr>
        <w:t xml:space="preserve">A su favor (no puntúa en la regla, pero se dice)</w:t>
      </w:r>
      <w:r>
        <w:t xml:space="preserve">: sería</w:t>
      </w:r>
      <w:r>
        <w:t xml:space="preserve"> </w:t>
      </w:r>
      <w:r>
        <w:rPr>
          <w:bCs/>
          <w:b/>
        </w:rPr>
        <w:t xml:space="preserve">la única empresa de defensa, europea y en coronas</w:t>
      </w:r>
      <w:r>
        <w:t xml:space="preserve"> </w:t>
      </w:r>
      <w:r>
        <w:t xml:space="preserve">del bolsillo growth, que hoy es todo tecnología, fintech y salud de EE. UU. Su riesgo (gasto público europeo, ciclo político) apenas se correlaciona con el software. Si el usuario quiere diversificar el bolsillo, Saab es mejor candidata que Rheinmetall (Mantener). Por la regla, sigue sin entrar.</w:t>
      </w:r>
    </w:p>
    <w:p>
      <w:pPr>
        <w:numPr>
          <w:ilvl w:val="0"/>
          <w:numId w:val="1010"/>
        </w:numPr>
        <w:pStyle w:val="Compact"/>
      </w:pPr>
      <w:r>
        <w:rPr>
          <w:bCs/>
          <w:b/>
        </w:rPr>
        <w:t xml:space="preserve">Cuándo subiría puestos</w:t>
      </w:r>
      <w:r>
        <w:t xml:space="preserve">: (a)</w:t>
      </w:r>
      <w:r>
        <w:t xml:space="preserve"> </w:t>
      </w:r>
      <w:r>
        <w:rPr>
          <w:bCs/>
          <w:b/>
        </w:rPr>
        <w:t xml:space="preserve">por debajo de ~560 SEK</w:t>
      </w:r>
      <w:r>
        <w:t xml:space="preserve"> </w:t>
      </w:r>
      <w:r>
        <w:t xml:space="preserve">(al precio de hoy le faltan ~8 pp; a 560 la ponderada con el objetivo fijo sería ~+16 %, de nivel Shopify o Samsara); o (b) si el 3T (23-oct) y los objetivos nuevos de febrero suben el consenso de 2028 y el precio supera la media de 200 sesiones (con una señal más, la puntuación iría a ~66). Si entrara:</w:t>
      </w:r>
      <w:r>
        <w:t xml:space="preserve"> </w:t>
      </w:r>
      <w:r>
        <w:rPr>
          <w:bCs/>
          <w:b/>
        </w:rPr>
        <w:t xml:space="preserve">3,5 % (~1.040 EUR)</w:t>
      </w:r>
      <w:r>
        <w:t xml:space="preserve">, en dos tramos (mitad ya, mitad tras los resultados de febrero o con una caída del 10 %), pagado con la salida de la growth más débil.</w:t>
      </w:r>
    </w:p>
    <w:p>
      <w:pPr>
        <w:numPr>
          <w:ilvl w:val="0"/>
          <w:numId w:val="1010"/>
        </w:numPr>
        <w:pStyle w:val="Compact"/>
      </w:pPr>
      <w:r>
        <w:t xml:space="preserve">No hay ninguna empresa de defensa en la cartera value. El informe value de Kongsberg (7-oct) y el de Indra la usan como comparable.</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16,7</w:t>
            </w:r>
          </w:p>
        </w:tc>
        <w:tc>
          <w:tcPr/>
          <w:p>
            <w:pPr>
              <w:pStyle w:val="Compact"/>
              <w:jc w:val="left"/>
            </w:pPr>
            <w:r>
              <w:t xml:space="preserve">25</w:t>
            </w:r>
          </w:p>
        </w:tc>
        <w:tc>
          <w:tcPr/>
          <w:p>
            <w:pPr>
              <w:pStyle w:val="Compact"/>
              <w:jc w:val="left"/>
            </w:pPr>
            <w:r>
              <w:t xml:space="preserve">Ventas 12 m +26 % (3), CAGR propio a 2 años 20,7 % (3), aceleración +3,2 pp (4)</w:t>
            </w:r>
          </w:p>
        </w:tc>
      </w:tr>
      <w:tr>
        <w:tc>
          <w:tcPr/>
          <w:p>
            <w:pPr>
              <w:pStyle w:val="Compact"/>
              <w:jc w:val="left"/>
            </w:pPr>
            <w:r>
              <w:t xml:space="preserve">B. Mercado y tecnología</w:t>
            </w:r>
          </w:p>
        </w:tc>
        <w:tc>
          <w:tcPr/>
          <w:p>
            <w:pPr>
              <w:pStyle w:val="Compact"/>
              <w:jc w:val="left"/>
            </w:pPr>
            <w:r>
              <w:t xml:space="preserve">14,7</w:t>
            </w:r>
          </w:p>
        </w:tc>
        <w:tc>
          <w:tcPr/>
          <w:p>
            <w:pPr>
              <w:pStyle w:val="Compact"/>
              <w:jc w:val="left"/>
            </w:pPr>
            <w:r>
              <w:t xml:space="preserve">20</w:t>
            </w:r>
          </w:p>
        </w:tc>
        <w:tc>
          <w:tcPr/>
          <w:p>
            <w:pPr>
              <w:pStyle w:val="Compact"/>
              <w:jc w:val="left"/>
            </w:pPr>
            <w:r>
              <w:t xml:space="preserve">Penetración 6,8 % (3), tecnología 4, posición 4</w:t>
            </w:r>
          </w:p>
        </w:tc>
      </w:tr>
      <w:tr>
        <w:tc>
          <w:tcPr/>
          <w:p>
            <w:pPr>
              <w:pStyle w:val="Compact"/>
              <w:jc w:val="left"/>
            </w:pPr>
            <w:r>
              <w:t xml:space="preserve">C. Cambio de tendencia</w:t>
            </w:r>
          </w:p>
        </w:tc>
        <w:tc>
          <w:tcPr/>
          <w:p>
            <w:pPr>
              <w:pStyle w:val="Compact"/>
              <w:jc w:val="left"/>
            </w:pPr>
            <w:r>
              <w:t xml:space="preserve">5</w:t>
            </w:r>
          </w:p>
        </w:tc>
        <w:tc>
          <w:tcPr/>
          <w:p>
            <w:pPr>
              <w:pStyle w:val="Compact"/>
              <w:jc w:val="left"/>
            </w:pPr>
            <w:r>
              <w:t xml:space="preserve">20</w:t>
            </w:r>
          </w:p>
        </w:tc>
        <w:tc>
          <w:tcPr/>
          <w:p>
            <w:pPr>
              <w:pStyle w:val="Compact"/>
              <w:jc w:val="left"/>
            </w:pPr>
            <w:r>
              <w:t xml:space="preserve">2 señales (revisiones, catalizador); sin euforia</w:t>
            </w:r>
          </w:p>
        </w:tc>
      </w:tr>
      <w:tr>
        <w:tc>
          <w:tcPr/>
          <w:p>
            <w:pPr>
              <w:pStyle w:val="Compact"/>
              <w:jc w:val="left"/>
            </w:pPr>
            <w:r>
              <w:t xml:space="preserve">D. Economía unitaria</w:t>
            </w:r>
          </w:p>
        </w:tc>
        <w:tc>
          <w:tcPr/>
          <w:p>
            <w:pPr>
              <w:pStyle w:val="Compact"/>
              <w:jc w:val="left"/>
            </w:pPr>
            <w:r>
              <w:t xml:space="preserve">8</w:t>
            </w:r>
          </w:p>
        </w:tc>
        <w:tc>
          <w:tcPr/>
          <w:p>
            <w:pPr>
              <w:pStyle w:val="Compact"/>
              <w:jc w:val="left"/>
            </w:pPr>
            <w:r>
              <w:t xml:space="preserve">15</w:t>
            </w:r>
          </w:p>
        </w:tc>
        <w:tc>
          <w:tcPr/>
          <w:p>
            <w:pPr>
              <w:pStyle w:val="Compact"/>
              <w:jc w:val="left"/>
            </w:pPr>
            <w:r>
              <w:t xml:space="preserve">Margen bruto 22 % (1), regla del 40 = 32 (2), FCF creciente (5)</w:t>
            </w:r>
          </w:p>
        </w:tc>
      </w:tr>
      <w:tr>
        <w:tc>
          <w:tcPr/>
          <w:p>
            <w:pPr>
              <w:pStyle w:val="Compact"/>
              <w:jc w:val="left"/>
            </w:pPr>
            <w:r>
              <w:t xml:space="preserve">E. Caja y dilución</w:t>
            </w:r>
          </w:p>
        </w:tc>
        <w:tc>
          <w:tcPr/>
          <w:p>
            <w:pPr>
              <w:pStyle w:val="Compact"/>
              <w:jc w:val="left"/>
            </w:pPr>
            <w:r>
              <w:t xml:space="preserve">10</w:t>
            </w:r>
          </w:p>
        </w:tc>
        <w:tc>
          <w:tcPr/>
          <w:p>
            <w:pPr>
              <w:pStyle w:val="Compact"/>
              <w:jc w:val="left"/>
            </w:pPr>
            <w:r>
              <w:t xml:space="preserve">10</w:t>
            </w:r>
          </w:p>
        </w:tc>
        <w:tc>
          <w:tcPr/>
          <w:p>
            <w:pPr>
              <w:pStyle w:val="Compact"/>
              <w:jc w:val="left"/>
            </w:pPr>
            <w:r>
              <w:t xml:space="preserve">FCF positivo, liquidez neta, dilución 0 %</w:t>
            </w:r>
          </w:p>
        </w:tc>
      </w:tr>
      <w:tr>
        <w:tc>
          <w:tcPr/>
          <w:p>
            <w:pPr>
              <w:pStyle w:val="Compact"/>
              <w:jc w:val="left"/>
            </w:pPr>
            <w:r>
              <w:t xml:space="preserve">F. Ejecución y dirección</w:t>
            </w:r>
          </w:p>
        </w:tc>
        <w:tc>
          <w:tcPr/>
          <w:p>
            <w:pPr>
              <w:pStyle w:val="Compact"/>
              <w:jc w:val="left"/>
            </w:pPr>
            <w:r>
              <w:t xml:space="preserve">9</w:t>
            </w:r>
          </w:p>
        </w:tc>
        <w:tc>
          <w:tcPr/>
          <w:p>
            <w:pPr>
              <w:pStyle w:val="Compact"/>
              <w:jc w:val="left"/>
            </w:pPr>
            <w:r>
              <w:t xml:space="preserve">10</w:t>
            </w:r>
          </w:p>
        </w:tc>
        <w:tc>
          <w:tcPr/>
          <w:p>
            <w:pPr>
              <w:pStyle w:val="Compact"/>
              <w:jc w:val="left"/>
            </w:pPr>
            <w:r>
              <w:t xml:space="preserve">Historial 5, dirección 4</w:t>
            </w:r>
          </w:p>
        </w:tc>
      </w:tr>
      <w:tr>
        <w:tc>
          <w:tcPr/>
          <w:p>
            <w:pPr>
              <w:pStyle w:val="Compact"/>
              <w:jc w:val="left"/>
            </w:pPr>
            <w:r>
              <w:rPr>
                <w:bCs/>
                <w:b/>
              </w:rPr>
              <w:t xml:space="preserve">Total</w:t>
            </w:r>
          </w:p>
        </w:tc>
        <w:tc>
          <w:tcPr/>
          <w:p>
            <w:pPr>
              <w:pStyle w:val="Compact"/>
              <w:jc w:val="left"/>
            </w:pPr>
            <w:r>
              <w:rPr>
                <w:bCs/>
                <w:b/>
              </w:rPr>
              <w:t xml:space="preserve">63,3</w:t>
            </w:r>
          </w:p>
        </w:tc>
        <w:tc>
          <w:tcPr/>
          <w:p>
            <w:pPr>
              <w:pStyle w:val="Compact"/>
              <w:jc w:val="left"/>
            </w:pPr>
            <w:r>
              <w:rPr>
                <w:bCs/>
                <w:b/>
              </w:rPr>
              <w:t xml:space="preserve">100</w:t>
            </w:r>
          </w:p>
        </w:tc>
        <w:tc>
          <w:tcPr/>
          <w:p>
            <w:pPr>
              <w:pStyle w:val="Compact"/>
            </w:pPr>
          </w:p>
        </w:tc>
      </w:tr>
    </w:tbl>
    <w:bookmarkEnd w:id="33"/>
    <w:bookmarkStart w:id="34" w:name="fuentes"/>
    <w:p>
      <w:pPr>
        <w:pStyle w:val="Heading2"/>
      </w:pPr>
      <w:r>
        <w:t xml:space="preserve">Fuentes</w:t>
      </w:r>
    </w:p>
    <w:p>
      <w:pPr>
        <w:pStyle w:val="FirstParagraph"/>
      </w:pPr>
      <w:r>
        <w:t xml:space="preserve">[1] Saab, Interim Report Q2 2026 (17-jul-2026; mb.cision.com/Main/183/4375551/4197339.pdf) y nota de prensa en saab.com: cifras del trimestre y del semestre, tabla trimestral 3T24-2T26, cartera y su calendario, liquidez neta, acciones, mayores accionistas, riesgos (incluida la investigación del Departamento de Justicia de EE. UU.), objetivos 2023-2027</w:t>
      </w:r>
      <w:r>
        <w:t xml:space="preserve"> </w:t>
      </w:r>
      <w:r>
        <w:t xml:space="preserve">[2] Yahoo Finance chart API: SAAB-B.ST, ^OMXSPI, RHM.DE y EURSEK=X (cierres diarios a 2 años y mensuales a 5 años; cierre de 598,10 SEK el 13-oct y 610,50 SEK el 14-oct a las 15:29 UTC); Capital Insights (ficha con el cierre de 598,10 SEK del 13-oct) como segunda fuente</w:t>
      </w:r>
      <w:r>
        <w:t xml:space="preserve"> </w:t>
      </w:r>
      <w:r>
        <w:t xml:space="preserve">[3] Saab, Year-end Report 2025 (5-feb-2026, saab.com); Börsvärlden (5-feb-2026): sin previsión para 2026, objetivo de ~22 %, batió el consenso de Bloomberg</w:t>
      </w:r>
      <w:r>
        <w:t xml:space="preserve"> </w:t>
      </w:r>
      <w:r>
        <w:t xml:space="preserve">[4] Realtid (14-feb-2023), objetivos originales 2023-2027; saab.com, Financial targets</w:t>
      </w:r>
      <w:r>
        <w:t xml:space="preserve"> </w:t>
      </w:r>
      <w:r>
        <w:t xml:space="preserve">[5] Saab, notas del 2T25 y del 3T25 (guía 2025: 12-16 % → 16-20 % → 20-24 %), vía saab.com y TipRanks</w:t>
      </w:r>
      <w:r>
        <w:t xml:space="preserve"> </w:t>
      </w:r>
      <w:r>
        <w:t xml:space="preserve">[6] TipRanks e Investing.com (oct-2026): objetivos medios ~574-594 SEK; Citi de 527 a 628 SEK (23-sep-2026); Kepler Cheuvreux Reducir</w:t>
      </w:r>
      <w:r>
        <w:t xml:space="preserve"> </w:t>
      </w:r>
      <w:r>
        <w:t xml:space="preserve">[7] MarketScreener, Saab AB: estimaciones 2026-2028 de ventas, EBITDA, EBIT, BPA y dividendo; estimación del 3T26; consenso tras el 2T (14-oct-2026)</w:t>
      </w:r>
      <w:r>
        <w:t xml:space="preserve"> </w:t>
      </w:r>
      <w:r>
        <w:t xml:space="preserve">[8] Capital Insights (7-ago-2026), «Saab: Strong Growth Makes The High Valuation More Defensible But Not Yet Cheap»: PER 2027 de Saab y de sus comparables</w:t>
      </w:r>
      <w:r>
        <w:t xml:space="preserve"> </w:t>
      </w:r>
      <w:r>
        <w:t xml:space="preserve">[9] Realtid (27-ene-2026 y jun-ago-2026), Affärsvärlden, Placera (16-abr-2026) y Dagens PS (23-abr-2026): recomendaciones y debate sobre la valoración</w:t>
      </w:r>
      <w:r>
        <w:t xml:space="preserve"> </w:t>
      </w:r>
      <w:r>
        <w:t xml:space="preserve">[10] Morningstar (2026), Boerse Global, Affärsvärlden (Citi y Colombia), CNBC (dic-2025 y abr-2026): sector y noticias de paz</w:t>
      </w:r>
      <w:r>
        <w:t xml:space="preserve"> </w:t>
      </w:r>
      <w:r>
        <w:t xml:space="preserve">[11] Saab, «Sale of shares in Saab» (18-feb-2026); Realtid (ago-2026): ventas de iniciados</w:t>
      </w:r>
      <w:r>
        <w:t xml:space="preserve"> </w:t>
      </w:r>
      <w:r>
        <w:t xml:space="preserve">[12] Saab, notas de prensa jul-oct 2026 (saab.com y allaaktier.se): OTAN y GlobalEye, Embraer, Finlandia, Países Bajos, Canadá, cambios en la dirección (10-sep); invitación a los resultados del 3T del 23-oct (placera.se)</w:t>
      </w:r>
      <w:r>
        <w:t xml:space="preserve"> </w:t>
      </w:r>
      <w:r>
        <w:t xml:space="preserve">[13] Quartr e Investing.com: resumen y transcripción de la conferencia del 2T26</w:t>
      </w:r>
      <w:r>
        <w:t xml:space="preserve"> </w:t>
      </w:r>
      <w:r>
        <w:t xml:space="preserve">[14] Mercado alcanzable: estimación propia (base: informe growth de Rheinmetall de este repositorio, fuente [20]; EUR/SEK 11,19)</w:t>
      </w:r>
      <w:r>
        <w:t xml:space="preserve"> </w:t>
      </w:r>
      <w:r>
        <w:t xml:space="preserve">[15] Múltiplos históricos: estimación propia con cierres mensuales de Yahoo y EBITDA real o de consenso de los 12 meses siguientes; comparables de MarketScreener (7-oct-2026, vía el informe value de Kongsberg) y del informe growth de Rheinmetall</w:t>
      </w:r>
    </w:p>
    <w:p>
      <w:pPr>
        <w:pStyle w:val="BodyText"/>
      </w:pPr>
      <w:r>
        <w:rPr>
          <w:iCs/>
          <w:i/>
        </w:rPr>
        <w:t xml:space="preserve">Limitaciones: Saab no está en la SEC; las cifras salen de su informe trimestral en PDF (fuente primaria), del consenso de MarketScreener y de prensa. Son estimaciones propias, y así se dice en cada caso: la mediana y el mínimo del múltiplo a 3 años, el mercado alcanzable y la ventana de 12 meses del consenso. Los foros suecos y Reddit no devolvieron hilos de octubre. Es de memoria, sin comprobar, la meta de gasto de la OTAN (3,5 % + 1,5 %).</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2026-10-14T17:32:15Z</dcterms:created>
  <dcterms:modified xsi:type="dcterms:W3CDTF">2026-10-14T17:32:15Z</dcterms:modified>
</cp:coreProperties>
</file>

<file path=docProps/custom.xml><?xml version="1.0" encoding="utf-8"?>
<Properties xmlns="http://schemas.openxmlformats.org/officeDocument/2006/custom-properties" xmlns:vt="http://schemas.openxmlformats.org/officeDocument/2006/docPropsVTypes"/>
</file>