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0be544b8b6ba06745dbf6514448af03baff5353"/>
    <w:p>
      <w:pPr>
        <w:pStyle w:val="Heading1"/>
      </w:pPr>
      <w:r>
        <w:t xml:space="preserve">Vertex Pharmaceuticals (VRTX): análisis growth, 14-oct-2026</w:t>
      </w:r>
    </w:p>
    <w:p>
      <w:pPr>
        <w:pStyle w:val="FirstParagraph"/>
      </w:pPr>
      <w:r>
        <w:rPr>
          <w:bCs/>
          <w:b/>
        </w:rPr>
        <w:t xml:space="preserve">Señal (método v11, vigente): Mantener</w:t>
      </w:r>
      <w:r>
        <w:t xml:space="preserve"> </w:t>
      </w:r>
      <w:r>
        <w:t xml:space="preserve">· Puntuación 59,3/100 · Señales de cambio de tendencia 2/8 · EV/beneficio bruto NTM 10,0x</w:t>
      </w:r>
      <w:r>
        <w:t xml:space="preserve"> </w:t>
      </w:r>
      <w:r>
        <w:t xml:space="preserve">Precio 485,22 USD (cierre del 13-oct) · Objetivo 12 m 472,6 USD (ponderada −2,6 %, base −0,1 %, bajista −43,3 %, alcista +33,0 %) · Compra hasta 450,1 USD (y además necesita ≥ 60 puntos)</w:t>
      </w:r>
      <w:r>
        <w:t xml:space="preserve"> </w:t>
      </w:r>
      <w:r>
        <w:rPr>
          <w:bCs/>
          <w:b/>
        </w:rPr>
        <w:t xml:space="preserve">Al precio actual</w:t>
      </w:r>
      <w:r>
        <w:t xml:space="preserve"> </w:t>
      </w:r>
      <w:r>
        <w:t xml:space="preserve">(497,99 USD, 14-oct, 17:28 UTC; objetivo fijo): ponderada −5,1 %, base −2,6 %, bajista −44,7 %. Más lejos del «compra hasta».</w:t>
      </w:r>
      <w:r>
        <w:t xml:space="preserve"> </w:t>
      </w:r>
      <w:r>
        <w:t xml:space="preserve">Referencia v9: idéntica (59,3 puntos, Mantener, ponderada −2,6 %, base −0,1 %, bajista −43,3 %, compra hasta 450,1 USD). La proyección mecánica (15.048 M en el base) queda por debajo de la mía y del consenso (15.300 M), así que el tope de v11 no actúa.</w:t>
      </w:r>
      <w:r>
        <w:t xml:space="preserve"> </w:t>
      </w:r>
      <w:r>
        <w:t xml:space="preserve">Alertas de robustez (</w:t>
      </w:r>
      <w:r>
        <w:rPr>
          <w:rStyle w:val="VerbatimChar"/>
        </w:rPr>
        <w:t xml:space="preserve">calc.alertas</w:t>
      </w:r>
      <w:r>
        <w:t xml:space="preserve">): ninguna.</w:t>
      </w:r>
      <w:r>
        <w:t xml:space="preserve"> </w:t>
      </w:r>
      <w:r>
        <w:t xml:space="preserve">Peso orientativo:</w:t>
      </w:r>
      <w:r>
        <w:t xml:space="preserve"> </w:t>
      </w:r>
      <w:r>
        <w:rPr>
          <w:bCs/>
          <w:b/>
        </w:rPr>
        <w:t xml:space="preserve">no entra</w:t>
      </w:r>
      <w:r>
        <w:t xml:space="preserve">. No sustituye a nadie y</w:t>
      </w:r>
      <w:r>
        <w:t xml:space="preserve"> </w:t>
      </w:r>
      <w:r>
        <w:rPr>
          <w:bCs/>
          <w:b/>
        </w:rPr>
        <w:t xml:space="preserve">no entra en la lista de suplentes</w:t>
      </w:r>
      <w:r>
        <w:t xml:space="preserve"> </w:t>
      </w:r>
      <w:r>
        <w:t xml:space="preserve">(sección 13).</w:t>
      </w:r>
    </w:p>
    <w:p>
      <w:pPr>
        <w:pStyle w:val="BlockText"/>
      </w:pPr>
      <w:r>
        <w:rPr>
          <w:bCs/>
          <w:b/>
        </w:rPr>
        <w:t xml:space="preserve">Valorada por EV/EBITDA ajustado NTM</w:t>
      </w:r>
      <w:r>
        <w:t xml:space="preserve"> </w:t>
      </w:r>
      <w:r>
        <w:t xml:space="preserve">porque Vertex gana dinero de forma estable (margen de explotación no GAAP &gt; 40 % y FCF positivo desde hace más de diez años). Múltiplos 11,1x / 18,5x / 24,0x sobre un 20,3x de hoy. El balance es</w:t>
      </w:r>
      <w:r>
        <w:t xml:space="preserve"> </w:t>
      </w:r>
      <w:r>
        <w:rPr>
          <w:bCs/>
          <w:b/>
        </w:rPr>
        <w:t xml:space="preserve">pro forma tras pagar 10.000 M USD por Crinetics</w:t>
      </w:r>
      <w:r>
        <w:t xml:space="preserve"> </w:t>
      </w:r>
      <w:r>
        <w:t xml:space="preserve">(1-sep-2026). Lectura en una línea: es un monopolio excelente en fibrosis quística que crece al 10 %, y el precio ya paga ese 10 % y algo más; no hay giro de percepción que comprar.</w:t>
      </w:r>
    </w:p>
    <w:bookmarkStart w:id="20" w:name="la-tesis-en-cinco-líneas"/>
    <w:p>
      <w:pPr>
        <w:pStyle w:val="Heading2"/>
      </w:pPr>
      <w:r>
        <w:t xml:space="preserve">1. La tesis en cinco líneas</w:t>
      </w:r>
    </w:p>
    <w:p>
      <w:pPr>
        <w:numPr>
          <w:ilvl w:val="0"/>
          <w:numId w:val="1001"/>
        </w:numPr>
        <w:pStyle w:val="Compact"/>
      </w:pPr>
      <w:r>
        <w:t xml:space="preserve">Vertex es el dueño de la fibrosis quística (FQ): Trikafta/Kaftrio y Alyftrek tratan a ~95 % de los pacientes de los mercados principales. Vende</w:t>
      </w:r>
      <w:r>
        <w:t xml:space="preserve"> </w:t>
      </w:r>
      <w:r>
        <w:rPr>
          <w:bCs/>
          <w:b/>
        </w:rPr>
        <w:t xml:space="preserve">12.587 M USD en 12 meses (+10,2 %)</w:t>
      </w:r>
      <w:r>
        <w:t xml:space="preserve">, con un 86 % de margen bruto, un EBITDA ajustado del 46 % y 3.796 M de FCF (30 %).</w:t>
      </w:r>
    </w:p>
    <w:p>
      <w:pPr>
        <w:numPr>
          <w:ilvl w:val="0"/>
          <w:numId w:val="1001"/>
        </w:numPr>
        <w:pStyle w:val="Compact"/>
      </w:pPr>
      <w:r>
        <w:t xml:space="preserve">La FQ es el</w:t>
      </w:r>
      <w:r>
        <w:t xml:space="preserve"> </w:t>
      </w:r>
      <w:r>
        <w:rPr>
          <w:bCs/>
          <w:b/>
        </w:rPr>
        <w:t xml:space="preserve">~96 % de las ventas</w:t>
      </w:r>
      <w:r>
        <w:t xml:space="preserve">. La diversificación avanza despacio: Casgevy (76 M en el 2T26), Journavx (50 M en el 2T26, con 535.000 recetas) y, desde el 30-nov si la FDA aprueba, povetacicept en nefropatía IgA. Crinetics (Palsonify) añade endocrinología pero resta resultado hasta 2029.</w:t>
      </w:r>
    </w:p>
    <w:p>
      <w:pPr>
        <w:numPr>
          <w:ilvl w:val="0"/>
          <w:numId w:val="1001"/>
        </w:numPr>
        <w:pStyle w:val="Compact"/>
      </w:pPr>
      <w:r>
        <w:t xml:space="preserve">El negocio no se ha roto ni acelera de verdad: la guía implica</w:t>
      </w:r>
      <w:r>
        <w:t xml:space="preserve"> </w:t>
      </w:r>
      <w:r>
        <w:rPr>
          <w:bCs/>
          <w:b/>
        </w:rPr>
        <w:t xml:space="preserve">+9 % en el 2S26</w:t>
      </w:r>
      <w:r>
        <w:t xml:space="preserve"> </w:t>
      </w:r>
      <w:r>
        <w:t xml:space="preserve">y Vertex la bate por poco (+1,1 pp en 2025). Los analistas bajan el BPA (−5 a −7 % en 90 días) por Crinetics.</w:t>
      </w:r>
    </w:p>
    <w:p>
      <w:pPr>
        <w:numPr>
          <w:ilvl w:val="0"/>
          <w:numId w:val="1001"/>
        </w:numPr>
        <w:pStyle w:val="Compact"/>
      </w:pPr>
      <w:r>
        <w:t xml:space="preserve">El precio es exigente para ese ritmo:</w:t>
      </w:r>
      <w:r>
        <w:t xml:space="preserve"> </w:t>
      </w:r>
      <w:r>
        <w:rPr>
          <w:bCs/>
          <w:b/>
        </w:rPr>
        <w:t xml:space="preserve">20,3x EV/EBITDA NTM</w:t>
      </w:r>
      <w:r>
        <w:t xml:space="preserve"> </w:t>
      </w:r>
      <w:r>
        <w:t xml:space="preserve">(mediana de 3 años 17,7x; Amgen 15,4x, Gilead 14,0x, Regeneron 12,8x) y un DCF inverso que pide</w:t>
      </w:r>
      <w:r>
        <w:t xml:space="preserve"> </w:t>
      </w:r>
      <w:r>
        <w:rPr>
          <w:bCs/>
          <w:b/>
        </w:rPr>
        <w:t xml:space="preserve">~9,7 % anual durante 10 años</w:t>
      </w:r>
      <w:r>
        <w:t xml:space="preserve">, justo lo que crece.</w:t>
      </w:r>
    </w:p>
    <w:p>
      <w:pPr>
        <w:numPr>
          <w:ilvl w:val="0"/>
          <w:numId w:val="1001"/>
        </w:numPr>
        <w:pStyle w:val="Compact"/>
      </w:pPr>
      <w:r>
        <w:t xml:space="preserve">Conclusión:</w:t>
      </w:r>
      <w:r>
        <w:t xml:space="preserve"> </w:t>
      </w:r>
      <w:r>
        <w:rPr>
          <w:bCs/>
          <w:b/>
        </w:rPr>
        <w:t xml:space="preserve">Mantener</w:t>
      </w:r>
      <w:r>
        <w:t xml:space="preserve">. El método no la compra por tres razones independientes: puntuación 59,3 (&lt; 60), ponderada −2,6 % (&lt; 5 %) y base −0,1 % (&lt; 0 %). Es calidad defensiva, no un cambio de tendencia. Frente a argenx (suplente, ponderada +11 %), pierde.</w:t>
      </w:r>
    </w:p>
    <w:bookmarkEnd w:id="20"/>
    <w:bookmarkStart w:id="21" w:name="negocio-y-tecnología"/>
    <w:p>
      <w:pPr>
        <w:pStyle w:val="Heading2"/>
      </w:pPr>
      <w:r>
        <w:t xml:space="preserve">2. Negocio y tecnología</w:t>
      </w:r>
    </w:p>
    <w:p>
      <w:pPr>
        <w:pStyle w:val="FirstParagraph"/>
      </w:pPr>
      <w:r>
        <w:t xml:space="preserve">Vertex (Boston, 1989) es una biotecnológica que descubre moléculas pequeñas contra la causa genética de enfermedades graves [1].</w:t>
      </w:r>
    </w:p>
    <w:p>
      <w:pPr>
        <w:numPr>
          <w:ilvl w:val="0"/>
          <w:numId w:val="1002"/>
        </w:numPr>
      </w:pPr>
      <w:r>
        <w:rPr>
          <w:bCs/>
          <w:b/>
        </w:rPr>
        <w:t xml:space="preserve">Fibrosis quística (~96 % de las ventas)</w:t>
      </w:r>
      <w:r>
        <w:t xml:space="preserve">: moduladores de CFTR. En el 2T26: Trikafta/Kaftrio 2.497 M (−2 %),</w:t>
      </w:r>
      <w:r>
        <w:t xml:space="preserve"> </w:t>
      </w:r>
      <w:r>
        <w:rPr>
          <w:bCs/>
          <w:b/>
        </w:rPr>
        <w:t xml:space="preserve">Alyftrek 574 M</w:t>
      </w:r>
      <w:r>
        <w:t xml:space="preserve"> </w:t>
      </w:r>
      <w:r>
        <w:t xml:space="preserve">(la triple de una toma diaria que sustituye a Trikafta: mayor eficacia en cloruro en sudor y</w:t>
      </w:r>
      <w:r>
        <w:t xml:space="preserve"> </w:t>
      </w:r>
      <w:r>
        <w:rPr>
          <w:bCs/>
          <w:b/>
        </w:rPr>
        <w:t xml:space="preserve">regalías más bajas</w:t>
      </w:r>
      <w:r>
        <w:t xml:space="preserve">), Kalydeco, Orkambi y Symdeko 137 M. Alyftrek ya está reembolsado en 25 países y se ha pedido en niños de 2 a 5 años [1].</w:t>
      </w:r>
    </w:p>
    <w:p>
      <w:pPr>
        <w:numPr>
          <w:ilvl w:val="0"/>
          <w:numId w:val="1002"/>
        </w:numPr>
      </w:pPr>
      <w:r>
        <w:rPr>
          <w:bCs/>
          <w:b/>
        </w:rPr>
        <w:t xml:space="preserve">Casgevy</w:t>
      </w:r>
      <w:r>
        <w:t xml:space="preserve"> </w:t>
      </w:r>
      <w:r>
        <w:t xml:space="preserve">(edición genética CRISPR para anemia falciforme y talasemia, con CRISPR Therapeutics): 76 M en el 2T26 (+151 %), aprobado en niños desde 2 años en EE. UU. (en 53 días) [1].</w:t>
      </w:r>
    </w:p>
    <w:p>
      <w:pPr>
        <w:numPr>
          <w:ilvl w:val="0"/>
          <w:numId w:val="1002"/>
        </w:numPr>
      </w:pPr>
      <w:r>
        <w:rPr>
          <w:bCs/>
          <w:b/>
        </w:rPr>
        <w:t xml:space="preserve">Journavx (suzetrigina)</w:t>
      </w:r>
      <w:r>
        <w:t xml:space="preserve">: primer analgésico no opioide de su clase (bloqueo de NaV1.8) para dolor agudo moderado o grave. 50 M en el 2T26; ~260 millones de personas con reembolso [1]. Fases 3 en neuropatía diabética (reclutamiento completo a finales de 2026).</w:t>
      </w:r>
    </w:p>
    <w:p>
      <w:pPr>
        <w:numPr>
          <w:ilvl w:val="0"/>
          <w:numId w:val="1002"/>
        </w:numPr>
      </w:pPr>
      <w:r>
        <w:rPr>
          <w:bCs/>
          <w:b/>
        </w:rPr>
        <w:t xml:space="preserve">Cartera</w:t>
      </w:r>
      <w:r>
        <w:t xml:space="preserve">: povetacicept (inhibidor doble de BAFF/APRIL; nefropatía IgA con PDUFA el</w:t>
      </w:r>
      <w:r>
        <w:t xml:space="preserve"> </w:t>
      </w:r>
      <w:r>
        <w:rPr>
          <w:bCs/>
          <w:b/>
        </w:rPr>
        <w:t xml:space="preserve">30-nov-2026</w:t>
      </w:r>
      <w:r>
        <w:t xml:space="preserve">, nefropatía membranosa en fase 3, miastenia gravis en fase 2: ahí compite con argenx); inaxaplin (riñón APOL1; AMPLIFIED positivo el 22-sep, intermedio de AMPLITUDE a principios de 2027) [7]; zimislecel (células de islote para diabetes tipo 1; reanudó la dosificación tras una revisión de fabricación, nuevos plazos «este año»); VX-828 (corrector de 3.ª generación, datos en el 2S26); VX-670 (distrofia miotónica) [1].</w:t>
      </w:r>
    </w:p>
    <w:p>
      <w:pPr>
        <w:numPr>
          <w:ilvl w:val="0"/>
          <w:numId w:val="1002"/>
        </w:numPr>
      </w:pPr>
      <w:r>
        <w:rPr>
          <w:bCs/>
          <w:b/>
        </w:rPr>
        <w:t xml:space="preserve">Crinetics</w:t>
      </w:r>
      <w:r>
        <w:t xml:space="preserve"> </w:t>
      </w:r>
      <w:r>
        <w:t xml:space="preserve">(cerrada el 1-sep-2026, 10.000 M USD): Palsonify (paltusotina) oral en acromegalia, ya lanzado, y atumelnant en fase 3 en hiperplasia suprarrenal congénita. Vertex calcula &gt; 5.000 M de pico combinado; acrecitiva al resultado de explotación solo en 2029 [6].</w:t>
      </w:r>
    </w:p>
    <w:p>
      <w:pPr>
        <w:numPr>
          <w:ilvl w:val="0"/>
          <w:numId w:val="1002"/>
        </w:numPr>
      </w:pPr>
      <w:r>
        <w:rPr>
          <w:bCs/>
          <w:b/>
        </w:rPr>
        <w:t xml:space="preserve">Tecnología 4/5</w:t>
      </w:r>
      <w:r>
        <w:t xml:space="preserve">: la química de CFTR es un foso que nadie ha replicado en 20 años (patentes de Trikafta hasta ~2037 y de Alyftrek hasta ~2039, de memoria [19]). No es un 5 porque fuera de la FQ sus productos tienen alternativas (genéricos baratos frente a Journavx; Otsuka, Novartis y Vera en nefropatía IgA [19]).</w:t>
      </w:r>
    </w:p>
    <w:p>
      <w:pPr>
        <w:numPr>
          <w:ilvl w:val="0"/>
          <w:numId w:val="1002"/>
        </w:numPr>
      </w:pPr>
      <w:r>
        <w:rPr>
          <w:bCs/>
          <w:b/>
        </w:rPr>
        <w:t xml:space="preserve">Posición 5/5</w:t>
      </w:r>
      <w:r>
        <w:t xml:space="preserve">: líder absoluto en FQ; cuota creciente con Alyftrek.</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Trimestre</w:t>
            </w:r>
          </w:p>
        </w:tc>
        <w:tc>
          <w:tcPr/>
          <w:p>
            <w:pPr>
              <w:pStyle w:val="Compact"/>
              <w:jc w:val="left"/>
            </w:pPr>
            <w:r>
              <w:t xml:space="preserve">Ingresos (M USD)</w:t>
            </w:r>
          </w:p>
        </w:tc>
        <w:tc>
          <w:tcPr/>
          <w:p>
            <w:pPr>
              <w:pStyle w:val="Compact"/>
              <w:jc w:val="left"/>
            </w:pPr>
            <w:r>
              <w:t xml:space="preserve">Crec. interanual</w:t>
            </w:r>
          </w:p>
        </w:tc>
        <w:tc>
          <w:tcPr/>
          <w:p>
            <w:pPr>
              <w:pStyle w:val="Compact"/>
              <w:jc w:val="left"/>
            </w:pPr>
            <w:r>
              <w:t xml:space="preserve">De ellos FQ</w:t>
            </w:r>
          </w:p>
        </w:tc>
        <w:tc>
          <w:tcPr/>
          <w:p>
            <w:pPr>
              <w:pStyle w:val="Compact"/>
              <w:jc w:val="left"/>
            </w:pPr>
            <w:r>
              <w:t xml:space="preserve">No FQ (Casgevy + Journavx)</w:t>
            </w:r>
          </w:p>
        </w:tc>
      </w:tr>
      <w:tr>
        <w:tc>
          <w:tcPr/>
          <w:p>
            <w:pPr>
              <w:pStyle w:val="Compact"/>
              <w:jc w:val="left"/>
            </w:pPr>
            <w:r>
              <w:t xml:space="preserve">3T24</w:t>
            </w:r>
          </w:p>
        </w:tc>
        <w:tc>
          <w:tcPr/>
          <w:p>
            <w:pPr>
              <w:pStyle w:val="Compact"/>
              <w:jc w:val="left"/>
            </w:pPr>
            <w:r>
              <w:t xml:space="preserve">2.771,9</w:t>
            </w:r>
          </w:p>
        </w:tc>
        <w:tc>
          <w:tcPr/>
          <w:p>
            <w:pPr>
              <w:pStyle w:val="Compact"/>
              <w:jc w:val="left"/>
            </w:pPr>
            <w:r>
              <w:t xml:space="preserve">11,6 %</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4T24</w:t>
            </w:r>
          </w:p>
        </w:tc>
        <w:tc>
          <w:tcPr/>
          <w:p>
            <w:pPr>
              <w:pStyle w:val="Compact"/>
              <w:jc w:val="left"/>
            </w:pPr>
            <w:r>
              <w:t xml:space="preserve">2.912,0</w:t>
            </w:r>
          </w:p>
        </w:tc>
        <w:tc>
          <w:tcPr/>
          <w:p>
            <w:pPr>
              <w:pStyle w:val="Compact"/>
              <w:jc w:val="left"/>
            </w:pPr>
            <w:r>
              <w:t xml:space="preserve">15,7 %</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1T25</w:t>
            </w:r>
          </w:p>
        </w:tc>
        <w:tc>
          <w:tcPr/>
          <w:p>
            <w:pPr>
              <w:pStyle w:val="Compact"/>
              <w:jc w:val="left"/>
            </w:pPr>
            <w:r>
              <w:t xml:space="preserve">2.770,2</w:t>
            </w:r>
          </w:p>
        </w:tc>
        <w:tc>
          <w:tcPr/>
          <w:p>
            <w:pPr>
              <w:pStyle w:val="Compact"/>
              <w:jc w:val="left"/>
            </w:pPr>
            <w:r>
              <w:t xml:space="preserve">3,0 %</w:t>
            </w:r>
          </w:p>
        </w:tc>
        <w:tc>
          <w:tcPr/>
          <w:p>
            <w:pPr>
              <w:pStyle w:val="Compact"/>
              <w:jc w:val="left"/>
            </w:pPr>
            <w:r>
              <w:t xml:space="preserve">2.744,7</w:t>
            </w:r>
          </w:p>
        </w:tc>
        <w:tc>
          <w:tcPr/>
          <w:p>
            <w:pPr>
              <w:pStyle w:val="Compact"/>
              <w:jc w:val="left"/>
            </w:pPr>
            <w:r>
              <w:t xml:space="preserve">15,5</w:t>
            </w:r>
          </w:p>
        </w:tc>
      </w:tr>
      <w:tr>
        <w:tc>
          <w:tcPr/>
          <w:p>
            <w:pPr>
              <w:pStyle w:val="Compact"/>
              <w:jc w:val="left"/>
            </w:pPr>
            <w:r>
              <w:t xml:space="preserve">2T25</w:t>
            </w:r>
          </w:p>
        </w:tc>
        <w:tc>
          <w:tcPr/>
          <w:p>
            <w:pPr>
              <w:pStyle w:val="Compact"/>
              <w:jc w:val="left"/>
            </w:pPr>
            <w:r>
              <w:t xml:space="preserve">2.964,7</w:t>
            </w:r>
          </w:p>
        </w:tc>
        <w:tc>
          <w:tcPr/>
          <w:p>
            <w:pPr>
              <w:pStyle w:val="Compact"/>
              <w:jc w:val="left"/>
            </w:pPr>
            <w:r>
              <w:t xml:space="preserve">12,1 %</w:t>
            </w:r>
          </w:p>
        </w:tc>
        <w:tc>
          <w:tcPr/>
          <w:p>
            <w:pPr>
              <w:pStyle w:val="Compact"/>
              <w:jc w:val="left"/>
            </w:pPr>
            <w:r>
              <w:t xml:space="preserve">2.901,6</w:t>
            </w:r>
          </w:p>
        </w:tc>
        <w:tc>
          <w:tcPr/>
          <w:p>
            <w:pPr>
              <w:pStyle w:val="Compact"/>
              <w:jc w:val="left"/>
            </w:pPr>
            <w:r>
              <w:t xml:space="preserve">42,4</w:t>
            </w:r>
          </w:p>
        </w:tc>
      </w:tr>
      <w:tr>
        <w:tc>
          <w:tcPr/>
          <w:p>
            <w:pPr>
              <w:pStyle w:val="Compact"/>
              <w:jc w:val="left"/>
            </w:pPr>
            <w:r>
              <w:t xml:space="preserve">3T25</w:t>
            </w:r>
          </w:p>
        </w:tc>
        <w:tc>
          <w:tcPr/>
          <w:p>
            <w:pPr>
              <w:pStyle w:val="Compact"/>
              <w:jc w:val="left"/>
            </w:pPr>
            <w:r>
              <w:t xml:space="preserve">3.076,4</w:t>
            </w:r>
          </w:p>
        </w:tc>
        <w:tc>
          <w:tcPr/>
          <w:p>
            <w:pPr>
              <w:pStyle w:val="Compact"/>
              <w:jc w:val="left"/>
            </w:pPr>
            <w:r>
              <w:t xml:space="preserve">11,0 %</w:t>
            </w:r>
          </w:p>
        </w:tc>
        <w:tc>
          <w:tcPr/>
          <w:p>
            <w:pPr>
              <w:pStyle w:val="Compact"/>
              <w:jc w:val="left"/>
            </w:pPr>
            <w:r>
              <w:t xml:space="preserve">~3.040</w:t>
            </w:r>
          </w:p>
        </w:tc>
        <w:tc>
          <w:tcPr/>
          <w:p>
            <w:pPr>
              <w:pStyle w:val="Compact"/>
              <w:jc w:val="left"/>
            </w:pPr>
            <w:r>
              <w:t xml:space="preserve">~36,5</w:t>
            </w:r>
          </w:p>
        </w:tc>
      </w:tr>
      <w:tr>
        <w:tc>
          <w:tcPr/>
          <w:p>
            <w:pPr>
              <w:pStyle w:val="Compact"/>
              <w:jc w:val="left"/>
            </w:pPr>
            <w:r>
              <w:t xml:space="preserve">4T25</w:t>
            </w:r>
          </w:p>
        </w:tc>
        <w:tc>
          <w:tcPr/>
          <w:p>
            <w:pPr>
              <w:pStyle w:val="Compact"/>
              <w:jc w:val="left"/>
            </w:pPr>
            <w:r>
              <w:t xml:space="preserve">3.190,0</w:t>
            </w:r>
          </w:p>
        </w:tc>
        <w:tc>
          <w:tcPr/>
          <w:p>
            <w:pPr>
              <w:pStyle w:val="Compact"/>
              <w:jc w:val="left"/>
            </w:pPr>
            <w:r>
              <w:t xml:space="preserve">9,5 %</w:t>
            </w:r>
          </w:p>
        </w:tc>
        <w:tc>
          <w:tcPr/>
          <w:p>
            <w:pPr>
              <w:pStyle w:val="Compact"/>
              <w:jc w:val="left"/>
            </w:pPr>
            <w:r>
              <w:t xml:space="preserve">~3.110</w:t>
            </w:r>
          </w:p>
        </w:tc>
        <w:tc>
          <w:tcPr/>
          <w:p>
            <w:pPr>
              <w:pStyle w:val="Compact"/>
              <w:jc w:val="left"/>
            </w:pPr>
            <w:r>
              <w:t xml:space="preserve">~81</w:t>
            </w:r>
          </w:p>
        </w:tc>
      </w:tr>
      <w:tr>
        <w:tc>
          <w:tcPr/>
          <w:p>
            <w:pPr>
              <w:pStyle w:val="Compact"/>
              <w:jc w:val="left"/>
            </w:pPr>
            <w:r>
              <w:t xml:space="preserve">1T26</w:t>
            </w:r>
          </w:p>
        </w:tc>
        <w:tc>
          <w:tcPr/>
          <w:p>
            <w:pPr>
              <w:pStyle w:val="Compact"/>
              <w:jc w:val="left"/>
            </w:pPr>
            <w:r>
              <w:t xml:space="preserve">2.986,9</w:t>
            </w:r>
          </w:p>
        </w:tc>
        <w:tc>
          <w:tcPr/>
          <w:p>
            <w:pPr>
              <w:pStyle w:val="Compact"/>
              <w:jc w:val="left"/>
            </w:pPr>
            <w:r>
              <w:t xml:space="preserve">7,8 %</w:t>
            </w:r>
          </w:p>
        </w:tc>
        <w:tc>
          <w:tcPr/>
          <w:p>
            <w:pPr>
              <w:pStyle w:val="Compact"/>
              <w:jc w:val="left"/>
            </w:pPr>
            <w:r>
              <w:t xml:space="preserve">2.915,0</w:t>
            </w:r>
          </w:p>
        </w:tc>
        <w:tc>
          <w:tcPr/>
          <w:p>
            <w:pPr>
              <w:pStyle w:val="Compact"/>
              <w:jc w:val="left"/>
            </w:pPr>
            <w:r>
              <w:t xml:space="preserve">71,9</w:t>
            </w:r>
          </w:p>
        </w:tc>
      </w:tr>
      <w:tr>
        <w:tc>
          <w:tcPr/>
          <w:p>
            <w:pPr>
              <w:pStyle w:val="Compact"/>
              <w:jc w:val="left"/>
            </w:pPr>
            <w:r>
              <w:t xml:space="preserve">2T26</w:t>
            </w:r>
          </w:p>
        </w:tc>
        <w:tc>
          <w:tcPr/>
          <w:p>
            <w:pPr>
              <w:pStyle w:val="Compact"/>
              <w:jc w:val="left"/>
            </w:pPr>
            <w:r>
              <w:t xml:space="preserve">3.333,9</w:t>
            </w:r>
          </w:p>
        </w:tc>
        <w:tc>
          <w:tcPr/>
          <w:p>
            <w:pPr>
              <w:pStyle w:val="Compact"/>
              <w:jc w:val="left"/>
            </w:pPr>
            <w:r>
              <w:t xml:space="preserve">12,5 %</w:t>
            </w:r>
          </w:p>
        </w:tc>
        <w:tc>
          <w:tcPr/>
          <w:p>
            <w:pPr>
              <w:pStyle w:val="Compact"/>
              <w:jc w:val="left"/>
            </w:pPr>
            <w:r>
              <w:t xml:space="preserve">3.207,9</w:t>
            </w:r>
          </w:p>
        </w:tc>
        <w:tc>
          <w:tcPr/>
          <w:p>
            <w:pPr>
              <w:pStyle w:val="Compact"/>
              <w:jc w:val="left"/>
            </w:pPr>
            <w:r>
              <w:t xml:space="preserve">126,0</w:t>
            </w:r>
          </w:p>
        </w:tc>
      </w:tr>
    </w:tbl>
    <w:p>
      <w:pPr>
        <w:pStyle w:val="BodyText"/>
      </w:pPr>
      <w:r>
        <w:t xml:space="preserve">Fuentes: [1][3][4][5]. 3T25 y 4T25 por diferencia de las notas («otros productos» incluye Casgevy y Journavx).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Ejercicio</w:t>
            </w:r>
          </w:p>
        </w:tc>
        <w:tc>
          <w:tcPr/>
          <w:p>
            <w:pPr>
              <w:pStyle w:val="Compact"/>
              <w:jc w:val="left"/>
            </w:pPr>
            <w:r>
              <w:t xml:space="preserve">Ingresos (M USD)</w:t>
            </w:r>
          </w:p>
        </w:tc>
        <w:tc>
          <w:tcPr/>
          <w:p>
            <w:pPr>
              <w:pStyle w:val="Compact"/>
              <w:jc w:val="left"/>
            </w:pPr>
            <w:r>
              <w:t xml:space="preserve">Crec.</w:t>
            </w:r>
          </w:p>
        </w:tc>
        <w:tc>
          <w:tcPr/>
          <w:p>
            <w:pPr>
              <w:pStyle w:val="Compact"/>
              <w:jc w:val="left"/>
            </w:pPr>
            <w:r>
              <w:t xml:space="preserve">Primera guía</w:t>
            </w:r>
          </w:p>
        </w:tc>
      </w:tr>
      <w:tr>
        <w:tc>
          <w:tcPr/>
          <w:p>
            <w:pPr>
              <w:pStyle w:val="Compact"/>
              <w:jc w:val="left"/>
            </w:pPr>
            <w:r>
              <w:t xml:space="preserve">2023</w:t>
            </w:r>
          </w:p>
        </w:tc>
        <w:tc>
          <w:tcPr/>
          <w:p>
            <w:pPr>
              <w:pStyle w:val="Compact"/>
              <w:jc w:val="left"/>
            </w:pPr>
            <w:r>
              <w:t xml:space="preserve">9.869</w:t>
            </w:r>
          </w:p>
        </w:tc>
        <w:tc>
          <w:tcPr/>
          <w:p>
            <w:pPr>
              <w:pStyle w:val="Compact"/>
              <w:jc w:val="left"/>
            </w:pPr>
            <w:r>
              <w:t xml:space="preserve">11 %</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11.020</w:t>
            </w:r>
          </w:p>
        </w:tc>
        <w:tc>
          <w:tcPr/>
          <w:p>
            <w:pPr>
              <w:pStyle w:val="Compact"/>
              <w:jc w:val="left"/>
            </w:pPr>
            <w:r>
              <w:t xml:space="preserve">12 %</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12.001</w:t>
            </w:r>
          </w:p>
        </w:tc>
        <w:tc>
          <w:tcPr/>
          <w:p>
            <w:pPr>
              <w:pStyle w:val="Compact"/>
              <w:jc w:val="left"/>
            </w:pPr>
            <w:r>
              <w:t xml:space="preserve">8,9 %</w:t>
            </w:r>
          </w:p>
        </w:tc>
        <w:tc>
          <w:tcPr/>
          <w:p>
            <w:pPr>
              <w:pStyle w:val="Compact"/>
              <w:jc w:val="left"/>
            </w:pPr>
            <w:r>
              <w:t xml:space="preserve">11.750-12.000 (+7,8 %)</w:t>
            </w:r>
          </w:p>
        </w:tc>
      </w:tr>
      <w:tr>
        <w:tc>
          <w:tcPr/>
          <w:p>
            <w:pPr>
              <w:pStyle w:val="Compact"/>
              <w:jc w:val="left"/>
            </w:pPr>
            <w:r>
              <w:t xml:space="preserve">2026 (guía, sin Crinetics)</w:t>
            </w:r>
          </w:p>
        </w:tc>
        <w:tc>
          <w:tcPr/>
          <w:p>
            <w:pPr>
              <w:pStyle w:val="Compact"/>
              <w:jc w:val="left"/>
            </w:pPr>
            <w:r>
              <w:t xml:space="preserve">13.100-13.200</w:t>
            </w:r>
          </w:p>
        </w:tc>
        <w:tc>
          <w:tcPr/>
          <w:p>
            <w:pPr>
              <w:pStyle w:val="Compact"/>
              <w:jc w:val="left"/>
            </w:pPr>
            <w:r>
              <w:t xml:space="preserve">9-10 %</w:t>
            </w:r>
          </w:p>
        </w:tc>
        <w:tc>
          <w:tcPr/>
          <w:p>
            <w:pPr>
              <w:pStyle w:val="Compact"/>
              <w:jc w:val="left"/>
            </w:pPr>
            <w:r>
              <w:t xml:space="preserve">12.950-13.100 (+8,5 %)</w:t>
            </w:r>
          </w:p>
        </w:tc>
      </w:tr>
    </w:tbl>
    <w:p>
      <w:pPr>
        <w:numPr>
          <w:ilvl w:val="0"/>
          <w:numId w:val="1003"/>
        </w:numPr>
        <w:pStyle w:val="Compact"/>
      </w:pPr>
      <w:r>
        <w:rPr>
          <w:bCs/>
          <w:b/>
        </w:rPr>
        <w:t xml:space="preserve">Ventas de 12 meses</w:t>
      </w:r>
      <w:r>
        <w:t xml:space="preserve"> </w:t>
      </w:r>
      <w:r>
        <w:t xml:space="preserve">(3T25-2T26):</w:t>
      </w:r>
      <w:r>
        <w:t xml:space="preserve"> </w:t>
      </w:r>
      <w:r>
        <w:rPr>
          <w:bCs/>
          <w:b/>
        </w:rPr>
        <w:t xml:space="preserve">12.587,2 M USD, +10,2 %</w:t>
      </w:r>
      <w:r>
        <w:t xml:space="preserve">.</w:t>
      </w:r>
      <w:r>
        <w:t xml:space="preserve"> </w:t>
      </w:r>
      <w:r>
        <w:rPr>
          <w:bCs/>
          <w:b/>
        </w:rPr>
        <w:t xml:space="preserve">CAGR propio a 2 años: 10,3 %</w:t>
      </w:r>
      <w:r>
        <w:t xml:space="preserve">.</w:t>
      </w:r>
      <w:r>
        <w:t xml:space="preserve"> </w:t>
      </w:r>
      <w:r>
        <w:rPr>
          <w:bCs/>
          <w:b/>
        </w:rPr>
        <w:t xml:space="preserve">Aceleración: +2,3 pp</w:t>
      </w:r>
      <w:r>
        <w:t xml:space="preserve"> </w:t>
      </w:r>
      <w:r>
        <w:t xml:space="preserve">(2T26 +12,5 % frente a +10,1 % de media). Ojo: el 2T26 lleva ~1,5 pp de divisa a favor y precio neto más alto en FQ en EE. UU. [1].</w:t>
      </w:r>
    </w:p>
    <w:p>
      <w:pPr>
        <w:numPr>
          <w:ilvl w:val="0"/>
          <w:numId w:val="1003"/>
        </w:numPr>
        <w:pStyle w:val="Compact"/>
      </w:pPr>
      <w:r>
        <w:rPr>
          <w:bCs/>
          <w:b/>
        </w:rPr>
        <w:t xml:space="preserve">Mezcla</w:t>
      </w:r>
      <w:r>
        <w:t xml:space="preserve">: Trikafta baja (−7 % en el 1T26, −2 % en el 2T26) porque los pacientes pasan a Alyftrek; la FQ total crece +10,6 % en el 2T26. Lo nuevo (Casgevy + Journavx) es el 3,8 % de las ventas.</w:t>
      </w:r>
    </w:p>
    <w:p>
      <w:pPr>
        <w:numPr>
          <w:ilvl w:val="0"/>
          <w:numId w:val="1003"/>
        </w:numPr>
        <w:pStyle w:val="Compact"/>
      </w:pPr>
      <w:r>
        <w:rPr>
          <w:bCs/>
          <w:b/>
        </w:rPr>
        <w:t xml:space="preserve">Guía (para v9)</w:t>
      </w:r>
      <w:r>
        <w:t xml:space="preserve">:</w:t>
      </w:r>
      <w:r>
        <w:t xml:space="preserve"> </w:t>
      </w:r>
      <w:r>
        <w:rPr>
          <w:rStyle w:val="VerbatimChar"/>
        </w:rPr>
        <w:t xml:space="preserve">guia_12m_pct</w:t>
      </w:r>
      <w:r>
        <w:t xml:space="preserve"> </w:t>
      </w:r>
      <w:r>
        <w:t xml:space="preserve">= 9,0 % (2S26 implícito: 13.150 − 6.321 = 6.829 M frente a 6.266 M del 2S25; sin Crinetics) y</w:t>
      </w:r>
      <w:r>
        <w:t xml:space="preserve"> </w:t>
      </w:r>
      <w:r>
        <w:rPr>
          <w:rStyle w:val="VerbatimChar"/>
        </w:rPr>
        <w:t xml:space="preserve">exceso_guia_pp</w:t>
      </w:r>
      <w:r>
        <w:t xml:space="preserve"> </w:t>
      </w:r>
      <w:r>
        <w:t xml:space="preserve">= +1,1 pp (2025). Partida v9 = 10,1 %, casi igual que la mecánica (10,8 %).</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 ~30.000 M USD</w:t>
      </w:r>
      <w:r>
        <w:t xml:space="preserve"> </w:t>
      </w:r>
      <w:r>
        <w:t xml:space="preserve">en la ventana objetivo (estimación propia): FQ ~13.500, nefropatía IgA ~4.000, dolor agudo con marca no opioide ~3.000, terapia génica en anemia falciforme y talasemia ~1.500, endocrinología rara de Crinetics ~2.000 y ~6.000 de indicaciones que aún no existen (neuropatía diabética, riñón APOL1, diabetes tipo 1).</w:t>
      </w:r>
      <w:r>
        <w:t xml:space="preserve"> </w:t>
      </w:r>
      <w:r>
        <w:rPr>
          <w:bCs/>
          <w:b/>
        </w:rPr>
        <w:t xml:space="preserve">Penetración 42 %</w:t>
      </w:r>
      <w:r>
        <w:t xml:space="preserve">: el método da 1 de 5, y con razón: en FQ ya lo tiene casi todo.</w:t>
      </w:r>
    </w:p>
    <w:p>
      <w:pPr>
        <w:numPr>
          <w:ilvl w:val="0"/>
          <w:numId w:val="1004"/>
        </w:numPr>
        <w:pStyle w:val="Compact"/>
      </w:pPr>
      <w:r>
        <w:rPr>
          <w:bCs/>
          <w:b/>
        </w:rPr>
        <w:t xml:space="preserve">FQ</w:t>
      </w:r>
      <w:r>
        <w:t xml:space="preserve">: sin competidor relevante. El crecimiento sale de pacientes más jóvenes, nuevos países, el paso a Alyftrek y precio. El techo es demográfico (~90.000-100.000 pacientes tratables en los mercados principales, de memoria).</w:t>
      </w:r>
    </w:p>
    <w:p>
      <w:pPr>
        <w:numPr>
          <w:ilvl w:val="0"/>
          <w:numId w:val="1004"/>
        </w:numPr>
        <w:pStyle w:val="Compact"/>
      </w:pPr>
      <w:r>
        <w:rPr>
          <w:bCs/>
          <w:b/>
        </w:rPr>
        <w:t xml:space="preserve">Nefropatía IgA</w:t>
      </w:r>
      <w:r>
        <w:t xml:space="preserve">: pove llega tercero o cuarto. Sibeprenlimab de Otsuka (aprobado), atrasentan e iptacopan de Novartis y atacicept de Vera, del mismo mecanismo BAFF/APRIL (de memoria [19]). Su ventaja es el autoinyector cada 4 semanas y los datos de RAINIER (−52 % de proteinuria a 36 semanas) [16].</w:t>
      </w:r>
    </w:p>
    <w:p>
      <w:pPr>
        <w:numPr>
          <w:ilvl w:val="0"/>
          <w:numId w:val="1004"/>
        </w:numPr>
        <w:pStyle w:val="Compact"/>
      </w:pPr>
      <w:r>
        <w:rPr>
          <w:bCs/>
          <w:b/>
        </w:rPr>
        <w:t xml:space="preserve">Dolor</w:t>
      </w:r>
      <w:r>
        <w:t xml:space="preserve">: Journavx compite con genéricos que cuestan céntimos. Los bajistas lo resumen bien: «535.000 recetas y solo 50 M» (~93 USD por receta) [13]. El programa de ayuda al paciente termina a finales de 2026 o principios de 2027 [16].</w:t>
      </w:r>
    </w:p>
    <w:p>
      <w:pPr>
        <w:numPr>
          <w:ilvl w:val="0"/>
          <w:numId w:val="1004"/>
        </w:numPr>
        <w:pStyle w:val="Compact"/>
      </w:pPr>
      <w:r>
        <w:rPr>
          <w:bCs/>
          <w:b/>
        </w:rPr>
        <w:t xml:space="preserve">Frente a argenx</w:t>
      </w:r>
      <w:r>
        <w:t xml:space="preserve"> </w:t>
      </w:r>
      <w:r>
        <w:t xml:space="preserve">(suplente): argenx crece +71 % con un solo fármaco (Vyvgart) en un mecanismo con rivales; Vertex crece +10 % con un monopolio. argenx es más growth y más barata para lo que crece (6,9x EV/ventas NTM); Vertex, más segura y más cara para lo que crece (8,6x EV/ventas NTM). En miastenia gravis, pove sería rival de Vyvgart a partir de 2028-2029.</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No</w:t>
            </w:r>
          </w:p>
        </w:tc>
        <w:tc>
          <w:tcPr/>
          <w:p>
            <w:pPr>
              <w:pStyle w:val="Compact"/>
              <w:jc w:val="left"/>
            </w:pPr>
            <w:r>
              <w:t xml:space="preserve">BPA de consenso en 90 días: 2026 de 19,03 a 17,78 (−6,6 %), 2027 de 21,48 a 20,39 (−5,1 %), por Crinetics. Ventas de consenso estables (2026 13.270 M; 2027 14.560 M). Objetivos mixtos: BofA 672 → 667, Citi 575 → 585, RBC 570 → 576.</w:t>
            </w:r>
          </w:p>
        </w:tc>
        <w:tc>
          <w:tcPr/>
          <w:p>
            <w:pPr>
              <w:pStyle w:val="Compact"/>
              <w:jc w:val="left"/>
            </w:pPr>
            <w:r>
              <w:t xml:space="preserve">[11][12]</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Sí</w:t>
            </w:r>
          </w:p>
        </w:tc>
        <w:tc>
          <w:tcPr/>
          <w:p>
            <w:pPr>
              <w:pStyle w:val="Compact"/>
              <w:jc w:val="left"/>
            </w:pPr>
            <w:r>
              <w:t xml:space="preserve">485,22 frente a 475,3 USD, y la media sube (449,8 → 468,9 → 475,3 en 60 sesiones). Margen estrecho: +2 %.</w:t>
            </w:r>
          </w:p>
        </w:tc>
        <w:tc>
          <w:tcPr/>
          <w:p>
            <w:pPr>
              <w:pStyle w:val="Compact"/>
              <w:jc w:val="left"/>
            </w:pPr>
            <w:r>
              <w:t xml:space="preserve">[9]</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No</w:t>
            </w:r>
          </w:p>
        </w:tc>
        <w:tc>
          <w:tcPr/>
          <w:p>
            <w:pPr>
              <w:pStyle w:val="Compact"/>
              <w:jc w:val="left"/>
            </w:pPr>
            <w:r>
              <w:t xml:space="preserve">+10,3 % frente a +13,4 % del S&amp;P 500, +11,2 % del XBI, +16,2 % del IBB y +20,4 % del Nasdaq-100.</w:t>
            </w:r>
          </w:p>
        </w:tc>
        <w:tc>
          <w:tcPr/>
          <w:p>
            <w:pPr>
              <w:pStyle w:val="Compact"/>
              <w:jc w:val="left"/>
            </w:pPr>
            <w:r>
              <w:t xml:space="preserve">[9]</w:t>
            </w:r>
          </w:p>
        </w:tc>
      </w:tr>
      <w:tr>
        <w:tc>
          <w:tcPr/>
          <w:p>
            <w:pPr>
              <w:pStyle w:val="Compact"/>
              <w:jc w:val="left"/>
            </w:pPr>
            <w:r>
              <w:t xml:space="preserve">4</w:t>
            </w:r>
          </w:p>
        </w:tc>
        <w:tc>
          <w:tcPr/>
          <w:p>
            <w:pPr>
              <w:pStyle w:val="Compact"/>
              <w:jc w:val="left"/>
            </w:pPr>
            <w:r>
              <w:t xml:space="preserve">Mejora del múltiplo</w:t>
            </w:r>
          </w:p>
        </w:tc>
        <w:tc>
          <w:tcPr/>
          <w:p>
            <w:pPr>
              <w:pStyle w:val="Compact"/>
              <w:jc w:val="left"/>
            </w:pPr>
            <w:r>
              <w:t xml:space="preserve">No</w:t>
            </w:r>
          </w:p>
        </w:tc>
        <w:tc>
          <w:tcPr/>
          <w:p>
            <w:pPr>
              <w:pStyle w:val="Compact"/>
              <w:jc w:val="left"/>
            </w:pPr>
            <w:r>
              <w:t xml:space="preserve">En bruto, EV/EBITDA NTM de ~15,9x (15-oct-2025) a 20,3x (+28 %), pero casi todo es contable: los 8.800 M netos pagados por Crinetics suben el EV sin añadir EBITDA (resta ~450 M). Comparable, sin Crinetics: ~15,9x → ~17,5x (+10 %).</w:t>
            </w:r>
          </w:p>
        </w:tc>
        <w:tc>
          <w:tcPr/>
          <w:p>
            <w:pPr>
              <w:pStyle w:val="Compact"/>
              <w:jc w:val="left"/>
            </w:pPr>
            <w:r>
              <w:t xml:space="preserve">[9][18]</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No</w:t>
            </w:r>
          </w:p>
        </w:tc>
        <w:tc>
          <w:tcPr/>
          <w:p>
            <w:pPr>
              <w:pStyle w:val="Compact"/>
              <w:jc w:val="left"/>
            </w:pPr>
            <w:r>
              <w:t xml:space="preserve">Margen de explotación no GAAP del 2T26 42,7 % frente a 44,7 % (−2,0 pp), por los lanzamientos. Lleva una década ganando dinero: no hay inflexión que buscar.</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Subió de 408 a 558 USD (oct-2025 a sep-2026) con los datos de riñón y ha devuelto un 13 %. El 13-oct cayó un 4,3 % por el recorte de BofA (Trikafta un 5 % bajo el consenso). StockTwits: 11 alcistas, 3 bajistas. Consenso comprador estable, no nuevo.</w:t>
            </w:r>
          </w:p>
        </w:tc>
        <w:tc>
          <w:tcPr/>
          <w:p>
            <w:pPr>
              <w:pStyle w:val="Compact"/>
              <w:jc w:val="left"/>
            </w:pPr>
            <w:r>
              <w:t xml:space="preserve">[12][13][14]</w:t>
            </w:r>
          </w:p>
        </w:tc>
      </w:tr>
      <w:tr>
        <w:tc>
          <w:tcPr/>
          <w:p>
            <w:pPr>
              <w:pStyle w:val="Compact"/>
              <w:jc w:val="left"/>
            </w:pPr>
            <w:r>
              <w:t xml:space="preserve">7</w:t>
            </w:r>
          </w:p>
        </w:tc>
        <w:tc>
          <w:tcPr/>
          <w:p>
            <w:pPr>
              <w:pStyle w:val="Compact"/>
              <w:jc w:val="left"/>
            </w:pPr>
            <w:r>
              <w:t xml:space="preserve">Compras de directivos o institucionales</w:t>
            </w:r>
          </w:p>
        </w:tc>
        <w:tc>
          <w:tcPr/>
          <w:p>
            <w:pPr>
              <w:pStyle w:val="Compact"/>
              <w:jc w:val="left"/>
            </w:pPr>
            <w:r>
              <w:t xml:space="preserve">No</w:t>
            </w:r>
          </w:p>
        </w:tc>
        <w:tc>
          <w:tcPr/>
          <w:p>
            <w:pPr>
              <w:pStyle w:val="Compact"/>
              <w:jc w:val="left"/>
            </w:pPr>
            <w:r>
              <w:t xml:space="preserve">Ninguna compra en feb-oct 2026; solo concesiones, una donación y ventas pequeñas (la consejera delegada, 3.270 acciones a ~485 USD en febrero).</w:t>
            </w:r>
          </w:p>
        </w:tc>
        <w:tc>
          <w:tcPr/>
          <w:p>
            <w:pPr>
              <w:pStyle w:val="Compact"/>
              <w:jc w:val="left"/>
            </w:pPr>
            <w:r>
              <w:t xml:space="preserve">[8]</w:t>
            </w:r>
          </w:p>
        </w:tc>
      </w:tr>
      <w:tr>
        <w:tc>
          <w:tcPr/>
          <w:p>
            <w:pPr>
              <w:pStyle w:val="Compact"/>
              <w:jc w:val="left"/>
            </w:pPr>
            <w:r>
              <w:t xml:space="preserve">8</w:t>
            </w:r>
          </w:p>
        </w:tc>
        <w:tc>
          <w:tcPr/>
          <w:p>
            <w:pPr>
              <w:pStyle w:val="Compact"/>
              <w:jc w:val="left"/>
            </w:pPr>
            <w:r>
              <w:t xml:space="preserve">Catalizador nuevo</w:t>
            </w:r>
          </w:p>
        </w:tc>
        <w:tc>
          <w:tcPr/>
          <w:p>
            <w:pPr>
              <w:pStyle w:val="Compact"/>
              <w:jc w:val="left"/>
            </w:pPr>
            <w:r>
              <w:t xml:space="preserve">Sí</w:t>
            </w:r>
          </w:p>
        </w:tc>
        <w:tc>
          <w:tcPr/>
          <w:p>
            <w:pPr>
              <w:pStyle w:val="Compact"/>
              <w:jc w:val="left"/>
            </w:pPr>
            <w:r>
              <w:t xml:space="preserve">Resultados del 3T el 2-nov (primera guía con Crinetics); PDUFA de pove el 30-nov; VX-828 en el 2S26; plazos de zimislecel; intermedio de AMPLITUDE a principios de 2027.</w:t>
            </w:r>
          </w:p>
        </w:tc>
        <w:tc>
          <w:tcPr/>
          <w:p>
            <w:pPr>
              <w:pStyle w:val="Compact"/>
              <w:jc w:val="left"/>
            </w:pPr>
            <w:r>
              <w:t xml:space="preserve">[1][6][7]</w:t>
            </w:r>
          </w:p>
        </w:tc>
      </w:tr>
    </w:tbl>
    <w:p>
      <w:pPr>
        <w:pStyle w:val="BodyText"/>
      </w:pPr>
      <w:r>
        <w:rPr>
          <w:bCs/>
          <w:b/>
        </w:rPr>
        <w:t xml:space="preserve">Euforia: no.</w:t>
      </w:r>
      <w:r>
        <w:t xml:space="preserve"> </w:t>
      </w:r>
      <w:r>
        <w:t xml:space="preserve">Sube un</w:t>
      </w:r>
      <w:r>
        <w:t xml:space="preserve"> </w:t>
      </w:r>
      <w:r>
        <w:rPr>
          <w:bCs/>
          <w:b/>
        </w:rPr>
        <w:t xml:space="preserve">+19,1 %</w:t>
      </w:r>
      <w:r>
        <w:t xml:space="preserve"> </w:t>
      </w:r>
      <w:r>
        <w:t xml:space="preserve">en 12 meses (de 407,37 a 485,22 USD) con 10,0x EV/beneficio bruto.</w:t>
      </w:r>
      <w:r>
        <w:t xml:space="preserve"> </w:t>
      </w:r>
      <w:r>
        <w:rPr>
          <w:bCs/>
          <w:b/>
        </w:rPr>
        <w:t xml:space="preserve">Aviso</w:t>
      </w:r>
      <w:r>
        <w:t xml:space="preserve">: las señales 4 y 6 son discutibles. Aunque las dos fueran «sí», la puntuación pasaría a 64,3 y la señal seguiría en Mantener, porque falla la rentabilidad (sección 11).</w:t>
      </w:r>
    </w:p>
    <w:bookmarkEnd w:id="24"/>
    <w:bookmarkStart w:id="25" w:name="X6a3ced9ea5ed5bb9ac58f5e7c1bb09ad4718b77"/>
    <w:p>
      <w:pPr>
        <w:pStyle w:val="Heading2"/>
      </w:pPr>
      <w:r>
        <w:t xml:space="preserve">6. Economía unitaria y camino a la rentabilidad</w:t>
      </w:r>
    </w:p>
    <w:p>
      <w:pPr>
        <w:numPr>
          <w:ilvl w:val="0"/>
          <w:numId w:val="1005"/>
        </w:numPr>
        <w:pStyle w:val="Compact"/>
      </w:pPr>
      <w:r>
        <w:rPr>
          <w:bCs/>
          <w:b/>
        </w:rPr>
        <w:t xml:space="preserve">Margen bruto</w:t>
      </w:r>
      <w:r>
        <w:t xml:space="preserve">:</w:t>
      </w:r>
      <w:r>
        <w:t xml:space="preserve"> </w:t>
      </w:r>
      <w:r>
        <w:rPr>
          <w:bCs/>
          <w:b/>
        </w:rPr>
        <w:t xml:space="preserve">86,0 %</w:t>
      </w:r>
      <w:r>
        <w:t xml:space="preserve"> </w:t>
      </w:r>
      <w:r>
        <w:t xml:space="preserve">en 12 meses (85,3 % en el 2T26). Alyftrek paga menos regalías que Trikafta, lo que lo sostiene; Casgevy, Journavx y Palsonify lo diluyen [1][5].</w:t>
      </w:r>
    </w:p>
    <w:p>
      <w:pPr>
        <w:numPr>
          <w:ilvl w:val="0"/>
          <w:numId w:val="1005"/>
        </w:numPr>
        <w:pStyle w:val="Compact"/>
      </w:pPr>
      <w:r>
        <w:rPr>
          <w:bCs/>
          <w:b/>
        </w:rPr>
        <w:t xml:space="preserve">EBITDA ajustado de 12 meses</w:t>
      </w:r>
      <w:r>
        <w:t xml:space="preserve">:</w:t>
      </w:r>
      <w:r>
        <w:t xml:space="preserve"> </w:t>
      </w:r>
      <w:r>
        <w:rPr>
          <w:bCs/>
          <w:b/>
        </w:rPr>
        <w:t xml:space="preserve">5.821 M (46,2 %)</w:t>
      </w:r>
      <w:r>
        <w:t xml:space="preserve">, con los pagos en acciones sumados y sin IPR&amp;D adquirido.</w:t>
      </w:r>
      <w:r>
        <w:t xml:space="preserve"> </w:t>
      </w:r>
      <w:r>
        <w:rPr>
          <w:bCs/>
          <w:b/>
        </w:rPr>
        <w:t xml:space="preserve">NTM estimado: ~5.850 M (~42 %)</w:t>
      </w:r>
      <w:r>
        <w:t xml:space="preserve">: el negocio de siempre sube, pero los lanzamientos (pove, Journavx) y Crinetics (~450 M de pérdida) lo frenan [18].</w:t>
      </w:r>
    </w:p>
    <w:p>
      <w:pPr>
        <w:numPr>
          <w:ilvl w:val="0"/>
          <w:numId w:val="1005"/>
        </w:numPr>
        <w:pStyle w:val="Compact"/>
      </w:pPr>
      <w:r>
        <w:rPr>
          <w:bCs/>
          <w:b/>
        </w:rPr>
        <w:t xml:space="preserve">FCF de 12 meses</w:t>
      </w:r>
      <w:r>
        <w:t xml:space="preserve">: 4.292,9 − 496,8 =</w:t>
      </w:r>
      <w:r>
        <w:t xml:space="preserve"> </w:t>
      </w:r>
      <w:r>
        <w:rPr>
          <w:bCs/>
          <w:b/>
        </w:rPr>
        <w:t xml:space="preserve">3.796 M (30,2 %)</w:t>
      </w:r>
      <w:r>
        <w:t xml:space="preserve">, frente a 3.194 M en 2025 [5].</w:t>
      </w:r>
    </w:p>
    <w:p>
      <w:pPr>
        <w:numPr>
          <w:ilvl w:val="0"/>
          <w:numId w:val="1005"/>
        </w:numPr>
        <w:pStyle w:val="Compact"/>
      </w:pPr>
      <w:r>
        <w:rPr>
          <w:bCs/>
          <w:b/>
        </w:rPr>
        <w:t xml:space="preserve">Regla del 40</w:t>
      </w:r>
      <w:r>
        <w:t xml:space="preserve">: 10,2 + 30,2 =</w:t>
      </w:r>
      <w:r>
        <w:t xml:space="preserve"> </w:t>
      </w:r>
      <w:r>
        <w:rPr>
          <w:bCs/>
          <w:b/>
        </w:rPr>
        <w:t xml:space="preserve">40,4</w:t>
      </w:r>
      <w:r>
        <w:t xml:space="preserve">.</w:t>
      </w:r>
    </w:p>
    <w:p>
      <w:pPr>
        <w:numPr>
          <w:ilvl w:val="0"/>
          <w:numId w:val="1005"/>
        </w:numPr>
        <w:pStyle w:val="Compact"/>
      </w:pPr>
      <w:r>
        <w:rPr>
          <w:bCs/>
          <w:b/>
        </w:rPr>
        <w:t xml:space="preserve">Apalancamiento</w:t>
      </w:r>
      <w:r>
        <w:t xml:space="preserve">: no hay. Los gastos no GAAP crecen ~15 % (guía 5.650-5.750 M) frente a ~9-10 % de las ventas: Vertex está reinvirtiendo, no expandiendo margen.</w:t>
      </w:r>
    </w:p>
    <w:bookmarkEnd w:id="25"/>
    <w:bookmarkStart w:id="26" w:name="caja-deuda-y-dilución"/>
    <w:p>
      <w:pPr>
        <w:pStyle w:val="Heading2"/>
      </w:pPr>
      <w:r>
        <w:t xml:space="preserve">7. Caja, deuda y dilución</w:t>
      </w:r>
    </w:p>
    <w:p>
      <w:pPr>
        <w:numPr>
          <w:ilvl w:val="0"/>
          <w:numId w:val="1006"/>
        </w:numPr>
        <w:pStyle w:val="Compact"/>
      </w:pPr>
      <w:r>
        <w:rPr>
          <w:bCs/>
          <w:b/>
        </w:rPr>
        <w:t xml:space="preserve">Caja pro forma ≈ 9.341 M USD y deuda 4.500 M; caja neta ≈ 4.841 M</w:t>
      </w:r>
      <w:r>
        <w:t xml:space="preserve"> </w:t>
      </w:r>
      <w:r>
        <w:t xml:space="preserve">(13.642 M a 30-jun − 10.000 M de Crinetics + ~1.200 M de su caja + 4.500 M de préstamo a plazo a 1, 2 y 3 años). Si el préstamo no se dispuso entero, la caja neta es la misma. Sin el FCF del 3T (prudente) [1][2].</w:t>
      </w:r>
    </w:p>
    <w:p>
      <w:pPr>
        <w:numPr>
          <w:ilvl w:val="0"/>
          <w:numId w:val="1006"/>
        </w:numPr>
        <w:pStyle w:val="Compact"/>
      </w:pPr>
      <w:r>
        <w:rPr>
          <w:bCs/>
          <w:b/>
        </w:rPr>
        <w:t xml:space="preserve">Pista</w:t>
      </w:r>
      <w:r>
        <w:t xml:space="preserve">: FCF positivo. La deuda se paga con poco más de un año de FCF.</w:t>
      </w:r>
    </w:p>
    <w:p>
      <w:pPr>
        <w:numPr>
          <w:ilvl w:val="0"/>
          <w:numId w:val="1006"/>
        </w:numPr>
        <w:pStyle w:val="Compact"/>
      </w:pPr>
      <w:r>
        <w:rPr>
          <w:bCs/>
          <w:b/>
        </w:rPr>
        <w:t xml:space="preserve">Dilución</w:t>
      </w:r>
      <w:r>
        <w:t xml:space="preserve">:</w:t>
      </w:r>
      <w:r>
        <w:t xml:space="preserve"> </w:t>
      </w:r>
      <w:r>
        <w:rPr>
          <w:bCs/>
          <w:b/>
        </w:rPr>
        <w:t xml:space="preserve">−1,4 %</w:t>
      </w:r>
      <w:r>
        <w:t xml:space="preserve"> </w:t>
      </w:r>
      <w:r>
        <w:t xml:space="preserve">en 12 meses (258,9 → 255,2 M de acciones diluidas). Recompras de 2.006 M en 12 meses y 2.600 M disponibles; con Crinetics pagada, el ritmo de recompras debería bajar [2][5].</w:t>
      </w:r>
    </w:p>
    <w:p>
      <w:pPr>
        <w:numPr>
          <w:ilvl w:val="0"/>
          <w:numId w:val="1006"/>
        </w:numPr>
        <w:pStyle w:val="Compact"/>
      </w:pPr>
      <w:r>
        <w:rPr>
          <w:bCs/>
          <w:b/>
        </w:rPr>
        <w:t xml:space="preserve">Pagos en acciones</w:t>
      </w:r>
      <w:r>
        <w:t xml:space="preserve">:</w:t>
      </w:r>
      <w:r>
        <w:t xml:space="preserve"> </w:t>
      </w:r>
      <w:r>
        <w:rPr>
          <w:bCs/>
          <w:b/>
        </w:rPr>
        <w:t xml:space="preserve">5,5 %</w:t>
      </w:r>
      <w:r>
        <w:t xml:space="preserve"> </w:t>
      </w:r>
      <w:r>
        <w:t xml:space="preserve">de las ventas (689 M). Bajo el 15 % de alerta, pero el EBITDA ajustado los suma: el EBITDA «de verdad» es ~0,5 puntos de margen menor.</w:t>
      </w:r>
    </w:p>
    <w:bookmarkEnd w:id="26"/>
    <w:bookmarkStart w:id="27" w:name="dirección-y-ejecución"/>
    <w:p>
      <w:pPr>
        <w:pStyle w:val="Heading2"/>
      </w:pPr>
      <w:r>
        <w:t xml:space="preserve">8. Dirección y ejecución</w:t>
      </w:r>
    </w:p>
    <w:p>
      <w:pPr>
        <w:numPr>
          <w:ilvl w:val="0"/>
          <w:numId w:val="1007"/>
        </w:numPr>
        <w:pStyle w:val="Compact"/>
      </w:pPr>
      <w:r>
        <w:rPr>
          <w:bCs/>
          <w:b/>
        </w:rPr>
        <w:t xml:space="preserve">Historial (4/5)</w:t>
      </w:r>
      <w:r>
        <w:t xml:space="preserve">: cumple y sube la guía de ingresos todos los años (2025 terminó en el techo; 2026 subida en agosto) y saca adelante las aprobaciones en FQ y Casgevy pediátrico con rapidez [1][3][4]. Le restan los lanzamientos lentos de Casgevy y Journavx, la pausa de zimislecel por fabricación y los fracasos de VX-264 y VX-522.</w:t>
      </w:r>
    </w:p>
    <w:p>
      <w:pPr>
        <w:numPr>
          <w:ilvl w:val="0"/>
          <w:numId w:val="1007"/>
        </w:numPr>
        <w:pStyle w:val="Compact"/>
      </w:pPr>
      <w:r>
        <w:rPr>
          <w:bCs/>
          <w:b/>
        </w:rPr>
        <w:t xml:space="preserve">Dirección (4/5)</w:t>
      </w:r>
      <w:r>
        <w:t xml:space="preserve">: Reshma Kewalramani (consejera delegada desde 2020) mantiene la disciplina: sin dividendo, recompras y compras de cartera (Alpine en 2024, Crinetics en 2026). Restan que la compra de Crinetics (10.000 M, ~80 % de la caja) no da resultado hasta 2029 y que ningún directivo compra. Cambio de director financiero el 1-ene-2027 (Jonathan Poole, de la casa) [6][8].</w:t>
      </w:r>
    </w:p>
    <w:bookmarkEnd w:id="27"/>
    <w:bookmarkStart w:id="28" w:name="valoración"/>
    <w:p>
      <w:pPr>
        <w:pStyle w:val="Heading2"/>
      </w:pPr>
      <w:r>
        <w:t xml:space="preserve">9. Valoración</w:t>
      </w:r>
    </w:p>
    <w:p>
      <w:pPr>
        <w:pStyle w:val="FirstParagraph"/>
      </w:pPr>
      <w:r>
        <w:rPr>
          <w:bCs/>
          <w:b/>
        </w:rPr>
        <w:t xml:space="preserve">Ventana objetivo</w:t>
      </w:r>
      <w:r>
        <w:t xml:space="preserve">: 12 meses a jun-2028 (2 años sobre los 12 m a jun-2026).</w:t>
      </w:r>
      <w:r>
        <w:t xml:space="preserve"> </w:t>
      </w:r>
      <w:r>
        <w:rPr>
          <w:bCs/>
          <w:b/>
        </w:rPr>
        <w:t xml:space="preserve">Métrica: EV/EBITDA ajustado NTM.</w:t>
      </w:r>
      <w:r>
        <w:t xml:space="preserve"> </w:t>
      </w:r>
      <w:r>
        <w:t xml:space="preserve">El código la traduce a ventas con el margen implícito (~42 %).</w:t>
      </w:r>
    </w:p>
    <w:p>
      <w:pPr>
        <w:numPr>
          <w:ilvl w:val="0"/>
          <w:numId w:val="1008"/>
        </w:numPr>
        <w:pStyle w:val="Compact"/>
      </w:pPr>
      <w:r>
        <w:rPr>
          <w:bCs/>
          <w:b/>
        </w:rPr>
        <w:t xml:space="preserve">EV de hoy</w:t>
      </w:r>
      <w:r>
        <w:t xml:space="preserve">: 485,22 × 255,2 + 4.500 − 9.341 =</w:t>
      </w:r>
      <w:r>
        <w:t xml:space="preserve"> </w:t>
      </w:r>
      <w:r>
        <w:rPr>
          <w:bCs/>
          <w:b/>
        </w:rPr>
        <w:t xml:space="preserve">118.987 M USD</w:t>
      </w:r>
      <w:r>
        <w:t xml:space="preserve">.</w:t>
      </w:r>
    </w:p>
    <w:p>
      <w:pPr>
        <w:numPr>
          <w:ilvl w:val="0"/>
          <w:numId w:val="1008"/>
        </w:numPr>
        <w:pStyle w:val="Compact"/>
      </w:pPr>
      <w:r>
        <w:rPr>
          <w:bCs/>
          <w:b/>
        </w:rPr>
        <w:t xml:space="preserve">Ventas NTM</w:t>
      </w:r>
      <w:r>
        <w:t xml:space="preserve"> </w:t>
      </w:r>
      <w:r>
        <w:t xml:space="preserve">~13.900 M (+10,4 %, con Crinetics).</w:t>
      </w:r>
      <w:r>
        <w:t xml:space="preserve"> </w:t>
      </w:r>
      <w:r>
        <w:rPr>
          <w:bCs/>
          <w:b/>
        </w:rPr>
        <w:t xml:space="preserve">EV/ventas NTM 8,6x; EV/beneficio bruto NTM 10,0x</w:t>
      </w:r>
      <w:r>
        <w:t xml:space="preserve"> </w:t>
      </w:r>
      <w:r>
        <w:t xml:space="preserve">(lejos del tope de 35);</w:t>
      </w:r>
      <w:r>
        <w:t xml:space="preserve"> </w:t>
      </w:r>
      <w:r>
        <w:rPr>
          <w:bCs/>
          <w:b/>
        </w:rPr>
        <w:t xml:space="preserve">EV/EBITDA NTM 20,3x</w:t>
      </w:r>
      <w:r>
        <w:t xml:space="preserve"> </w:t>
      </w:r>
      <w:r>
        <w:t xml:space="preserve">[18].</w:t>
      </w:r>
    </w:p>
    <w:p>
      <w:pPr>
        <w:numPr>
          <w:ilvl w:val="0"/>
          <w:numId w:val="1008"/>
        </w:numPr>
        <w:pStyle w:val="Compact"/>
      </w:pPr>
      <w:r>
        <w:rPr>
          <w:bCs/>
          <w:b/>
        </w:rPr>
        <w:t xml:space="preserve">Mediana de 3 años 17,7x NTM</w:t>
      </w:r>
      <w:r>
        <w:t xml:space="preserve"> </w:t>
      </w:r>
      <w:r>
        <w:t xml:space="preserve">(cálculo propio al cierre de cada trimestre);</w:t>
      </w:r>
      <w:r>
        <w:t xml:space="preserve"> </w:t>
      </w:r>
      <w:r>
        <w:rPr>
          <w:bCs/>
          <w:b/>
        </w:rPr>
        <w:t xml:space="preserve">mínimo 15,2x</w:t>
      </w:r>
      <w:r>
        <w:t xml:space="preserve"> </w:t>
      </w:r>
      <w:r>
        <w:t xml:space="preserve">(sep-2025).</w:t>
      </w:r>
      <w:r>
        <w:t xml:space="preserve"> </w:t>
      </w:r>
      <w:r>
        <w:rPr>
          <w:bCs/>
          <w:b/>
        </w:rPr>
        <w:t xml:space="preserve">Comparables ~14,0x</w:t>
      </w:r>
      <w:r>
        <w:t xml:space="preserve"> </w:t>
      </w:r>
      <w:r>
        <w:t xml:space="preserve">(Regeneron 12,8x, Gilead 14,0x, Amgen 15,4x en 12 meses pasados) [15]. Vertex merece prima (crece el doble y su FQ no tiene rival), pero hoy cotiza un 15 % por encima de su propia mediana.</w:t>
      </w:r>
    </w:p>
    <w:p>
      <w:pPr>
        <w:numPr>
          <w:ilvl w:val="0"/>
          <w:numId w:val="1008"/>
        </w:numPr>
        <w:pStyle w:val="Compact"/>
      </w:pPr>
      <w:r>
        <w:rPr>
          <w:bCs/>
          <w:b/>
        </w:rPr>
        <w:t xml:space="preserve">Desaceleración</w:t>
      </w:r>
      <w:r>
        <w:t xml:space="preserve">: +10,4 % NTM y +8,6 % en el año objetivo, factor 0,91 → base 18,5x.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Escenario</w:t>
            </w:r>
          </w:p>
        </w:tc>
        <w:tc>
          <w:tcPr/>
          <w:p>
            <w:pPr>
              <w:pStyle w:val="Compact"/>
              <w:jc w:val="left"/>
            </w:pPr>
            <w:r>
              <w:t xml:space="preserve">Ventas (M USD)</w:t>
            </w:r>
          </w:p>
        </w:tc>
        <w:tc>
          <w:tcPr/>
          <w:p>
            <w:pPr>
              <w:pStyle w:val="Compact"/>
              <w:jc w:val="left"/>
            </w:pPr>
            <w:r>
              <w:t xml:space="preserve">EV/EBITDA</w:t>
            </w:r>
          </w:p>
        </w:tc>
        <w:tc>
          <w:tcPr/>
          <w:p>
            <w:pPr>
              <w:pStyle w:val="Compact"/>
              <w:jc w:val="left"/>
            </w:pPr>
            <w:r>
              <w:t xml:space="preserve">Precio 12 m</w:t>
            </w:r>
          </w:p>
        </w:tc>
        <w:tc>
          <w:tcPr/>
          <w:p>
            <w:pPr>
              <w:pStyle w:val="Compact"/>
              <w:jc w:val="left"/>
            </w:pPr>
            <w:r>
              <w:t xml:space="preserve">Rentabilidad</w:t>
            </w:r>
          </w:p>
        </w:tc>
      </w:tr>
      <w:tr>
        <w:tc>
          <w:tcPr/>
          <w:p>
            <w:pPr>
              <w:pStyle w:val="Compact"/>
              <w:jc w:val="left"/>
            </w:pPr>
            <w:r>
              <w:t xml:space="preserve">Bajista (25 %)</w:t>
            </w:r>
          </w:p>
        </w:tc>
        <w:tc>
          <w:tcPr/>
          <w:p>
            <w:pPr>
              <w:pStyle w:val="Compact"/>
              <w:jc w:val="left"/>
            </w:pPr>
            <w:r>
              <w:t xml:space="preserve">13.790</w:t>
            </w:r>
          </w:p>
        </w:tc>
        <w:tc>
          <w:tcPr/>
          <w:p>
            <w:pPr>
              <w:pStyle w:val="Compact"/>
              <w:jc w:val="left"/>
            </w:pPr>
            <w:r>
              <w:t xml:space="preserve">11,1x</w:t>
            </w:r>
          </w:p>
        </w:tc>
        <w:tc>
          <w:tcPr/>
          <w:p>
            <w:pPr>
              <w:pStyle w:val="Compact"/>
              <w:jc w:val="left"/>
            </w:pPr>
            <w:r>
              <w:t xml:space="preserve">275,3</w:t>
            </w:r>
          </w:p>
        </w:tc>
        <w:tc>
          <w:tcPr/>
          <w:p>
            <w:pPr>
              <w:pStyle w:val="Compact"/>
              <w:jc w:val="left"/>
            </w:pPr>
            <w:r>
              <w:t xml:space="preserve">−43,3 %</w:t>
            </w:r>
          </w:p>
        </w:tc>
      </w:tr>
      <w:tr>
        <w:tc>
          <w:tcPr/>
          <w:p>
            <w:pPr>
              <w:pStyle w:val="Compact"/>
              <w:jc w:val="left"/>
            </w:pPr>
            <w:r>
              <w:t xml:space="preserve">Base (50 %)</w:t>
            </w:r>
          </w:p>
        </w:tc>
        <w:tc>
          <w:tcPr/>
          <w:p>
            <w:pPr>
              <w:pStyle w:val="Compact"/>
              <w:jc w:val="left"/>
            </w:pPr>
            <w:r>
              <w:t xml:space="preserve">15.048</w:t>
            </w:r>
          </w:p>
        </w:tc>
        <w:tc>
          <w:tcPr/>
          <w:p>
            <w:pPr>
              <w:pStyle w:val="Compact"/>
              <w:jc w:val="left"/>
            </w:pPr>
            <w:r>
              <w:t xml:space="preserve">18,5x</w:t>
            </w:r>
          </w:p>
        </w:tc>
        <w:tc>
          <w:tcPr/>
          <w:p>
            <w:pPr>
              <w:pStyle w:val="Compact"/>
              <w:jc w:val="left"/>
            </w:pPr>
            <w:r>
              <w:t xml:space="preserve">484,9</w:t>
            </w:r>
          </w:p>
        </w:tc>
        <w:tc>
          <w:tcPr/>
          <w:p>
            <w:pPr>
              <w:pStyle w:val="Compact"/>
              <w:jc w:val="left"/>
            </w:pPr>
            <w:r>
              <w:t xml:space="preserve">−0,1 %</w:t>
            </w:r>
          </w:p>
        </w:tc>
      </w:tr>
      <w:tr>
        <w:tc>
          <w:tcPr/>
          <w:p>
            <w:pPr>
              <w:pStyle w:val="Compact"/>
              <w:jc w:val="left"/>
            </w:pPr>
            <w:r>
              <w:t xml:space="preserve">Alcista (25 %)</w:t>
            </w:r>
          </w:p>
        </w:tc>
        <w:tc>
          <w:tcPr/>
          <w:p>
            <w:pPr>
              <w:pStyle w:val="Compact"/>
              <w:jc w:val="left"/>
            </w:pPr>
            <w:r>
              <w:t xml:space="preserve">15.567</w:t>
            </w:r>
          </w:p>
        </w:tc>
        <w:tc>
          <w:tcPr/>
          <w:p>
            <w:pPr>
              <w:pStyle w:val="Compact"/>
              <w:jc w:val="left"/>
            </w:pPr>
            <w:r>
              <w:t xml:space="preserve">24,0x</w:t>
            </w:r>
          </w:p>
        </w:tc>
        <w:tc>
          <w:tcPr/>
          <w:p>
            <w:pPr>
              <w:pStyle w:val="Compact"/>
              <w:jc w:val="left"/>
            </w:pPr>
            <w:r>
              <w:t xml:space="preserve">645,4</w:t>
            </w:r>
          </w:p>
        </w:tc>
        <w:tc>
          <w:tcPr/>
          <w:p>
            <w:pPr>
              <w:pStyle w:val="Compact"/>
              <w:jc w:val="left"/>
            </w:pPr>
            <w:r>
              <w:t xml:space="preserve">+33,0 %</w:t>
            </w:r>
          </w:p>
        </w:tc>
      </w:tr>
      <w:tr>
        <w:tc>
          <w:tcPr/>
          <w:p>
            <w:pPr>
              <w:pStyle w:val="Compact"/>
              <w:jc w:val="left"/>
            </w:pPr>
            <w:r>
              <w:rPr>
                <w:bCs/>
                <w:b/>
              </w:rPr>
              <w:t xml:space="preserve">Ponderado (v11 = v9)</w:t>
            </w:r>
          </w:p>
        </w:tc>
        <w:tc>
          <w:tcPr/>
          <w:p>
            <w:pPr>
              <w:pStyle w:val="Compact"/>
            </w:pPr>
          </w:p>
        </w:tc>
        <w:tc>
          <w:tcPr/>
          <w:p>
            <w:pPr>
              <w:pStyle w:val="Compact"/>
            </w:pPr>
          </w:p>
        </w:tc>
        <w:tc>
          <w:tcPr/>
          <w:p>
            <w:pPr>
              <w:pStyle w:val="Compact"/>
              <w:jc w:val="left"/>
            </w:pPr>
            <w:r>
              <w:rPr>
                <w:bCs/>
                <w:b/>
              </w:rPr>
              <w:t xml:space="preserve">472,6</w:t>
            </w:r>
          </w:p>
        </w:tc>
        <w:tc>
          <w:tcPr/>
          <w:p>
            <w:pPr>
              <w:pStyle w:val="Compact"/>
              <w:jc w:val="left"/>
            </w:pPr>
            <w:r>
              <w:rPr>
                <w:bCs/>
                <w:b/>
              </w:rPr>
              <w:t xml:space="preserve">−2,6 %</w:t>
            </w:r>
          </w:p>
        </w:tc>
      </w:tr>
    </w:tbl>
    <w:p>
      <w:pPr>
        <w:pStyle w:val="BodyText"/>
      </w:pPr>
      <w:r>
        <w:t xml:space="preserve">Acciones dentro de 12 meses: 251,6 M (−1,4 %).</w:t>
      </w:r>
      <w:r>
        <w:t xml:space="preserve"> </w:t>
      </w:r>
      <w:r>
        <w:rPr>
          <w:bCs/>
          <w:b/>
        </w:rPr>
        <w:t xml:space="preserve">Asimetría: 0,8.</w:t>
      </w:r>
      <w:r>
        <w:t xml:space="preserve"> </w:t>
      </w:r>
      <w:r>
        <w:rPr>
          <w:bCs/>
          <w:b/>
        </w:rPr>
        <w:t xml:space="preserve">Precio máximo de compra: 450,1 USD</w:t>
      </w:r>
      <w:r>
        <w:t xml:space="preserve">, el que da ponderada +5 % y base ≥ 0 %. Pero con 59,3 puntos no compraría ni ahí: haría falta una señal más (por ejemplo, revisiones al alza tras la aprobación de pove).</w:t>
      </w:r>
    </w:p>
    <w:p>
      <w:pPr>
        <w:pStyle w:val="BodyText"/>
      </w:pPr>
      <w:r>
        <w:rPr>
          <w:bCs/>
          <w:b/>
        </w:rPr>
        <w:t xml:space="preserve">Contraste con mi proyección y el consenso</w:t>
      </w:r>
      <w:r>
        <w:t xml:space="preserve">: mis ventas (13.900 / 15.300 / 16.300 M, base igual al consenso de ~15.300 M en la ventana [11]) son algo</w:t>
      </w:r>
      <w:r>
        <w:t xml:space="preserve"> </w:t>
      </w:r>
      <w:r>
        <w:rPr>
          <w:bCs/>
          <w:b/>
        </w:rPr>
        <w:t xml:space="preserve">más altas</w:t>
      </w:r>
      <w:r>
        <w:t xml:space="preserve"> </w:t>
      </w:r>
      <w:r>
        <w:t xml:space="preserve">que las mecánicas, porque incluyen Palsonify y pove. v11 se queda con la menor, la mecánica. Con mi base (15.300 M) y el mismo múltiplo, el precio base sería ~494 USD (+1,8 %; la herramienta de robustez da +1,6 % en el base y −0,1 % de ponderada) y la ponderada seguiría por debajo del +5 %.</w:t>
      </w:r>
      <w:r>
        <w:t xml:space="preserve"> </w:t>
      </w:r>
      <w:r>
        <w:rPr>
          <w:bCs/>
          <w:b/>
        </w:rPr>
        <w:t xml:space="preserve">La conclusión no depende de quién proyecte.</w:t>
      </w:r>
    </w:p>
    <w:p>
      <w:pPr>
        <w:numPr>
          <w:ilvl w:val="0"/>
          <w:numId w:val="1009"/>
        </w:numPr>
        <w:pStyle w:val="Compact"/>
      </w:pPr>
      <w:r>
        <w:rPr>
          <w:bCs/>
          <w:b/>
        </w:rPr>
        <w:t xml:space="preserve">Consenso</w:t>
      </w:r>
      <w:r>
        <w:t xml:space="preserve">: objetivo medio 571,4 USD (mediana 578; rango 350-667), 26 de 32 en Compra [12]. El consenso supone que el múltiplo se mantiene o sube con pove; el método supone que baja algo con la desaceleración.</w:t>
      </w:r>
    </w:p>
    <w:p>
      <w:pPr>
        <w:numPr>
          <w:ilvl w:val="0"/>
          <w:numId w:val="1009"/>
        </w:numPr>
        <w:pStyle w:val="Compact"/>
      </w:pPr>
      <w:r>
        <w:rPr>
          <w:bCs/>
          <w:b/>
        </w:rPr>
        <w:t xml:space="preserve">DCF inverso</w:t>
      </w:r>
      <w:r>
        <w:t xml:space="preserve">: con margen FCF del 30 %, WACC del 8,5 % y crecimiento terminal del 3 %, el precio descuenta</w:t>
      </w:r>
      <w:r>
        <w:t xml:space="preserve"> </w:t>
      </w:r>
      <w:r>
        <w:rPr>
          <w:bCs/>
          <w:b/>
        </w:rPr>
        <w:t xml:space="preserve">~9,7 % anual durante 10 años</w:t>
      </w:r>
      <w:r>
        <w:t xml:space="preserve"> </w:t>
      </w:r>
      <w:r>
        <w:t xml:space="preserve">(8,4 % con WACC del 8 %; 11,8 % con margen del 28 % y WACC del 9 %) [18]. Es su ritmo actual: no hay margen de seguridad.</w:t>
      </w:r>
    </w:p>
    <w:bookmarkEnd w:id="28"/>
    <w:bookmarkStart w:id="29" w:name="foros-y-sentimiento"/>
    <w:p>
      <w:pPr>
        <w:pStyle w:val="Heading2"/>
      </w:pPr>
      <w:r>
        <w:t xml:space="preserve">10. Foros y sentimiento</w:t>
      </w:r>
    </w:p>
    <w:p>
      <w:pPr>
        <w:numPr>
          <w:ilvl w:val="0"/>
          <w:numId w:val="1010"/>
        </w:numPr>
        <w:pStyle w:val="Compact"/>
      </w:pPr>
      <w:r>
        <w:rPr>
          <w:bCs/>
          <w:b/>
        </w:rPr>
        <w:t xml:space="preserve">Prensa y analistas</w:t>
      </w:r>
      <w:r>
        <w:t xml:space="preserve">: el relato de 2025 fue «los productos nuevos decepcionan» (Journavx y Casgevy por debajo de lo esperado); en 2026 el foco pasó al riñón (pove, inaxaplin) y la acción subió hasta 558 USD en septiembre [16]. Crinetics se recibió con dudas (cara y dilutiva hasta 2029). El 13-oct BofA recortó el objetivo y dijo que Trikafta irá un 5 % por debajo del consenso [14].</w:t>
      </w:r>
    </w:p>
    <w:p>
      <w:pPr>
        <w:numPr>
          <w:ilvl w:val="0"/>
          <w:numId w:val="1010"/>
        </w:numPr>
        <w:pStyle w:val="Compact"/>
      </w:pPr>
      <w:r>
        <w:rPr>
          <w:bCs/>
          <w:b/>
        </w:rPr>
        <w:t xml:space="preserve">StockTwits</w:t>
      </w:r>
      <w:r>
        <w:t xml:space="preserve"> </w:t>
      </w:r>
      <w:r>
        <w:t xml:space="preserve">(14-oct): 11 alcistas, 3 bajistas y 16 sin etiqueta en 30 mensajes; 12.852 seguidores. Se habla de pove, de AMPLIFIED, de compras escalonadas «entre 430 y 470» y de críticas al precio de Journavx; hubo flujo de opciones de venta a 525 USD [13].</w:t>
      </w:r>
    </w:p>
    <w:p>
      <w:pPr>
        <w:numPr>
          <w:ilvl w:val="0"/>
          <w:numId w:val="1010"/>
        </w:numPr>
        <w:pStyle w:val="Compact"/>
      </w:pPr>
      <w:r>
        <w:rPr>
          <w:bCs/>
          <w:b/>
        </w:rPr>
        <w:t xml:space="preserve">Reddit</w:t>
      </w:r>
      <w:r>
        <w:t xml:space="preserve">: la API respondió «Blocked».</w:t>
      </w:r>
      <w:r>
        <w:t xml:space="preserve"> </w:t>
      </w:r>
      <w:r>
        <w:rPr>
          <w:bCs/>
          <w:b/>
        </w:rPr>
        <w:t xml:space="preserve">Laguna.</w:t>
      </w:r>
      <w:r>
        <w:t xml:space="preserve"> </w:t>
      </w:r>
      <w:r>
        <w:rPr>
          <w:bCs/>
          <w:b/>
        </w:rPr>
        <w:t xml:space="preserve">Seeking Alpha</w:t>
      </w:r>
      <w:r>
        <w:t xml:space="preserve">: de pago, no legible.</w:t>
      </w:r>
      <w:r>
        <w:t xml:space="preserve"> </w:t>
      </w:r>
      <w:r>
        <w:rPr>
          <w:bCs/>
          <w:b/>
        </w:rPr>
        <w:t xml:space="preserve">Laguna parcial.</w:t>
      </w:r>
    </w:p>
    <w:p>
      <w:pPr>
        <w:numPr>
          <w:ilvl w:val="0"/>
          <w:numId w:val="1010"/>
        </w:numPr>
        <w:pStyle w:val="Compact"/>
      </w:pPr>
      <w:r>
        <w:rPr>
          <w:bCs/>
          <w:b/>
        </w:rPr>
        <w:t xml:space="preserve">En castellano</w:t>
      </w:r>
      <w:r>
        <w:t xml:space="preserve">: TIKR ES la presenta como «infravalorada en 2026» por pove y Journavx y advierte del fin del programa de ayuda de Journavx [16]. No se encontró hilo relevante en Rankia ni en Investing.com ES.</w:t>
      </w:r>
      <w:r>
        <w:t xml:space="preserve"> </w:t>
      </w:r>
      <w:r>
        <w:rPr>
          <w:bCs/>
          <w:b/>
        </w:rPr>
        <w:t xml:space="preserve">Laguna parcial.</w:t>
      </w:r>
    </w:p>
    <w:p>
      <w:pPr>
        <w:numPr>
          <w:ilvl w:val="0"/>
          <w:numId w:val="1010"/>
        </w:numPr>
        <w:pStyle w:val="Compact"/>
      </w:pPr>
      <w:r>
        <w:rPr>
          <w:bCs/>
          <w:b/>
        </w:rPr>
        <w:t xml:space="preserve">Contraste con los datos</w:t>
      </w:r>
      <w:r>
        <w:t xml:space="preserve">: el sentimiento es tranquilo y comprador por costumbre (calidad defensiva), sin euforia (interés corto 1,8 % [14]) ni giro. Los datos tampoco dan giro: crece al 10 % como siempre.</w:t>
      </w:r>
    </w:p>
    <w:bookmarkEnd w:id="29"/>
    <w:bookmarkStart w:id="30" w:name="riesgos-y-qué-rompería-la-tesis"/>
    <w:p>
      <w:pPr>
        <w:pStyle w:val="Heading2"/>
      </w:pPr>
      <w:r>
        <w:t xml:space="preserve">11. Riesgos y qué rompería la tesis</w:t>
      </w:r>
    </w:p>
    <w:p>
      <w:pPr>
        <w:pStyle w:val="FirstParagraph"/>
      </w:pPr>
      <w:r>
        <w:rPr>
          <w:bCs/>
          <w:b/>
        </w:rPr>
        <w:t xml:space="preserve">Robustez del resultado (por qué Mantener es defendible).</w:t>
      </w:r>
      <w:r>
        <w:t xml:space="preserve"> </w:t>
      </w:r>
      <w:r>
        <w:rPr>
          <w:rStyle w:val="VerbatimChar"/>
        </w:rPr>
        <w:t xml:space="preserve">calc.alertas</w:t>
      </w:r>
      <w:r>
        <w:t xml:space="preserve"> </w:t>
      </w:r>
      <w:r>
        <w:t xml:space="preserve">sale</w:t>
      </w:r>
      <w:r>
        <w:t xml:space="preserve"> </w:t>
      </w:r>
      <w:r>
        <w:rPr>
          <w:bCs/>
          <w:b/>
        </w:rPr>
        <w:t xml:space="preserve">vacío</w:t>
      </w:r>
      <w:r>
        <w:t xml:space="preserve">: la proyección mecánica no supera ni a la mía ni al consenso, el múltiplo de hoy (20,3x) no llega a 2 veces su mediana (17,7x), hay guía anual, el exceso sobre la guía es pequeño (1,1 pp), el EBITDA NTM está escrito y su margen cuadra, la concentración es de producto y no de cliente, y los pagos en acciones son el 5,5 %. Pruebas hechas sobre copias de</w:t>
      </w:r>
      <w:r>
        <w:t xml:space="preserve"> </w:t>
      </w:r>
      <w:r>
        <w:rPr>
          <w:rStyle w:val="VerbatimChar"/>
        </w:rPr>
        <w:t xml:space="preserve">datos.json</w:t>
      </w:r>
      <w:r>
        <w:t xml:space="preserve">:</w:t>
      </w:r>
      <w:r>
        <w:t xml:space="preserve"> </w:t>
      </w:r>
      <w:r>
        <w:t xml:space="preserve">- Señales 4 y 6 en «sí»:</w:t>
      </w:r>
      <w:r>
        <w:t xml:space="preserve"> </w:t>
      </w:r>
      <w:r>
        <w:rPr>
          <w:bCs/>
          <w:b/>
        </w:rPr>
        <w:t xml:space="preserve">64,3 puntos, ponderada −2,6 %: Mantener</w:t>
      </w:r>
      <w:r>
        <w:t xml:space="preserve">. La puntuación no es lo que decide.</w:t>
      </w:r>
      <w:r>
        <w:t xml:space="preserve"> </w:t>
      </w:r>
      <w:r>
        <w:t xml:space="preserve">- EBITDA NTM de 6.300 M (sin la pérdida de Crinetics) o múltiplo de hoy en su mediana (17,7x):</w:t>
      </w:r>
      <w:r>
        <w:t xml:space="preserve"> </w:t>
      </w:r>
      <w:r>
        <w:rPr>
          <w:bCs/>
          <w:b/>
        </w:rPr>
        <w:t xml:space="preserve">ponderada −2,6 %, igual</w:t>
      </w:r>
      <w:r>
        <w:t xml:space="preserve">. En la regla, el nivel de EBITDA se cancela (múltiplo × margen); lo que mueve el precio son las ventas y la rebaja por desaceleración.</w:t>
      </w:r>
      <w:r>
        <w:t xml:space="preserve"> </w:t>
      </w:r>
      <w:r>
        <w:t xml:space="preserve">- Sin recorte por la guía (v7 en la proyección): ponderada −1,5 %, base +1,1 %: Mantener.</w:t>
      </w:r>
      <w:r>
        <w:t xml:space="preserve"> </w:t>
      </w:r>
      <w:r>
        <w:t xml:space="preserve">- Probabilidades 35/50/15 (el 96 % de las ventas es FQ):</w:t>
      </w:r>
      <w:r>
        <w:t xml:space="preserve"> </w:t>
      </w:r>
      <w:r>
        <w:rPr>
          <w:bCs/>
          <w:b/>
        </w:rPr>
        <w:t xml:space="preserve">ponderada −10,2 % → Vender</w:t>
      </w:r>
      <w:r>
        <w:t xml:space="preserve">. No las aplico porque la FQ es una franquicia de varios productos con patentes hasta finales de la década de 2030, no un producto único que pueda caer de golpe. Pero indica que el riesgo va hacia abajo, no hacia arriba.</w:t>
      </w:r>
      <w:r>
        <w:t xml:space="preserve"> </w:t>
      </w:r>
      <w:r>
        <w:t xml:space="preserve">- Caja del 3T sumada (+600 M): sin cambios.</w:t>
      </w:r>
      <w:r>
        <w:t xml:space="preserve"> </w:t>
      </w:r>
      <w:r>
        <w:t xml:space="preserve">-</w:t>
      </w:r>
      <w:r>
        <w:t xml:space="preserve"> </w:t>
      </w:r>
      <w:r>
        <w:rPr>
          <w:bCs/>
          <w:b/>
        </w:rPr>
        <w:t xml:space="preserve">Herramienta</w:t>
      </w:r>
      <w:r>
        <w:rPr>
          <w:bCs/>
          <w:b/>
        </w:rPr>
        <w:t xml:space="preserve"> </w:t>
      </w:r>
      <w:r>
        <w:rPr>
          <w:rStyle w:val="VerbatimChar"/>
          <w:bCs/>
          <w:b/>
        </w:rPr>
        <w:t xml:space="preserve">robustez-growth.mjs --precios</w:t>
      </w:r>
      <w:r>
        <w:t xml:space="preserve"> </w:t>
      </w:r>
      <w:r>
        <w:t xml:space="preserve">(sin</w:t>
      </w:r>
      <w:r>
        <w:t xml:space="preserve"> </w:t>
      </w:r>
      <w:r>
        <w:rPr>
          <w:rStyle w:val="VerbatimChar"/>
        </w:rPr>
        <w:t xml:space="preserve">--escribir</w:t>
      </w:r>
      <w:r>
        <w:t xml:space="preserve">):</w:t>
      </w:r>
      <w:r>
        <w:t xml:space="preserve"> </w:t>
      </w:r>
      <w:r>
        <w:rPr>
          <w:bCs/>
          <w:b/>
        </w:rPr>
        <w:t xml:space="preserve">SÓLIDA, señal robusta Mantener</w:t>
      </w:r>
      <w:r>
        <w:t xml:space="preserve">. Variantes: v7 −1,5/+1,1; ventas del analista −0,1/+1,6; 35/50/15 −10,2 (Vender); precio de hoy 497,83 con objetivo fijo −5,1/−2,6. Avisos: G2 (el objetivo se mueve con el precio: se deja fijo y el límite es 450,1), G6 (bajista −43 %: si algún día entra, posición pequeña y en tramos) y G8 (el precio descuenta ~10 % anual 10 años, más que el 9 % de nuestro crecimiento final).</w:t>
      </w:r>
    </w:p>
    <w:p>
      <w:pPr>
        <w:pStyle w:val="BodyText"/>
      </w:pPr>
      <w:r>
        <w:rPr>
          <w:bCs/>
          <w:b/>
        </w:rPr>
        <w:t xml:space="preserve">Riesgos de negocio:</w:t>
      </w:r>
      <w:r>
        <w:t xml:space="preserve"> </w:t>
      </w:r>
      <w:r>
        <w:t xml:space="preserve">1.</w:t>
      </w:r>
      <w:r>
        <w:t xml:space="preserve"> </w:t>
      </w:r>
      <w:r>
        <w:rPr>
          <w:bCs/>
          <w:b/>
        </w:rPr>
        <w:t xml:space="preserve">Precio en EE. UU.</w:t>
      </w:r>
      <w:r>
        <w:t xml:space="preserve">: es el principal riesgo. Los acuerdos de «nación más favorecida» de la Casa Blanca ya cubren el 89 % del mercado de marca y llevan precios MFN a los 50 Medicaid estatales (sep-2026) [17]. Cerca de la mitad de los pacientes de FQ de EE. UU. tienen Medicaid (de memoria [19]), y el precio de Trikafta en EE. UU. (~300.000 USD al año, de memoria) es muy superior al europeo. Vertex no aparece en las listas consultadas y su 10-Q no lo menciona, pero si entra, el precio neto de la FQ en EE. UU. puede caer. La ley IRA podría seleccionar Trikafta para la negociación de Medicare más adelante (de memoria; Medicare pesa poco en FQ).</w:t>
      </w:r>
      <w:r>
        <w:t xml:space="preserve"> </w:t>
      </w:r>
      <w:r>
        <w:t xml:space="preserve">2.</w:t>
      </w:r>
      <w:r>
        <w:t xml:space="preserve"> </w:t>
      </w:r>
      <w:r>
        <w:rPr>
          <w:bCs/>
          <w:b/>
        </w:rPr>
        <w:t xml:space="preserve">Dependencia de la FQ</w:t>
      </w:r>
      <w:r>
        <w:t xml:space="preserve">: crece al ritmo de los pacientes más el precio. Si el precio deja de subir, el crecimiento cae a un dígito bajo, como apunta BofA [14].</w:t>
      </w:r>
      <w:r>
        <w:t xml:space="preserve"> </w:t>
      </w:r>
      <w:r>
        <w:t xml:space="preserve">3.</w:t>
      </w:r>
      <w:r>
        <w:t xml:space="preserve"> </w:t>
      </w:r>
      <w:r>
        <w:rPr>
          <w:bCs/>
          <w:b/>
        </w:rPr>
        <w:t xml:space="preserve">Diversificación lenta y cara</w:t>
      </w:r>
      <w:r>
        <w:t xml:space="preserve">: Journavx (~93 USD por receta frente a genéricos baratos), Casgevy irregular, pove como tercero o cuarto en nefropatía IgA, zimislecel con retrasos y Crinetics dilutiva hasta 2029.</w:t>
      </w:r>
      <w:r>
        <w:t xml:space="preserve"> </w:t>
      </w:r>
      <w:r>
        <w:t xml:space="preserve">4.</w:t>
      </w:r>
      <w:r>
        <w:t xml:space="preserve"> </w:t>
      </w:r>
      <w:r>
        <w:rPr>
          <w:bCs/>
          <w:b/>
        </w:rPr>
        <w:t xml:space="preserve">Valoración</w:t>
      </w:r>
      <w:r>
        <w:t xml:space="preserve">: 20,3x EBITDA y un DCF que exige el 9,7 % durante 10 años. Si se cumple, se gana poco; si falla algo, el múltiplo cae hacia el de Amgen o Gilead (14-15x), y ese es el bajista (−43 %).</w:t>
      </w:r>
    </w:p>
    <w:p>
      <w:pPr>
        <w:pStyle w:val="BodyText"/>
      </w:pPr>
      <w:r>
        <w:rPr>
          <w:bCs/>
          <w:b/>
        </w:rPr>
        <w:t xml:space="preserve">Señales de venta (si se tuviera)</w:t>
      </w:r>
      <w:r>
        <w:t xml:space="preserve">: dos trimestres con la FQ creciendo menos del 5 %; Vertex dentro de un acuerdo MFN que toque Medicaid; rechazo o etiqueta estrecha de pove; un competidor de CFTR con datos de fase 2 comparables a Alyftrek.</w:t>
      </w:r>
    </w:p>
    <w:bookmarkEnd w:id="30"/>
    <w:bookmarkStart w:id="31" w:name="catalizadores-con-fecha"/>
    <w:p>
      <w:pPr>
        <w:pStyle w:val="Heading2"/>
      </w:pPr>
      <w:r>
        <w:t xml:space="preserve">12. Catalizadores con fecha</w:t>
      </w:r>
    </w:p>
    <w:p>
      <w:pPr>
        <w:numPr>
          <w:ilvl w:val="0"/>
          <w:numId w:val="1011"/>
        </w:numPr>
        <w:pStyle w:val="Compact"/>
      </w:pPr>
      <w:r>
        <w:rPr>
          <w:bCs/>
          <w:b/>
        </w:rPr>
        <w:t xml:space="preserve">2-nov-2026</w:t>
      </w:r>
      <w:r>
        <w:t xml:space="preserve">: resultados del 3T y guía con Crinetics (y quizás la primera guía 2027 en febrero).</w:t>
      </w:r>
    </w:p>
    <w:p>
      <w:pPr>
        <w:numPr>
          <w:ilvl w:val="0"/>
          <w:numId w:val="1011"/>
        </w:numPr>
        <w:pStyle w:val="Compact"/>
      </w:pPr>
      <w:r>
        <w:rPr>
          <w:bCs/>
          <w:b/>
        </w:rPr>
        <w:t xml:space="preserve">Octubre-noviembre 2026</w:t>
      </w:r>
      <w:r>
        <w:t xml:space="preserve">: congreso norteamericano de FQ; datos de VX-828 (2S26); nuevos plazos de zimislecel y VX-017.</w:t>
      </w:r>
    </w:p>
    <w:p>
      <w:pPr>
        <w:numPr>
          <w:ilvl w:val="0"/>
          <w:numId w:val="1011"/>
        </w:numPr>
        <w:pStyle w:val="Compact"/>
      </w:pPr>
      <w:r>
        <w:rPr>
          <w:bCs/>
          <w:b/>
        </w:rPr>
        <w:t xml:space="preserve">30-nov-2026</w:t>
      </w:r>
      <w:r>
        <w:t xml:space="preserve">: PDUFA de povetacicept en nefropatía IgA (aprobación acelerada).</w:t>
      </w:r>
    </w:p>
    <w:p>
      <w:pPr>
        <w:numPr>
          <w:ilvl w:val="0"/>
          <w:numId w:val="1011"/>
        </w:numPr>
        <w:pStyle w:val="Compact"/>
      </w:pPr>
      <w:r>
        <w:rPr>
          <w:bCs/>
          <w:b/>
        </w:rPr>
        <w:t xml:space="preserve">Finales de 2026</w:t>
      </w:r>
      <w:r>
        <w:t xml:space="preserve">: fin del reclutamiento de las fases 3 de suzetrigina en neuropatía diabética y de pove en miastenia gravis (fase 2).</w:t>
      </w:r>
    </w:p>
    <w:p>
      <w:pPr>
        <w:numPr>
          <w:ilvl w:val="0"/>
          <w:numId w:val="1011"/>
        </w:numPr>
        <w:pStyle w:val="Compact"/>
      </w:pPr>
      <w:r>
        <w:rPr>
          <w:bCs/>
          <w:b/>
        </w:rPr>
        <w:t xml:space="preserve">Principios de 2027</w:t>
      </w:r>
      <w:r>
        <w:t xml:space="preserve">: intermedio de AMPLITUDE (inaxaplin, riñón APOL1) para la aprobación acelerada.</w:t>
      </w:r>
    </w:p>
    <w:p>
      <w:pPr>
        <w:numPr>
          <w:ilvl w:val="0"/>
          <w:numId w:val="1011"/>
        </w:numPr>
        <w:pStyle w:val="Compact"/>
      </w:pPr>
      <w:r>
        <w:rPr>
          <w:bCs/>
          <w:b/>
        </w:rPr>
        <w:t xml:space="preserve">1-ene-2027</w:t>
      </w:r>
      <w:r>
        <w:t xml:space="preserve">: nuevo director financiero.</w:t>
      </w:r>
    </w:p>
    <w:bookmarkEnd w:id="31"/>
    <w:bookmarkStart w:id="32" w:name="encaje-en-cartera"/>
    <w:p>
      <w:pPr>
        <w:pStyle w:val="Heading2"/>
      </w:pPr>
      <w:r>
        <w:t xml:space="preserve">13. Encaje en cartera</w:t>
      </w:r>
    </w:p>
    <w:p>
      <w:pPr>
        <w:numPr>
          <w:ilvl w:val="0"/>
          <w:numId w:val="1012"/>
        </w:numPr>
        <w:pStyle w:val="Compact"/>
      </w:pPr>
      <w:r>
        <w:rPr>
          <w:bCs/>
          <w:b/>
        </w:rPr>
        <w:t xml:space="preserve">Bolsillo growth lleno</w:t>
      </w:r>
      <w:r>
        <w:t xml:space="preserve"> </w:t>
      </w:r>
      <w:r>
        <w:t xml:space="preserve">(~20 %): Nu (+19 %), Axon (+36 %), Shopify (+18 %), Snowflake (+13 %) y Samsara (+15 %), al precio actual con v11. Liquidez ≈ 27 EUR: solo cabe sustituir. Alphabet se vende mañana y no cuenta como exposición a IA.</w:t>
      </w:r>
    </w:p>
    <w:p>
      <w:pPr>
        <w:numPr>
          <w:ilvl w:val="0"/>
          <w:numId w:val="1012"/>
        </w:numPr>
        <w:pStyle w:val="Compact"/>
      </w:pPr>
      <w:r>
        <w:rPr>
          <w:bCs/>
          <w:b/>
        </w:rPr>
        <w:t xml:space="preserve">Vertex no sustituye a ninguna</w:t>
      </w:r>
      <w:r>
        <w:t xml:space="preserve">: da Mantener con una ponderada de −2,6 % (−5,1 % al precio actual), frente a +13-36 % de las cinco en cartera.</w:t>
      </w:r>
    </w:p>
    <w:p>
      <w:pPr>
        <w:numPr>
          <w:ilvl w:val="0"/>
          <w:numId w:val="1012"/>
        </w:numPr>
        <w:pStyle w:val="Compact"/>
      </w:pPr>
      <w:r>
        <w:rPr>
          <w:bCs/>
          <w:b/>
        </w:rPr>
        <w:t xml:space="preserve">Suplentes</w:t>
      </w:r>
      <w:r>
        <w:t xml:space="preserve"> </w:t>
      </w:r>
      <w:r>
        <w:t xml:space="preserve">(MongoDB, Toast, Zscaler, Dexcom, Datadog, argenx, Natera):</w:t>
      </w:r>
      <w:r>
        <w:t xml:space="preserve"> </w:t>
      </w:r>
      <w:r>
        <w:rPr>
          <w:bCs/>
          <w:b/>
        </w:rPr>
        <w:t xml:space="preserve">no entra en la lista</w:t>
      </w:r>
      <w:r>
        <w:t xml:space="preserve">, porque todas dan Comprar y Vertex no.</w:t>
      </w:r>
      <w:r>
        <w:t xml:space="preserve"> </w:t>
      </w:r>
      <w:r>
        <w:rPr>
          <w:bCs/>
          <w:b/>
        </w:rPr>
        <w:t xml:space="preserve">Frente a argenx</w:t>
      </w:r>
      <w:r>
        <w:t xml:space="preserve"> </w:t>
      </w:r>
      <w:r>
        <w:t xml:space="preserve">(sexta suplente; ponderada +11,4 % con v11 y compra hasta 866,8 USD, cotizando a ~803 USD): argenx crece siete veces más deprisa a un múltiplo de ventas menor. Vertex es más segura (monopolio, FCF del 30 %, caja neta) pero no ofrece rentabilidad esperada. Si el usuario quiere biotecnología en el bolsillo growth, la vía es argenx con sus resultados del 22-oct, no Vertex.</w:t>
      </w:r>
    </w:p>
    <w:p>
      <w:pPr>
        <w:numPr>
          <w:ilvl w:val="0"/>
          <w:numId w:val="1012"/>
        </w:numPr>
        <w:pStyle w:val="Compact"/>
      </w:pPr>
      <w:r>
        <w:rPr>
          <w:bCs/>
          <w:b/>
        </w:rPr>
        <w:t xml:space="preserve">Encaje en la cartera value</w:t>
      </w:r>
      <w:r>
        <w:t xml:space="preserve">: por perfil (FCF estable, monopolio, sin dividendo), Vertex se mediría mejor con el método value (PER, ROIC − WACC). No tiene informe value; con un PER adelantado de ~33x [14] y un DCF inverso al 9,7 %, tampoco parece pasar el requisito de rentabilidad del 15 %. No se propone.</w:t>
      </w:r>
    </w:p>
    <w:p>
      <w:pPr>
        <w:numPr>
          <w:ilvl w:val="0"/>
          <w:numId w:val="1012"/>
        </w:numPr>
        <w:pStyle w:val="Compact"/>
      </w:pPr>
      <w:r>
        <w:rPr>
          <w:bCs/>
          <w:b/>
        </w:rPr>
        <w:t xml:space="preserve">A qué precio cambiaría</w:t>
      </w:r>
      <w:r>
        <w:t xml:space="preserve">: ≤ 450 USD</w:t>
      </w:r>
      <w:r>
        <w:t xml:space="preserve"> </w:t>
      </w:r>
      <w:r>
        <w:rPr>
          <w:bCs/>
          <w:b/>
        </w:rPr>
        <w:t xml:space="preserve">y</w:t>
      </w:r>
      <w:r>
        <w:t xml:space="preserve"> </w:t>
      </w:r>
      <w:r>
        <w:t xml:space="preserve">una señal más (revisiones al alza tras pove o la guía 2027) para superar los 60 puntos. A ~400-420 USD (cerca del mínimo de 12 meses) sería una compra clara si la tesis de FQ sigue intacta.</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10,0</w:t>
            </w:r>
          </w:p>
        </w:tc>
        <w:tc>
          <w:tcPr/>
          <w:p>
            <w:pPr>
              <w:pStyle w:val="Compact"/>
              <w:jc w:val="left"/>
            </w:pPr>
            <w:r>
              <w:t xml:space="preserve">25</w:t>
            </w:r>
          </w:p>
        </w:tc>
        <w:tc>
          <w:tcPr/>
          <w:p>
            <w:pPr>
              <w:pStyle w:val="Compact"/>
              <w:jc w:val="left"/>
            </w:pPr>
            <w:r>
              <w:t xml:space="preserve">12 m +10,2 % (1/5), CAGR 2 años 10,3 % (1/5), aceleración +2,3 pp (4/5)</w:t>
            </w:r>
          </w:p>
        </w:tc>
      </w:tr>
      <w:tr>
        <w:tc>
          <w:tcPr/>
          <w:p>
            <w:pPr>
              <w:pStyle w:val="Compact"/>
              <w:jc w:val="left"/>
            </w:pPr>
            <w:r>
              <w:t xml:space="preserve">B. Mercado y tecnología</w:t>
            </w:r>
          </w:p>
        </w:tc>
        <w:tc>
          <w:tcPr/>
          <w:p>
            <w:pPr>
              <w:pStyle w:val="Compact"/>
              <w:jc w:val="left"/>
            </w:pPr>
            <w:r>
              <w:t xml:space="preserve">13,3</w:t>
            </w:r>
          </w:p>
        </w:tc>
        <w:tc>
          <w:tcPr/>
          <w:p>
            <w:pPr>
              <w:pStyle w:val="Compact"/>
              <w:jc w:val="left"/>
            </w:pPr>
            <w:r>
              <w:t xml:space="preserve">20</w:t>
            </w:r>
          </w:p>
        </w:tc>
        <w:tc>
          <w:tcPr/>
          <w:p>
            <w:pPr>
              <w:pStyle w:val="Compact"/>
              <w:jc w:val="left"/>
            </w:pPr>
            <w:r>
              <w:t xml:space="preserve">Penetración 42 % (1/5), tecnología 4/5, posición 5/5</w:t>
            </w:r>
          </w:p>
        </w:tc>
      </w:tr>
      <w:tr>
        <w:tc>
          <w:tcPr/>
          <w:p>
            <w:pPr>
              <w:pStyle w:val="Compact"/>
              <w:jc w:val="left"/>
            </w:pPr>
            <w:r>
              <w:t xml:space="preserve">C. Cambio de tendencia</w:t>
            </w:r>
          </w:p>
        </w:tc>
        <w:tc>
          <w:tcPr/>
          <w:p>
            <w:pPr>
              <w:pStyle w:val="Compact"/>
              <w:jc w:val="left"/>
            </w:pPr>
            <w:r>
              <w:t xml:space="preserve">5,0</w:t>
            </w:r>
          </w:p>
        </w:tc>
        <w:tc>
          <w:tcPr/>
          <w:p>
            <w:pPr>
              <w:pStyle w:val="Compact"/>
              <w:jc w:val="left"/>
            </w:pPr>
            <w:r>
              <w:t xml:space="preserve">20</w:t>
            </w:r>
          </w:p>
        </w:tc>
        <w:tc>
          <w:tcPr/>
          <w:p>
            <w:pPr>
              <w:pStyle w:val="Compact"/>
              <w:jc w:val="left"/>
            </w:pPr>
            <w:r>
              <w:t xml:space="preserve">2 de 8 señales (precio sobre la media de 200, catalizador)</w:t>
            </w:r>
          </w:p>
        </w:tc>
      </w:tr>
      <w:tr>
        <w:tc>
          <w:tcPr/>
          <w:p>
            <w:pPr>
              <w:pStyle w:val="Compact"/>
              <w:jc w:val="left"/>
            </w:pPr>
            <w:r>
              <w:t xml:space="preserve">D. Economía unitaria</w:t>
            </w:r>
          </w:p>
        </w:tc>
        <w:tc>
          <w:tcPr/>
          <w:p>
            <w:pPr>
              <w:pStyle w:val="Compact"/>
              <w:jc w:val="left"/>
            </w:pPr>
            <w:r>
              <w:t xml:space="preserve">13,0</w:t>
            </w:r>
          </w:p>
        </w:tc>
        <w:tc>
          <w:tcPr/>
          <w:p>
            <w:pPr>
              <w:pStyle w:val="Compact"/>
              <w:jc w:val="left"/>
            </w:pPr>
            <w:r>
              <w:t xml:space="preserve">15</w:t>
            </w:r>
          </w:p>
        </w:tc>
        <w:tc>
          <w:tcPr/>
          <w:p>
            <w:pPr>
              <w:pStyle w:val="Compact"/>
              <w:jc w:val="left"/>
            </w:pPr>
            <w:r>
              <w:t xml:space="preserve">Margen bruto 86 % (5/5), regla del 40 = 40,4 (3/5), FCF creciente (5/5)</w:t>
            </w:r>
          </w:p>
        </w:tc>
      </w:tr>
      <w:tr>
        <w:tc>
          <w:tcPr/>
          <w:p>
            <w:pPr>
              <w:pStyle w:val="Compact"/>
              <w:jc w:val="left"/>
            </w:pPr>
            <w:r>
              <w:t xml:space="preserve">E. Caja y dilución</w:t>
            </w:r>
          </w:p>
        </w:tc>
        <w:tc>
          <w:tcPr/>
          <w:p>
            <w:pPr>
              <w:pStyle w:val="Compact"/>
              <w:jc w:val="left"/>
            </w:pPr>
            <w:r>
              <w:t xml:space="preserve">10,0</w:t>
            </w:r>
          </w:p>
        </w:tc>
        <w:tc>
          <w:tcPr/>
          <w:p>
            <w:pPr>
              <w:pStyle w:val="Compact"/>
              <w:jc w:val="left"/>
            </w:pPr>
            <w:r>
              <w:t xml:space="preserve">10</w:t>
            </w:r>
          </w:p>
        </w:tc>
        <w:tc>
          <w:tcPr/>
          <w:p>
            <w:pPr>
              <w:pStyle w:val="Compact"/>
              <w:jc w:val="left"/>
            </w:pPr>
            <w:r>
              <w:t xml:space="preserve">FCF positivo (5/5), dilución −1,4 % (5/5)</w:t>
            </w:r>
          </w:p>
        </w:tc>
      </w:tr>
      <w:tr>
        <w:tc>
          <w:tcPr/>
          <w:p>
            <w:pPr>
              <w:pStyle w:val="Compact"/>
              <w:jc w:val="left"/>
            </w:pPr>
            <w:r>
              <w:t xml:space="preserve">F. Ejecución y dirección</w:t>
            </w:r>
          </w:p>
        </w:tc>
        <w:tc>
          <w:tcPr/>
          <w:p>
            <w:pPr>
              <w:pStyle w:val="Compact"/>
              <w:jc w:val="left"/>
            </w:pPr>
            <w:r>
              <w:t xml:space="preserve">8,0</w:t>
            </w:r>
          </w:p>
        </w:tc>
        <w:tc>
          <w:tcPr/>
          <w:p>
            <w:pPr>
              <w:pStyle w:val="Compact"/>
              <w:jc w:val="left"/>
            </w:pPr>
            <w:r>
              <w:t xml:space="preserve">10</w:t>
            </w:r>
          </w:p>
        </w:tc>
        <w:tc>
          <w:tcPr/>
          <w:p>
            <w:pPr>
              <w:pStyle w:val="Compact"/>
              <w:jc w:val="left"/>
            </w:pPr>
            <w:r>
              <w:t xml:space="preserve">Historial 4/5, dirección 4/5</w:t>
            </w:r>
          </w:p>
        </w:tc>
      </w:tr>
      <w:tr>
        <w:tc>
          <w:tcPr/>
          <w:p>
            <w:pPr>
              <w:pStyle w:val="Compact"/>
              <w:jc w:val="left"/>
            </w:pPr>
            <w:r>
              <w:rPr>
                <w:bCs/>
                <w:b/>
              </w:rPr>
              <w:t xml:space="preserve">Total</w:t>
            </w:r>
          </w:p>
        </w:tc>
        <w:tc>
          <w:tcPr/>
          <w:p>
            <w:pPr>
              <w:pStyle w:val="Compact"/>
              <w:jc w:val="left"/>
            </w:pPr>
            <w:r>
              <w:rPr>
                <w:bCs/>
                <w:b/>
              </w:rPr>
              <w:t xml:space="preserve">59,3</w:t>
            </w:r>
          </w:p>
        </w:tc>
        <w:tc>
          <w:tcPr/>
          <w:p>
            <w:pPr>
              <w:pStyle w:val="Compact"/>
              <w:jc w:val="left"/>
            </w:pPr>
            <w:r>
              <w:rPr>
                <w:bCs/>
                <w:b/>
              </w:rPr>
              <w:t xml:space="preserve">100</w:t>
            </w:r>
          </w:p>
        </w:tc>
        <w:tc>
          <w:tcPr/>
          <w:p>
            <w:pPr>
              <w:pStyle w:val="Compact"/>
              <w:jc w:val="left"/>
            </w:pPr>
            <w:r>
              <w:t xml:space="preserve">Mantener (v11 = v9)</w:t>
            </w:r>
          </w:p>
        </w:tc>
      </w:tr>
    </w:tbl>
    <w:p>
      <w:pPr>
        <w:pStyle w:val="BodyText"/>
      </w:pPr>
      <w:r>
        <w:rPr>
          <w:bCs/>
          <w:b/>
        </w:rPr>
        <w:t xml:space="preserve">Mejora de método propuesta</w:t>
      </w:r>
      <w:r>
        <w:t xml:space="preserve">: las empresas que crecen al ~10 % con beneficios estables (Vertex, como Lilly en parte) quedan por debajo de 60 por el bloque A aunque sean excelentes; el método growth no está hecho para ellas, y es correcto que no las compre. Propuesta: que el comando de la cola growth derive al análisis value a las empresas con crecimiento &lt; 15 % y margen de explotación &gt; 30 % antes de gastar un informe growth. También se debería</w:t>
      </w:r>
      <w:r>
        <w:t xml:space="preserve"> </w:t>
      </w:r>
      <w:r>
        <w:rPr>
          <w:bCs/>
          <w:b/>
        </w:rPr>
        <w:t xml:space="preserve">ajustar la señal 4 por compras pagadas con caja</w:t>
      </w:r>
      <w:r>
        <w:t xml:space="preserve"> </w:t>
      </w:r>
      <w:r>
        <w:t xml:space="preserve">(el EV sube sin EBITDA nuevo): medir el múltiplo sin la compra o esperar un trimestre.</w:t>
      </w:r>
    </w:p>
    <w:bookmarkEnd w:id="33"/>
    <w:bookmarkStart w:id="34" w:name="fuentes"/>
    <w:p>
      <w:pPr>
        <w:pStyle w:val="Heading2"/>
      </w:pPr>
      <w:r>
        <w:t xml:space="preserve">Fuentes</w:t>
      </w:r>
    </w:p>
    <w:p>
      <w:pPr>
        <w:pStyle w:val="FirstParagraph"/>
      </w:pPr>
      <w:r>
        <w:t xml:space="preserve">[1] Vertex, resultados del 2T 2026 (3-ago-2026), 8-K ex. 99.1 (SEC, leído directamente): ingresos 3.333,9 M USD (+12 %); Trikafta/Kaftrio 2.497,2, Alyftrek 573,6, otros FQ 137,1, Casgevy 76,4, Journavx 49,6; resultado de explotación no GAAP 1.423,3; caja e inversiones 13.600 M; guía 2026 de 13.100-13.200 M; PDUFA de povetacicept el 30-nov-2026; compra de Crinetics (10.000 M; 8.800 M netos).</w:t>
      </w:r>
      <w:r>
        <w:t xml:space="preserve"> </w:t>
      </w:r>
      <w:r>
        <w:t xml:space="preserve">[2] Vertex, 10-Q del 2T 2026 (4-ago-2026, SEC): préstamo a plazo de 4.500 M (30-jul-2026; 1.000 + 1.000 + 2.500 a 1, 2 y 3 años), línea de crédito de 500 M; Crinetics pagada con caja y el préstamo; recompras de 799,5 M en el 1S26 y 2.600 M disponibles.</w:t>
      </w:r>
      <w:r>
        <w:t xml:space="preserve"> </w:t>
      </w:r>
      <w:r>
        <w:t xml:space="preserve">[3] Vertex, resultados del 4T 2025 (12-feb-2026) y del 1T 2026 (4-may-2026), 8-K ex. 99.1 (SEC): ingresos 2025 12.001,3 M (+9 %); primera guía 2026 de 12.950-13.100 M; 1T26 2.986,9 M, Trikafta 2.354,7, Alyftrek 424,4.</w:t>
      </w:r>
      <w:r>
        <w:t xml:space="preserve"> </w:t>
      </w:r>
      <w:r>
        <w:t xml:space="preserve">[4] Vertex, resultados del 4T 2024 (10-feb-2025), 1T 2025 y 3T 2025 (8-K, SEC): primera guía 2025 de 11.750-12.000 M; subidas a 11.850-12.000 M y 11.900-12.000 M.</w:t>
      </w:r>
      <w:r>
        <w:t xml:space="preserve"> </w:t>
      </w:r>
      <w:r>
        <w:t xml:space="preserve">[5] SEC XBRL companyfacts (CIK 875320): ingresos, coste de ventas, resultado de explotación, pagos en acciones, amortizaciones, IPR&amp;D adquirido, flujo operativo, inversiones, recompras, caja e inversiones y acciones diluidas de 2022 a jun-2026.</w:t>
      </w:r>
      <w:r>
        <w:t xml:space="preserve"> </w:t>
      </w:r>
      <w:r>
        <w:t xml:space="preserve">[6] Crinetics: cierre el 1-sep-2026 (Pulse 2.0, American Pharmaceutical Review, Boston Globe): Palsonify lanzado en EE. UU. y aprobado en la UE; atumelnant en fase 3; pico combinado &gt; 5.000 M según Vertex; acrecitiva en 2029; nuevo director financiero desde el 1-ene-2027.</w:t>
      </w:r>
      <w:r>
        <w:t xml:space="preserve"> </w:t>
      </w:r>
      <w:r>
        <w:t xml:space="preserve">[7] Inaxaplin: AMPLIFIED positivo el 22-sep-2026 (−42,7 % de UACR a 13 semanas; −17,3 % no significativo en diabetes tipo 2); cohorte intermedia de AMPLITUDE completa (BiopharmaWatch, Goldesel, StockTwits).</w:t>
      </w:r>
      <w:r>
        <w:t xml:space="preserve"> </w:t>
      </w:r>
      <w:r>
        <w:t xml:space="preserve">[8] SEC, Formularios 4 de feb-oct 2026 (41, leídos directamente): sin compras; concesiones, una donación y ventas pequeñas (Kewalramani, Bozic, Liu, McKechnie, Tatsis).</w:t>
      </w:r>
      <w:r>
        <w:t xml:space="preserve"> </w:t>
      </w:r>
      <w:r>
        <w:t xml:space="preserve">[9] Yahoo Finance chart API (VRTX, SPY, QQQ, XBI, IBB, ARGX; diario a 5 años): cierre de VRTX del 13-oct-2026 485,22 USD; 13-oct-2025 407,37; 13-abr-2026 440,05; mínimo de 12 meses 407,90, máximo 557,96; medias de 200 sesiones calculadas; intradía del 14-oct 497,99 USD a las 17:28 UTC.</w:t>
      </w:r>
      <w:r>
        <w:t xml:space="preserve"> </w:t>
      </w:r>
      <w:r>
        <w:t xml:space="preserve">[10] Nasdaq.com, histórico de VRTX (API): cierre del 13-oct-2026 485,22 USD (segunda fuente).</w:t>
      </w:r>
      <w:r>
        <w:t xml:space="preserve"> </w:t>
      </w:r>
      <w:r>
        <w:t xml:space="preserve">[11] Yahoo Finance, estimaciones (14-oct-2026): ventas 2026 13.270 M y 2027 14.560 M; BPA 2026 17,78 (19,03 hace 90 días) y 2027 20,39 (21,48). Consenso 2028 no legible; ~16.000 M estimado (Chartmill antiguo, 16.490 M).</w:t>
      </w:r>
      <w:r>
        <w:t xml:space="preserve"> </w:t>
      </w:r>
      <w:r>
        <w:t xml:space="preserve">[12] StockAnalysis (14-oct-2026): 32 analistas, objetivo medio 571,43 USD (mediana 578; 350-667); 26 en Compra; BofA 672 → 667, Citi 575 → 585, BMO 600, RBC 570 → 576, Morgan Stanley 665.</w:t>
      </w:r>
      <w:r>
        <w:t xml:space="preserve"> </w:t>
      </w:r>
      <w:r>
        <w:t xml:space="preserve">[13] StockTwits, flujo de VRTX (API pública, 14-oct-2026): 11 alcistas, 3 bajistas, 16 sin etiqueta de 30; 12.852 seguidores.</w:t>
      </w:r>
      <w:r>
        <w:t xml:space="preserve"> </w:t>
      </w:r>
      <w:r>
        <w:t xml:space="preserve">[14] Investing.com, Quiver Quant, TradingKey y 24/7 Wall St. (13-oct-2026): caída del 4,1-4,3 % por el recorte de BofA; StockAnalysis: EV/EBITDA 22,4x 12 m pasados, PER adelantado 33,5x, interés corto 1,78 %.</w:t>
      </w:r>
      <w:r>
        <w:t xml:space="preserve"> </w:t>
      </w:r>
      <w:r>
        <w:t xml:space="preserve">[15] StockAnalysis (14-oct-2026): Regeneron 12,8x EV/EBITDA, Gilead 14,0x, Amgen 15,4x.</w:t>
      </w:r>
      <w:r>
        <w:t xml:space="preserve"> </w:t>
      </w:r>
      <w:r>
        <w:t xml:space="preserve">[16] Fierce Pharma, BioSpace, Zacks, Nasdaq, TIKR ES y Visible Alpha (2025-2026): objetivos y ritmo de Casgevy y Journavx; tesis de povetacicept (RAINIER −52 % de proteinuria); fin del programa de ayuda de Journavx; pico de Journavx 3.400 M en 2032.</w:t>
      </w:r>
      <w:r>
        <w:t xml:space="preserve"> </w:t>
      </w:r>
      <w:r>
        <w:t xml:space="preserve">[17] Casa Blanca (ago-sep 2026): acuerdos MFN con 26 fabricantes (89 % del mercado de marca) y precios MFN en los 50 Medicaid; Vertex no aparece en las listas consultadas (incompletas); el 10-Q no lo menciona.</w:t>
      </w:r>
      <w:r>
        <w:t xml:space="preserve"> </w:t>
      </w:r>
      <w:r>
        <w:t xml:space="preserve">[18] Cálculo propio: EV, EBITDA NTM ~5.850 M, EV/EBITDA trimestral (mediana 17,7x, mínimo 15,2x), señal 4 sin Crinetics y DCF inverso (detalle en</w:t>
      </w:r>
      <w:r>
        <w:t xml:space="preserve"> </w:t>
      </w:r>
      <w:r>
        <w:rPr>
          <w:rStyle w:val="VerbatimChar"/>
        </w:rPr>
        <w:t xml:space="preserve">datos.json</w:t>
      </w:r>
      <w:r>
        <w:t xml:space="preserve">).</w:t>
      </w:r>
      <w:r>
        <w:t xml:space="preserve"> </w:t>
      </w:r>
      <w:r>
        <w:t xml:space="preserve">[19] DE MEMORIA (no verificado en esta sesión): patentes de Trikafta (~2037) y Alyftrek (~2039); competidores en nefropatía IgA (Otsuka, Novartis, Vera); ~la mitad de los pacientes de FQ de EE. UU. con Medicaid; precio de Trikafta ~300.000 USD al año; pacientes tratables de FQ; Vertex sin carta MFN en jul-2025.</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2026-10-14T17:32:37Z</dcterms:created>
  <dcterms:modified xsi:type="dcterms:W3CDTF">2026-10-14T17:32:37Z</dcterms:modified>
</cp:coreProperties>
</file>

<file path=docProps/custom.xml><?xml version="1.0" encoding="utf-8"?>
<Properties xmlns="http://schemas.openxmlformats.org/officeDocument/2006/custom-properties" xmlns:vt="http://schemas.openxmlformats.org/officeDocument/2006/docPropsVTypes"/>
</file>