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Lagercrantz Group AB (publ)</w:t>
      </w:r>
    </w:p>
    <w:p>
      <w:pPr>
        <w:spacing w:after="60"/>
        <w:rPr>
          <w:color w:val="52514E"/>
          <w:sz w:val="22"/>
          <w:szCs w:val="22"/>
        </w:rPr>
      </w:pPr>
      <w:r>
        <w:rPr>
          <w:color w:val="52514E"/>
          <w:sz w:val="22"/>
          <w:szCs w:val="22"/>
        </w:rPr>
        <w:t xml:space="preserve">LAGR B · Nasdaq Stockholm (Large Cap) · ISIN SE0014990966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228,80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250,74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+10,7 % (base +16,8 %)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127,22 SEK · mercado 163,70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47.247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Lagercrantz Group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LAGR B / SE0014990966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Conglomerados industriales y componentes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1906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www.lagercrantz.com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228,80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185,20 – 266,80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47.247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52.775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47,2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250,74 SEK</w:t>
      </w:r>
      <w:r>
        <w:t xml:space="preserve"> frente a 228,80 · Rentabilidad a 12 meses </w:t>
      </w:r>
      <w:r>
        <w:rPr>
          <w:b/>
          <w:bCs/>
        </w:rPr>
        <w:t xml:space="preserve">+10,7 % (base +16,8 %)</w:t>
      </w:r>
      <w:r>
        <w:t xml:space="preserve"> · Valor intrínseco 127,22 SEK · con la prima implícita del mercado: 163,70 (-28,5 %) · Alcista / bajista -36,2 % / -71,2 %</w:t>
      </w:r>
    </w:p>
    <w:p>
      <w:pPr>
        <w:spacing w:after="100"/>
      </w:pPr>
      <w:r>
        <w:rPr>
          <w:b/>
        </w:rPr>
        <w:t xml:space="preserve">La recomendación y por qué.</w:t>
      </w:r>
      <w:r>
        <w:t xml:space="preserve"> Mantener, con convicción media. El objetivo a 12 meses es de 250,74 SEK (264,74 en el caso base), una rentabilidad ponderada del 10,7 % con el dividendo y del 16,8 % en el base frente a 228,80 SEK: el base pasa el umbral del 12 %, pero la ponderada no llega al 15 % y el valor intrínseco (127,22 SEK) está un 44 % por debajo del precio, así que la regla no da Comprar. El objetivo medio de los analistas (268,88 SEK) queda dentro de nuestro rango. La convicción es media porque la regla está lejos de sus umbrales; la subiría una caída del precio por debajo de 200 SEK sin cambio de beneficio, y la bajaría un orgánico negativo en el 2T (23-oct).</w:t>
      </w:r>
    </w:p>
    <w:p>
      <w:pPr>
        <w:spacing w:after="100"/>
      </w:pPr>
      <w:r>
        <w:rPr>
          <w:b/>
        </w:rPr>
        <w:t xml:space="preserve">El negocio.</w:t>
      </w:r>
      <w:r>
        <w:t xml:space="preserve"> Lagercrantz compra y mantiene pymes técnicas de nicho en el norte de Europa (protección de cables, seguridad, sensores, infraestructura) y les deja la gestión: 80 % de productos propios, margen EBITA del 18,1 % y ROIC del 16,7 % frente a un WACC del 9,3 % (+7,4 puntos), el mejor de los compradores en serie que hemos medido (Halma 13,0 %, Diploma 14,4 %) [1, 27, 28]. Dos tercios del crecimiento son comprados: compra a 7,6-10,1 veces el resultado operativo sin encarecerse en cuatro años [1]. La calidad sí sostiene el crecimiento que proyectamos (8,5 % anual): el capital nuevo tendría que rendir un 22,7 %, por debajo de 1,25 veces el incremental histórico, después de rebajar el caso base para pasar esa prueba.</w:t>
      </w:r>
    </w:p>
    <w:p>
      <w:pPr>
        <w:spacing w:after="100"/>
      </w:pPr>
      <w:r>
        <w:rPr>
          <w:b/>
        </w:rPr>
        <w:t xml:space="preserve">Sector y ciclo.</w:t>
      </w:r>
      <w:r>
        <w:t xml:space="preserve"> El 1T mostró orgánico del 6 % con electrificación, defensa y seguridad fuertes y construcción débil [5]. La industria europea está en recuperación incipiente; una recesión es el bajista verosímil y llevaría el orgánico a negativo uno o dos años.</w:t>
      </w:r>
    </w:p>
    <w:p>
      <w:pPr>
        <w:spacing w:after="100"/>
      </w:pPr>
      <w:r>
        <w:rPr>
          <w:b/>
        </w:rPr>
        <w:t xml:space="preserve">Finanzas.</w:t>
      </w:r>
      <w:r>
        <w:t xml:space="preserve"> Ventas +21 % anual en cinco años y BPA +25 % [1]. La deuda ajustada (5.528 M con pagos aplazados y opciones de venta de minoritarios) es de 2,3 veces el EBITDA de los últimos 12 meses y la deuda bancaria se refinancia en septiembre de 2027. Conversión en caja del 91 % del beneficio.</w:t>
      </w:r>
    </w:p>
    <w:p>
      <w:pPr>
        <w:spacing w:after="100"/>
      </w:pPr>
      <w:r>
        <w:rPr>
          <w:b/>
        </w:rPr>
        <w:t xml:space="preserve">Valoración.</w:t>
      </w:r>
      <w:r>
        <w:t xml:space="preserve"> El DCF da 115,24 SEK con el valor terminal en el 69 %; el precio exige un 18,1 % de crecimiento anual diez años (el nuestro, 8,5 %) o una rentabilidad del 6,6 %, por debajo del WACC y del 7,9 % que pide el mercado. Por PER de los próximos 12 meses cotiza a 31,6 veces frente a 25,3 de la mediana de los pares (Indutrade 23,6, Addtech 29,4, Lifco 28,8) [24]. El mercado paga por adelantado décadas de compras rentables; nosotros solo pagamos lo que se ve en diez años.</w:t>
      </w:r>
    </w:p>
    <w:p>
      <w:pPr>
        <w:spacing w:after="100"/>
      </w:pPr>
      <w:r>
        <w:rPr>
          <w:b/>
        </w:rPr>
        <w:t xml:space="preserve">Riesgos y catalizadores.</w:t>
      </w:r>
      <w:r>
        <w:t xml:space="preserve"> El mayor riesgo es de múltiplo: en 2022 los compradores en serie suecos bajaron un 40 % sin cambio de negocio; a 24,8 veces el bajista a 12 meses pierde un 24 %. Le siguen una recesión industrial (orgánico negativo) y compras más caras por la competencia del capital privado. Riesgo de IA bajo y mixto (±3 %). Catalizadores: resultados del 2T el 23-oct, del ejercicio en mayo de 2027 y la refinanciación de septiembre de 2027.</w:t>
      </w:r>
    </w:p>
    <w:p>
      <w:pPr>
        <w:spacing w:after="100"/>
      </w:pPr>
      <w:r>
        <w:rPr>
          <w:b/>
        </w:rPr>
        <w:t xml:space="preserve">Qué cambiaría la decisión.</w:t>
      </w:r>
      <w:r>
        <w:t xml:space="preserve"> La regla compra por debajo del valor intrínseco (127,22 SEK) y vende por encima de 281,52 SEK. Pasaríamos a vigilar más de cerca con un orgánico por debajo del 0 % dos trimestres o compras por encima de 11 veces el resultado operativo.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250,74 SEK</w:t>
      </w:r>
      <w:r>
        <w:t xml:space="preserve"> (rentabilidad +10,7 % (base +16,8 %)) · Valor intrínseco: 127,22 SEK (-44,4 % sobre 228,80) · con la prima implícita del mercado: 163,70 (-28,5 %)</w:t>
      </w:r>
    </w:p>
    <w:p>
      <w:pPr>
        <w:spacing w:after="100"/>
      </w:pPr>
      <w:r>
        <w:t xml:space="preserve">Lagercrantz es un comprador en serie sueco de pymes técnicas de nicho: 70 filiales líderes en mercados pequeños, con un 80 % de productos propios, margen EBITA del 18 % y un ROIC del 16,7 % que lleva cinco años estable, por encima de Halma y Diploma [1, 27, 28]. Ha multiplicado el BPA por tres en cinco años (de 1,91 a 5,81 SEK) comprando ≈ 1.000-1.500 M de ventas al año a 7-10 veces el resultado operativo [1].</w:t>
      </w:r>
    </w:p>
    <w:p>
      <w:pPr>
        <w:spacing w:after="100"/>
      </w:pPr>
      <w:r>
        <w:t xml:space="preserve">El precio descuenta mucho más: con nuestro WACC del 9,3 % exige un crecimiento del 18 % anual durante diez años, el de los últimos cinco, sobre una base tres veces mayor. Cotiza a 31,6 veces el BPA de los próximos 12 meses, un 25 % por encima de la mediana de los compradores en serie suecos, y a 22,4 veces el EBITDA [24].</w:t>
      </w:r>
    </w:p>
    <w:p>
      <w:pPr>
        <w:spacing w:after="100"/>
      </w:pPr>
      <w:r>
        <w:t xml:space="preserve">El mercado acierta en el negocio y en el beneficio: nuestro BPA coincide con el consenso. Donde discrepamos es en lo que vale: el valor intrínseco de 127 SEK es la mitad del precio, y la rentabilidad a 12 meses (10,7 % ponderada) depende de que el PER se quede en ≈ 31 veces. Para invertir hay que creer que el modelo seguirá comprando con rentabilidades del 15-20 % durante décadas y que el mercado seguirá pagándolo así.</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 × 7,03 = 174,34 · 31,0x × 8,54 = 264,74 · 31,0x × 9,65 = 299,15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268,88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 / -71,2 %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(8,5 % anual proyectado; financiable al ROIC actual: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127,22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127,22 y 281,38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281,38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127,22 SEK (valor intrínseco): Comprar si la regla a 12 meses también lo da.</w:t>
      </w:r>
    </w:p>
    <w:p>
      <w:pPr>
        <w:pStyle w:val="ListParagraph"/>
        <w:numPr>
          <w:ilvl w:val="0"/>
          <w:numId w:val="2"/>
        </w:numPr>
        <w:spacing w:after="60"/>
      </w:pPr>
      <w:r>
        <w:t xml:space="preserve">Precio por encima de 281,52 SEK: Vender o reducir.</w:t>
      </w:r>
    </w:p>
    <w:p>
      <w:pPr>
        <w:pStyle w:val="ListParagraph"/>
        <w:numPr>
          <w:ilvl w:val="0"/>
          <w:numId w:val="2"/>
        </w:numPr>
        <w:spacing w:after="60"/>
      </w:pPr>
      <w:r>
        <w:t xml:space="preserve">Orgánico por debajo del 0 % dos trimestres seguidos: revisar el caso base a la baja.</w:t>
      </w:r>
    </w:p>
    <w:p>
      <w:pPr>
        <w:pStyle w:val="ListParagraph"/>
        <w:numPr>
          <w:ilvl w:val="0"/>
          <w:numId w:val="2"/>
        </w:numPr>
        <w:spacing w:after="60"/>
      </w:pPr>
      <w:r>
        <w:t xml:space="preserve">Compras pagadas por encima de 11 veces el resultado operativo en un ejercicio: revisar la tesis de rentabilidad del capital nuevo.</w:t>
      </w:r>
    </w:p>
    <w:p>
      <w:pPr>
        <w:pStyle w:val="ListParagraph"/>
        <w:numPr>
          <w:ilvl w:val="0"/>
          <w:numId w:val="2"/>
        </w:numPr>
        <w:spacing w:after="60"/>
      </w:pPr>
      <w:r>
        <w:t xml:space="preserve">Margen EBITA por debajo del 17 % en dos trimestres: revisar márgenes.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Lagercrantz seguirá creciendo el beneficio ≈ 15 % al año durante mucho más de una década, con compras al mismo precio y la misma rentabilidad, y que la prima de los compradores en serie suecos (≈ 30 veces el beneficio) es permanente.</w:t>
      </w:r>
    </w:p>
    <w:p>
      <w:pPr>
        <w:keepNext/>
        <w:spacing w:after="100"/>
      </w:pPr>
      <w:r>
        <w:rPr>
          <w:b/>
          <w:bCs/>
        </w:rPr>
        <w:t xml:space="preserve">Lo que creemos nosotros.</w:t>
      </w:r>
    </w:p>
    <w:p>
      <w:pPr>
        <w:spacing w:after="100"/>
      </w:pPr>
      <w:r>
        <w:t xml:space="preserve">Compartimos el beneficio de los próximos tres años (BPA FY2029e de 8,54 SEK frente a 8,26 del consenso), pero un grupo tres veces mayor necesita comprar cada vez más para crecer igual, y el valor que crean las compras al 15-20 % de rentabilidad no justifica pagar hoy el doble del valor intrínseco.</w:t>
      </w:r>
    </w:p>
    <w:p>
      <w:pPr>
        <w:keepNext/>
        <w:spacing w:after="100"/>
      </w:pPr>
      <w:r>
        <w:rPr>
          <w:b/>
          <w:bCs/>
        </w:rPr>
        <w:t xml:space="preserve">Por qué podemos tener razón.</w:t>
      </w:r>
    </w:p>
    <w:p>
      <w:pPr>
        <w:spacing w:after="100"/>
      </w:pPr>
      <w:r>
        <w:t xml:space="preserve">El DCF inverso exige un 18 % de crecimiento anual diez años; ni el escenario alcista llega al precio. Podríamos equivocarnos si la duración del modelo es mucho mayor de la que el DCF recoge (como en Lifco o Constellation), pero eso ya está pagado.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2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16,7 % estable</w:t>
      </w:r>
      <w:r>
        <w:t xml:space="preserve">, 7,4 puntos sobre el WACC y por encima de Halma (13,0 %) y Diploma (14,4 %).</w:t>
      </w:r>
    </w:p>
    <w:p>
      <w:pPr>
        <w:pStyle w:val="ListParagraph"/>
        <w:numPr>
          <w:ilvl w:val="0"/>
          <w:numId w:val="2"/>
        </w:numPr>
        <w:spacing w:after="60"/>
      </w:pPr>
      <w:r>
        <w:rPr>
          <w:b/>
        </w:rPr>
        <w:t xml:space="preserve">Compras disciplinadas</w:t>
      </w:r>
      <w:r>
        <w:t xml:space="preserve">: 7,6-10,1 veces el resultado operativo en cuatro años, sin encarecerse.</w:t>
      </w:r>
    </w:p>
    <w:p>
      <w:pPr>
        <w:pStyle w:val="ListParagraph"/>
        <w:numPr>
          <w:ilvl w:val="0"/>
          <w:numId w:val="2"/>
        </w:numPr>
        <w:spacing w:after="60"/>
      </w:pPr>
      <w:r>
        <w:rPr>
          <w:b/>
        </w:rPr>
        <w:t xml:space="preserve">Orgánico recuperado</w:t>
      </w:r>
      <w:r>
        <w:t xml:space="preserve">: 6 % en el 1T y pedidos un 10 % por encima de la facturación.</w:t>
      </w:r>
    </w:p>
    <w:p>
      <w:pPr>
        <w:pStyle w:val="ListParagraph"/>
        <w:numPr>
          <w:ilvl w:val="0"/>
          <w:numId w:val="2"/>
        </w:numPr>
        <w:spacing w:after="60"/>
      </w:pPr>
      <w:r>
        <w:rPr>
          <w:b/>
        </w:rPr>
        <w:t xml:space="preserve">Directivos que compran</w:t>
      </w:r>
      <w:r>
        <w:t xml:space="preserve">: compras tras la caída de julio y ninguna venta de acciones en 12 meses.</w:t>
      </w:r>
    </w:p>
    <w:p>
      <w:pPr>
        <w:pStyle w:val="ListParagraph"/>
        <w:numPr>
          <w:ilvl w:val="0"/>
          <w:numId w:val="2"/>
        </w:numPr>
        <w:spacing w:after="60"/>
      </w:pPr>
      <w:r>
        <w:rPr>
          <w:b/>
        </w:rPr>
        <w:t xml:space="preserve">Crecimiento del BPA del 25 % anual</w:t>
      </w:r>
      <w:r>
        <w:t xml:space="preserve"> en cinco años con objetivos públicos cumplidos.</w:t>
      </w:r>
    </w:p>
    <w:p>
      <w:pPr>
        <w:pStyle w:val="Heading2"/>
      </w:pPr>
      <w:r>
        <w:t xml:space="preserve">En contra</w:t>
      </w:r>
    </w:p>
    <w:p>
      <w:pPr>
        <w:pStyle w:val="ListParagraph"/>
        <w:numPr>
          <w:ilvl w:val="0"/>
          <w:numId w:val="2"/>
        </w:numPr>
        <w:spacing w:after="60"/>
      </w:pPr>
      <w:r>
        <w:rPr>
          <w:b/>
        </w:rPr>
        <w:t xml:space="preserve">Valor intrínseco de 127 SEK</w:t>
      </w:r>
      <w:r>
        <w:t xml:space="preserve">, un 44 % por debajo del precio.</w:t>
      </w:r>
    </w:p>
    <w:p>
      <w:pPr>
        <w:pStyle w:val="ListParagraph"/>
        <w:numPr>
          <w:ilvl w:val="0"/>
          <w:numId w:val="2"/>
        </w:numPr>
        <w:spacing w:after="60"/>
      </w:pPr>
      <w:r>
        <w:rPr>
          <w:b/>
        </w:rPr>
        <w:t xml:space="preserve">El precio exige un 18 % de crecimiento anual</w:t>
      </w:r>
      <w:r>
        <w:t xml:space="preserve"> diez años, frente al 8,5 % del caso base.</w:t>
      </w:r>
    </w:p>
    <w:p>
      <w:pPr>
        <w:pStyle w:val="ListParagraph"/>
        <w:numPr>
          <w:ilvl w:val="0"/>
          <w:numId w:val="2"/>
        </w:numPr>
        <w:spacing w:after="60"/>
      </w:pPr>
      <w:r>
        <w:rPr>
          <w:b/>
        </w:rPr>
        <w:t xml:space="preserve">PER de 31,6 veces</w:t>
      </w:r>
      <w:r>
        <w:t xml:space="preserve">, un 25 % por encima de la mediana de los pares (25,3).</w:t>
      </w:r>
    </w:p>
    <w:p>
      <w:pPr>
        <w:pStyle w:val="ListParagraph"/>
        <w:numPr>
          <w:ilvl w:val="0"/>
          <w:numId w:val="2"/>
        </w:numPr>
        <w:spacing w:after="60"/>
      </w:pPr>
      <w:r>
        <w:rPr>
          <w:b/>
        </w:rPr>
        <w:t xml:space="preserve">Rentabilidad a 12 meses ponderada del 10,7 %</w:t>
      </w:r>
      <w:r>
        <w:t xml:space="preserve">, por debajo del 15 % de la regla.</w:t>
      </w:r>
    </w:p>
    <w:p>
      <w:pPr>
        <w:pStyle w:val="ListParagraph"/>
        <w:numPr>
          <w:ilvl w:val="0"/>
          <w:numId w:val="2"/>
        </w:numPr>
        <w:spacing w:after="60"/>
      </w:pPr>
      <w:r>
        <w:rPr>
          <w:b/>
        </w:rPr>
        <w:t xml:space="preserve">Deuda ajustada de 2,3 veces el EBITDA</w:t>
      </w:r>
      <w:r>
        <w:t xml:space="preserve"> con refinanciación en septiembre de 2027.</w:t>
      </w:r>
    </w:p>
    <w:p>
      <w:pPr>
        <w:pStyle w:val="Heading2"/>
      </w:pPr>
      <w:r>
        <w:t xml:space="preserve">Qué tiene que pasar para que la tesis funcione</w:t>
      </w:r>
    </w:p>
    <w:p>
      <w:pPr>
        <w:spacing w:after="100"/>
      </w:pPr>
      <w:r>
        <w:t xml:space="preserve">La tesis del mercado depende de que Lagercrantz siga comprando ≈ 1.000-1.500 M de ventas al año a 7-10 veces el resultado operativo y que el orgánico aguante en el 4-6 %. La señal de que no se cumple sería un orgánico negativo dos trimestres seguidos, un margen EBITA por debajo del 17 % o compras pagadas por encima de 11 veces; y, por el lado del múltiplo, una caída del PER de Indutrade y Addtech por debajo de 22 veces sin causa propia.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(1T); 18,0 %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&gt;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pagado en compras (EV/EBIT)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veces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capital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(con arrendamientos)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seguir comprando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37,7x / 31,6x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Lagercrantz nació en 1906 como distribuidor sueco de componentes y entró en Bergman &amp; Beving en los años noventa; en 2001 se escindió de Bergman &amp; Beving (a la vez que Addtech) y salió a bolsa en Estocolmo el 3 de septiembre de 2001 [1, 4]. En sus primeros años fue sobre todo distribución de electrónica; desde 2006, con Jörgen Wigh como consejero delegado, giró hacia productos propios de nicho y hacia compras de pymes con dueño gestor, sobre todo en los nórdicos y después en Reino Unido, Alemania y Polonia [1]. El grupo ha aumentado su beneficio dieciséis años seguidos; en 2020 hizo un split 3:1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como distribuidor de componentes técnicos en Suecia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Bergman &amp; Beving y salida a bolsa en Estocolmo (3-sep-2001)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Jörgen Wigh, consejero delegado: giro a productos propios y compras de nicho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3:1 de las acciones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cinco divisiones (Electrify, Control, TecSec, Niche Products, International) y compras récord (+34 % de ventas en FY2022)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1.000 M SEK de beneficio logrado; programa «hacia 2.000 millones» de EBT en cinco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compras con ≈ 1.070 M SEK de ventas, entre ellas Epoke (Dinamarca) e I Holland (Reino Unido)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directora financiera, objetivos de margen EBITA &gt; 20 % y siete compras en abril-agosto, cuatro en Reino Unido [1, 5, 12].</w:t>
            </w:r>
          </w:p>
        </w:tc>
      </w:tr>
    </w:tbl>
    <w:p>
      <w:pPr>
        <w:spacing w:after="160" w:before="0"/>
      </w:pPr>
    </w:p>
    <w:p>
      <w:pPr>
        <w:pStyle w:val="Heading1"/>
      </w:pPr>
      <w:r>
        <w:t xml:space="preserve">2. Modelo de negocio</w:t>
      </w:r>
    </w:p>
    <w:p>
      <w:pPr>
        <w:spacing w:after="100"/>
      </w:pPr>
      <w:r>
        <w:t xml:space="preserve">Lagercrantz es un grupo sueco de unas 90 pymes tecnológicas (3.822 empleados en junio de 2026) que venden a empresas productos de nicho con alto valor técnico: conectores y herramientas para redes eléctricas, señalización vial y barreras, mástiles, sensores y medida de radón, cerraduras y control de accesos, puertas de seguridad, herramientas de compresión para la industria farmacéutica, vehículos anfibios, silenciadores, armarios de seguridad [1, 5]. El 80 % de las ventas son productos propios (diseño y fabricación propia o por encargo), el 10 % distribución y el resto producción e integración de sistemas [5]. El 69 % se vende fuera de Suecia, sobre todo en Dinamarca, Reino Unido, Noruega, Finlandia y Alemania [1]. Cada filial tiene su propio director y su cuenta de resultados; la matriz decide las compras, fija objetivos y asigna el capital [1].</w:t>
      </w:r>
    </w:p>
    <w:p>
      <w:pPr>
        <w:pStyle w:val="Heading2"/>
      </w:pPr>
      <w:r>
        <w:t xml:space="preserve">Cómo gana dinero</w:t>
      </w:r>
    </w:p>
    <w:p>
      <w:pPr>
        <w:spacing w:after="100"/>
      </w:pPr>
      <w:r>
        <w:t xml:space="preserve">El beneficio sale del margen bruto alto de productos con poca competencia directa (39 % en FY2026) y de una estructura ligera: cada filial vende entre 20 y 400 M SEK, con clientes industriales, eléctricas, administraciones e integradores [1]. No hay ingresos recurrentes por contrato; la recurrencia viene de recambios, normas técnicas y relaciones largas. El margen depende de la mezcla (productos propios frente a distribución), de trasladar a precios la inflación de metales, plásticos y fletes (lo está haciendo en 2026) y del volumen [5]. El apalancamiento operativo es moderado porque la estructura es pequeña en cada filial. Hay estacionalidad: el 2T (julio-septiembre) es el más flojo y las compañías de invierno (Epoke, Friggeråkers) venden en otoño e invierno [5].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TecSec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Niche Products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matriz</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TecSec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Niche Products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matriz</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muy baja: ningún cliente relevante a nivel de grupo; miles de clientes industriales y públicos en el norte de Europa [1]. No hay contratos largos publicados; la retención depende de la norma técnica, del servicio y del coste de cambiar un componente certificado (conectores eléctricos, barreras viales CE, cerraduras homologadas) [1, 5]. Poder de precios demostrado: en 2022-2023, con inflación alta, el margen EBITA subió de 16,3 % a 16,6 % y en FY2026 al 18,1 %, y en 2026 las filiales están subiendo precios por metales y fletes [1, 5]. Cifra que falta: la empresa no publica el peso del primer cliente ni de los diez primeros.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(FY2026); 6 % en el 1T 2026/27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 en el último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Electrify +10 % y TecSec +12 % orgánico en el 1T 2026/27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comprado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(FY2026); 12 % en el 1T 2026/27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compras desde abril de 2025 con ≈ 1.500 M SEK de ventas anuales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(FY2026); 17,1 % en el 1T 2026/27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 en el año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más del 20 % en 2-3 años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circulante (EBITA ÷ circulante)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(FY2026); 75 %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−6 pp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&gt; 60 %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propios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margen que la distribución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sobre patrimonio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(FY2026); 28 %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&gt; 25 %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componentes y sistemas técnicos de nicho para empresas en el norte de Europa (electrificación e infraestructura, seguridad, control y medida, productos industriales de nicho), en cientos de submercados de 50 a 2.000 M SEK cada uno, y, como segundo mercado, el de compra de pymes tecnológicas con dueño gestor, donde compite con otros compradores en serie suecos (Indutrade, Addtech, Lifco, Bergman &amp; Beving, Momentum, Sdiptech) y británicos (Halma, Diploma) [1, 11]. No hay una estadística de tamaño para esta suma de nichos: la cuota se mide filial a filial y la empresa dice ser líder en muchos de sus nichos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publicada para la suma de nichos en que opera (ver huecos).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Electrify creció un 10 % orgánico en el 1T 2026/27 con margen EBITA del 20,1 %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 y gasto público (carreteras, invierno, agua)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Epoke, Friggeråkers, Nordic Road Safety y FMK; demanda «robusta» según la empresa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TecSec +12 % orgánico en el 1T 2026/27; silenciadores (Stalon) y armarios de seguridad (Nivex) [5,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en Suecia y Reino Unido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sigue con poca actividad; PcP y Door and Joinery por debajo del año anterior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metales, plásticos y fletes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precios en curso en 2026 para compensar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pymes en venta por relevo generacional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compras desde abril de 2025 (≈ 1.500 M SEK de ventas)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cada nicho compiten pocos fabricantes; Lagercrantz es líder en muchos, con margen EBITA del 18 % frente al 13-16 % de Indutrade, Addtech y Bergman &amp; Beving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el componente pesa poco en el coste del cliente y está certificado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plásticos y fletes suben en 2026; el 10 % de distribución depende de marcas de terceros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pequeños poco atractivos para grandes rivales; normas y certificaciones como barrera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técnicos y físicos (conectores, barreras, cerraduras, herramientas); poca sustitución digital [1].</w:t>
            </w:r>
          </w:p>
        </w:tc>
      </w:tr>
    </w:tbl>
    <w:p>
      <w:pPr>
        <w:spacing w:after="160" w:before="0"/>
      </w:pPr>
    </w:p>
    <w:p>
      <w:pPr>
        <w:pStyle w:val="Heading2"/>
      </w:pPr>
      <w:r>
        <w:t xml:space="preserve">Ciclo</w:t>
      </w:r>
    </w:p>
    <w:p>
      <w:pPr>
        <w:spacing w:after="100"/>
      </w:pPr>
      <w:r>
        <w:t xml:space="preserve">El orgánico pasó del 1-2 % en julio-diciembre de 2025 al 6 % en enero-junio de 2026, con pedidos de unidades comparables un 10 % por encima de lo facturado [5]. La construcción sigue floja y la industria general mejora. En 2008-09 el grupo bajó ventas pero siguió en beneficios; en 2020 las ventas cayeron un 2,1 % (FY2021) y el beneficio subió un 6 %; en 2022-2023 la inflación se trasladó a precios y el margen subió [1, 4].</w:t>
      </w:r>
    </w:p>
    <w:p>
      <w:pPr>
        <w:pStyle w:val="Heading2"/>
      </w:pPr>
      <w:r>
        <w:t xml:space="preserve">Regulación</w:t>
      </w:r>
    </w:p>
    <w:p>
      <w:pPr>
        <w:spacing w:after="100"/>
      </w:pPr>
      <w:r>
        <w:t xml:space="preserve">No hay una regulación que afecte a todo el grupo. Sí a nichos concretos: normas CE de barreras viales y señalización, homologación de cerraduras y armarios de seguridad, medida de radón (umbral sueco de 200 Bq/m³), y la inversión pública en redes eléctricas y carreteras en Suecia, Noruega, Dinamarca y Reino Unido [1, 12]. En compras: controles de inversión extranjera en Reino Unido para algunos activos de defensa (la compra de TASL necesitó aprobación en febrero de 2025) [1].</w:t>
      </w:r>
    </w:p>
    <w:p>
      <w:pPr>
        <w:pStyle w:val="Heading2"/>
      </w:pPr>
      <w:r>
        <w:t xml:space="preserve">Tendencias y disrupción</w:t>
      </w:r>
    </w:p>
    <w:p>
      <w:pPr>
        <w:spacing w:after="100"/>
      </w:pPr>
      <w:r>
        <w:t xml:space="preserve">La electrificación (redes, cargadores, centros de datos) y el gasto en defensa e infraestructura impulsan las divisiones Electrify y TecSec; la construcción residencial, no [5]. En compras, la competencia de otros compradores en serie y de capital privado sube los precios: Lagercrantz pagó 1,72 veces ventas en FY2025 y 1,19 en FY2026 [1]. La digitalización de productos (sensores conectados, control de accesos) es una oportunidad en Control y TecSec. Gana con todo ello mientras pueda seguir comprando a 8-10 veces el resultado.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muchos nichos del norte de Europa (no publica cuotas); quinto comprador en serie industrial sueco por capitalización, tras Lifco, Indutrade, Addtech y Beijer Alma por ventas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comprador de pymes industriales de Suecia (más de 200 filiales); más distribución y algo menos de margen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Addtech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ADDT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origen (Bergman &amp; Beving) y mismo modelo; más grande y con más distribución técnica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LIFCO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pymes en dental, demolición e industria; margen más alto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Bergman &amp; Beving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BERG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grupo de control (Tisenhult); más distribución de consumibles industriales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Momentum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MMGR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B&amp;B; componentes y servicios industriales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Sdiptech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SDIP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técnica y seguridad; crecimiento flojo en 2026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OEM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OEM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técnica de componentes industriales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Diploma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DPLM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en serie británico de componentes técnicos; margen alto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productos industriales de nicho.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certificados (conectores eléctricos, barreras CE, cerraduras) caros de cambiar para el cliente; margen bruto del 39 %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nicho (Elpress, Truxor, Tormek) y conocimiento técnico; pocas patentes relevantes a nivel de grupo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filiales son pequeñas; la ventaja es de margen por producto propio, no de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de 50-2.000 M SEK que no compensan a un rival grande; margen EBITA del 18 % sostenido seis años [1].</w:t>
            </w:r>
          </w:p>
        </w:tc>
      </w:tr>
    </w:tbl>
    <w:p>
      <w:pPr>
        <w:spacing w:after="160" w:before="0"/>
      </w:pPr>
    </w:p>
    <w:p>
      <w:pPr>
        <w:pStyle w:val="Heading2"/>
      </w:pPr>
      <w:r>
        <w:t xml:space="preserve">Amenazas</w:t>
      </w:r>
    </w:p>
    <w:p>
      <w:pPr>
        <w:spacing w:after="100"/>
      </w:pPr>
      <w:r>
        <w:t xml:space="preserve">Dos amenazas reales. Primera, el precio de las compras: con más compradores en serie y fondos buscando pymes, el múltiplo pagado sube (1,72 veces ventas en FY2025) y el rendimiento del capital nuevo puede bajar del 12-13 % actual; probabilidad media [1]. Segunda, la cíclica: la construcción ya resta en TecSec y Niche Products, y una recesión industrial europea quitaría crecimiento orgánico durante uno o dos años; probabilidad media [5]. En los productos, la competencia de importaciones asiáticas en los nichos con menos certificación (herramientas, distribución) es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FY2021-FY2026: ingresos </w:t>
      </w:r>
      <w:r>
        <w:rPr>
          <w:b/>
          <w:bCs/>
        </w:rPr>
        <w:t xml:space="preserve">21,0 %</w:t>
      </w:r>
      <w:r>
        <w:t xml:space="preserve">, EBITDA </w:t>
      </w:r>
      <w:r>
        <w:rPr>
          <w:b/>
          <w:bCs/>
        </w:rPr>
        <w:t xml:space="preserve">24,2 %</w:t>
      </w:r>
      <w:r>
        <w:t xml:space="preserve">, BPA </w:t>
      </w:r>
      <w:r>
        <w:rPr>
          <w:b/>
          <w:bCs/>
        </w:rPr>
        <w:t xml:space="preserve">24,9 %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4.091 M SEK en FY2021 a 10.609 M en FY2026 (TCAC del 21 %) y el EBITA de 616 a 1.923 M [1, 4]. Dos tercios del crecimiento son comprados: en FY2026 las ventas subieron un 13 %, con un 13 % de compras, un 3 % orgánico y un −3 % de divisa [1]; en el 1T 2026/27, +18 % con un 12 % comprado y un 6 % orgánico, el mejor orgánico en dos años [5]. El orgánico de los cinco trimestres hasta junio de 2026 fue del 3, 1, 2, 6 y 6 % [5]. El margen EBITA subió de 15,1 % (FY2021) a 18,1 % (FY2026) por la mezcla: los productos propios pasan del 78 al 80 % de las ventas y las compras recientes llegan con márgenes altos [1]. En el 1T 2026/27 el margen bajó a 17,1 % (17,5) por la estacionalidad de Epoke y Friggeråkers (máquinas de invierno) en International (14,6 % frente a 18,0 %) y por Control (14,0 % frente a 16,0 %) [5]. Ningún año es no comparable por partidas extraordinarias: el perímetro cambia cada año por compras.</w:t>
      </w:r>
    </w:p>
    <w:p>
      <w:pPr>
        <w:pStyle w:val="Heading2"/>
      </w:pPr>
      <w:r>
        <w:t xml:space="preserve">Ajustes y partidas no recurrentes</w:t>
      </w:r>
    </w:p>
    <w:p>
      <w:pPr>
        <w:spacing w:after="100"/>
      </w:pPr>
      <w:r>
        <w:t xml:space="preserve">Lagercrantz publica el EBITA (resultado antes de amortizar los intangibles comprados: 229 M SEK en FY2026, 207 en FY2025) como medida principal, y el EBT [1]. El informe usa cifras NIIF publicadas: EBITDA = EBITA + depreciación (361 M), EBIT y BPA diluido después de amortizaciones de intangibles comprados. No hay deterioros ni reestructuraciones en los seis años [1, 2, 3, 4]. Los costes de transacción (11 M en FY2026, 21 en FY2025, 7 en el 1T 2026/27) y la revalorización de pagos aplazados (+30 M de ingreso en FY2026, +17 en el 1T) van dentro del resultado operativo y se repiten cada año, así que no se ajustan [1, 5]. El beneficio atribuido incluye el 100 % de las filiales con socios minoritarios: los dividendos a minoritarios (53 M en FY2026, 4,4 % del beneficio) y los cambios del valor de las opciones de venta van contra patrimonio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Trimestres del ejercicio de abril a marzo (1T27 = abril-junio de 2026). La empresa no publica el EBITDA trimestral; publica el EBITA: 386, 387, 428 y 446 M SEK en FY2025, 432, 440, 513 y 536 en FY2026 y 498 en el 1T 2026/27 (margen 17,1 %) [5]. El 4T26 (19-may-2026) batió lo esperado y subió el dividendo a 2,50 SEK (+14 %) [6]. En el 1T27 (17-jul-2026) el consejero delegado habló de un «trimestre fuerte»: pedidos de unidades comparables un 10 % por encima de lo facturado y grandes proyectos para más adelante; electrificación, infraestructura, seguridad y defensa fuertes y construcción floja; inflación de metales, plásticos y fletes que se traslada a precios; y la meta de margen EBITA del 20 % en 2-3 años y de rentabilidad del circulante por encima del 60 % [5]. Repitió que, a largo plazo, dos tercios del crecimiento vendrán de compras y que es «cautamente optimista» [5]. Lo que no explicó con cifras: cuánto restó la estacionalidad de Epoke y Friggeråkers al margen de International ni por qué Control cayó dos puntos [5]. La acción bajó un 7,1 % ese día.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Ocho compras con ≈ 1.070 M SEK de ventas anuales (Epoke, I Holland, Friggeråkers, Sit Right, Enskede Hydraul, Orax y dos complementarias); I Holland (335 M) consolidada desde noviembre de 2025 [1].; FY2025: Compras con ≈ 825 M SEK de ventas anuales (contribución de 350 M en el año; 841 M si hubieran estado el año entero) [2].; FY2024: Compras con ≈ 1.193 M SEK de ventas anuales a año completo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con arrendamientos y pensiones subió de 1.314 M SEK en FY2021 a 4.213 M en FY2026 y 4.532 M en junio de 2026, siempre por compras: 2,1 veces el EBITDA de FY2026 (1,6 veces sin arrendamientos) [1, 5]. Con los pagos aplazados y las opciones de venta (996 M), la deuda ajustada es de ≈ 5.500 M, 2,3 veces el EBITDA de los últimos 12 meses. El circulante comercial pasó del 21 % de las ventas en FY2023 al 24 % en FY2026 por las existencias de compras industriales; la empresa mide la rentabilidad del circulante (EBITA ÷ circulante medio: 81 % en FY2026, 75 % en junio de 2026) [1, 5]. La deuda bancaria a largo vence casi toda en septiembre de 2027: refinanciación en los próximos 12 meses, sin señales de tensión (cobertura de intereses de 9 veces)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FY2021-FY2026: FCF </w:t>
      </w:r>
      <w:r>
        <w:rPr>
          <w:b/>
          <w:bCs/>
        </w:rPr>
        <w:t xml:space="preserve">4.852</w:t>
      </w:r>
      <w:r>
        <w:t xml:space="preserve">, conversión </w:t>
      </w:r>
      <w:r>
        <w:rPr>
          <w:b/>
          <w:bCs/>
        </w:rPr>
        <w:t xml:space="preserve">101 %</w:t>
      </w:r>
      <w:r>
        <w:t xml:space="preserve"> del beneficio neto; adquisiciones 5.218, dividendos 1.778, recompras 234.</w:t>
      </w:r>
    </w:p>
    <w:p>
      <w:pPr>
        <w:spacing w:after="100"/>
      </w:pPr>
      <w:r>
        <w:t xml:space="preserve">El flujo operativo pasó de 594 M SEK en FY2022 (año de acumulación de existencias: −293 M de circulante) a 1.502 M en FY2026, 1,25 veces el beneficio neto [1, 4]. La inversión propia es baja: 214 M en FY2026 (2,0 % de las ventas) más 192 M de arrendamientos; casi todo es mantenimiento y algo de capacidad en las fábricas propias (estimación propia: la depreciación de inmovilizado propio fue de ≈ 160 M). El uso principal de la caja son las compras: 1.082 M en FY2026, 1.136 en FY2025 y 1.175 en FY2024, unos 5.200 M en cinco años, casi el 90 % del flujo operativo de esos años [1, 2]. Los dividendos (453 M) y las compras se pagan con el flujo y con deuda: la caja después de compras y dividendos fue negativa todos los años, y la deuda neta creció ≈ 580 M al año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AB (desde la junta del 26-ago-2025; antes KPMG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el ejercicio 2025/26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sin deterioros en seis años, sin ajustes fuera de NIIF salvo el EBITA (resta solo la amortización de intangibles comprados), y con el flujo operativo por encima del beneficio [1]. Los dos juicios que importan son la asignación del precio de compra (en FY2026, de 1.276 M pagados, 509 fueron fondo de comercio y 594 intangibles que se amortizan) y la valoración de los pagos aplazados y de las opciones de venta de minoritarios, que se revalorizan con previsiones de cada filial [1]. En FY2026 la reversión de pagos aplazados sumó 30 M al resultado (1,8 % del EBIT) y en el 1T 2026/27, 17 M (3,9 %) [1, 5]: pequeño, pero va en el sentido de mejorar el resultado cuando las compradas rinden menos de lo previsto. El cambio de auditor (KPMG por Deloitte en 2025) y de director financiero (Peter Thysell por Karin Mellegård Djärf el 1-abr-2026) coinciden en el tiempo; no hay salvedades ni reexpresiones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pagos aplazados en el resultado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 SEK en FY2026 y 17 M en el 1T 2026/27: cuando una comprada rinde menos, baja el pago y sube el resultado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y de director financiero en un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Deloitte desde agosto de 2025 y nueva directora financiera desde abril de 2026, sin salvedades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fuera de la cuenta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incluye el 100 % de las filiales con socios; su parte (opciones de venta de 613 M) se lleva como pasivo y los dividendos a minoritarios (53 M) contra patrimonio [1,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4.214 M en FY2026 (el 49 % del capital invertido medio); ha subido más de un 5 % en 5 de 5 años: comprador en serie. ROIC publicado 16,7 %; sin fondo de comercio, 32,6 %.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18,9 % · </w:t>
      </w:r>
      <w:r>
        <w:rPr>
          <w:b/>
          <w:bCs/>
        </w:rPr>
        <w:t xml:space="preserve">WACC</w:t>
      </w:r>
      <w:r>
        <w:t xml:space="preserve">: 9,3 %.</w:t>
      </w:r>
    </w:p>
    <w:p>
      <w:pPr>
        <w:spacing w:after="100"/>
      </w:pPr>
      <w:r>
        <w:t xml:space="preserve">El ROIC del motor (NOPAT sobre capital invertido medio, con el fondo de comercio y los intangibles comprados) fue del 16,7 % en FY2026 y lleva cinco años entre el 16,4 % y el 17,6 %, frente a un WACC del 9,3 %: +7,4 puntos [1]. Sin el fondo de comercio, 32,6 %: es lo que rinden las filiales una vez compradas; el 16,7 % es lo que rinde el dinero del accionista, compras incluidas, y es el que se juzga en un comprador en serie. El ROIC incremental de cinco años es del 18,9 %: el capital nuevo rinde algo más que el viejo, señal de que las compras no se han encarecido [1]. El ROE es del 29 % (objetivo &gt; 25 %), ayudado por un apalancamiento de 2,1 veces el EBITDA con arrendamientos [1, 5]. Frente a sus pares, por la misma medida del repositorio: Halma 13,0 % (FY2026) y Diploma 14,4 % (FY2025) [27, 28]. Lo mueve el margen (EBITA del 18,1 %) y la poca necesidad de capital de las filiales, no la rotación (0,9 veces el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331 M SEK a 31-mar-2026 (386 M a 30-jun-2026), descubierto comprometido de 1.000 M y líneas revolventes de 2 × 2.100 M más dos préstamos a plazo de 500 M; un tramo vencía en septiembre de 2026 con opción de prórroga de un año (ventana del 23-jul al 23-ago-2026) y el otro vence en septiembre de 2027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Pagos aplazados de compras (contingent considerations): 383 M SEK a 30-jun-2026 (331 a 31-mar-2026), con un máximo de 500 M, que vencen en tres años; en FY2026 se pagaron 140 M y se revirtieron 30 M contra resultados [1, 5]. Opciones de venta de los socios minoritarios de filiales: 613 M SEK a 30-jun-2026 (591 a 31-mar), valoradas con flujos descontados y que se revalorizan contra patrimonio (−79 M en FY2026) [1, 5]. Las dos partidas son pasivos sin interés pero asimilables a deuda (996 M en total) y van en el puente. Pensiones: 55 M [1]. Covenants (ratio de solvencia y cobertura de intereses) cumplidos con holgura [1]. Avales y garantías: 78 M [1].</w:t>
      </w:r>
    </w:p>
    <w:p>
      <w:pPr>
        <w:pStyle w:val="Heading1"/>
      </w:pPr>
      <w:r>
        <w:t xml:space="preserve">12. Asignación de capital</w:t>
      </w:r>
    </w:p>
    <w:p>
      <w:pPr>
        <w:pStyle w:val="Confianza"/>
        <w:spacing w:after="100"/>
      </w:pPr>
      <w:r>
        <w:t xml:space="preserve">Confianza: Alta</w:t>
      </w:r>
    </w:p>
    <w:p>
      <w:pPr>
        <w:spacing w:after="100"/>
      </w:pPr>
      <w:r>
        <w:t xml:space="preserve">Dividendo del 30-50 % del beneficio (2,50 SEK por FY2026, 43 % del BPA); el resto de la caja va a compras de pymes tecnológicas con dueño gestor del norte de Europa, de 20 a 400 M SEK de ventas, con precio fijo, pagos aplazados según resultados con tope y opciones sobre los minoritarios que se quedan [1, 5]. Autocartera de 3,03 M de acciones B (1,4 %) solo para cubrir los programas de opciones de directivos; la junta autoriza a emitir hasta un 10 % de acciones B para pagar compras, sin uso reciente [1]. Objetivos: EBT +15 % al año y por encima de 2.000 M SEK hacia 2027/28, ROE &gt; 25 %, margen EBITA &gt; 20 % en 2-3 años y rentabilidad del circulante &gt; 60 %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 (abr-ago 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Smith Switchgear (GB), Nivex Topsafe, FMK, Hycon (DK), Stalon, Marsden (GB), bf1systems (GB) y Skandinavisk Radoninvest (NO)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pagos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compras en el 1T y dos en agosto; ≈ 400 M SEK de ventas anuales las del 1T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compras (Epoke, I Holland, Friggeråkers, Sit Right, Enskede Hydraul, Orax, MT Miljøteknik, Qvintus)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72 M de pagos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1.072 M SEK de ventas y 164 M de resultado operativo a año completo: 1,19 veces ventas y 7,8 veces el resultado operativo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ejercicio 2024/25 (≈ 825 M SEK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841 M SEK de ventas y 143 M de resultado operativo a año completo: 1,72 veces ventas y 10,1 veces el resultado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ejercicio 2023/24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1.193 M SEK de ventas y 204 M de resultado operativo a año completo: 1,29 veces ventas y 7,6 veces el resultado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ejercicio 2022/23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99 M de pagos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1.068 M SEK de ventas a año completo: 1,15 veces ventas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del ejercicio 2021/22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34 % más en el año (5.482 M) [4].</w:t>
            </w:r>
          </w:p>
        </w:tc>
      </w:tr>
    </w:tbl>
    <w:p>
      <w:pPr>
        <w:spacing w:after="160" w:before="0"/>
      </w:pPr>
    </w:p>
    <w:p>
      <w:pPr>
        <w:spacing w:after="100"/>
      </w:pPr>
      <w:r>
        <w:t xml:space="preserve">En cinco años Lagercrantz pagó ≈ 6.300 M SEK por compras que suman ≈ 4.200 M de ventas, a 7,6-10,1 veces su resultado operativo anual: un rendimiento antes de impuestos del 10-13 % sobre lo pagado, por encima de un coste de capital de ≈ 9 % [1, 2, 3]. El ROIC con fondo de comercio se ha mantenido en el 15-16 % mientras el capital invertido se triplicaba: las compras no han diluido la rentabilidad. La rentabilidad sobre el patrimonio fue del 27-29 % todos los años [1]. Ninguna compra se ha deteriorado desde 2020 [1, 4]. La dilución es nula: 206,5 M de acciones diluidas en FY2026 frente a 203,7 M en FY2021, sin ampliaciones [1]. Lo que se ha gastado de más son las compras de FY2025 (1,72 veces ventas) y el uso creciente de deuda (deuda neta de 1,0 a 2,1 veces el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Jörgen Wigh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Bergman &amp; Beving, fundador de PriceGain, consultor de McKinsey. Con él, el beneficio ha subido dieciséis años seguidos y el EBITA pasó de 616 M SEK (FY2021) a 1.923 M (FY2026) [1]. Preside Bergman &amp; Beving.</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Jonas Ahlberg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desarrollo de negocio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las compras: 14 desde abril de 2025 con ≈ 1.500 M SEK de ventas. Compró 5.000 acciones B a 213,95 SEK el 15-sep-2026 [1,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Mellegård Djärf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1-abr-2026; antes directora financiera de ByggPartner y Knightec, CFO de división y jefa de compras de AFRY, Swedish Match, EY y PwC [16]. Sustituye a Peter Thysell (2021-2026).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Fredrik Börjesson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2021; directivo del grupo familiar Tisenhult (Anders Börjesson), que controla el 29 % de los votos; consejero de Addtech y Bergman &amp; Beving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al menos 1.000 M SEK en cinco años (plan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Logrado en el verano de 2023, antes de plazo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EBT +15 % al año a lo largo del ciclo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(1.116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EBT +15 % al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(1.298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EBT +15 % al año; ROE &gt; 25 %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(1.523 M); ROE 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EBT &gt; 2.000 M SEK en cinco años desde 2023/24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jun-26: 1.585 M (a medio camino)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FY2028-29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EBITA &gt; 20 % en 2-3 años (fijado en 2025/26)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18,1 % en FY2026; 17,1 % en el 1T 2026/27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probado: Wigh lleva veinte años al frente y el beneficio ha crecido todos los años, con objetivos públicos cumplidos o batidos [1, 2]. El cambio relevante es la directora financiera (abril de 2026), que llega con el auditor también nuevo (Deloitte, 2025) [1, 16]. La sucesión es el punto débil: Wigh tiene 61 años y no hay un sucesor anunciado; el vicepresidente Ahlberg (60) lleva las compras [1]. Los directivos compraron acciones tras la caída de julio de 2026 y nadie ha vendido acciones en 12 meses [15].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Fredrik Börjesson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Malin Nordesjö</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Almlöf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Marsell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Claeson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Jörgen Wigh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el ejercicio 2025/26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3,27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Börjesson y Tisenhult-gruppen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(acciones A y B; 29,0 %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Investments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 publicado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del 5 % en septiembre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Lannebo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Aumentó en julio-agosto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Jörgen Wigh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(3,0 %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3,03 M de acciones para los programas de opciones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Jonas Ahlberg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Anna Marsell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Karin Mellegård Djärf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Anna Schmidt Almlöf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Thysell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Patrik Klerck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 Thysell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15,3 M SEK en FY2026 (+15 %): 8,8 de fijo, 2,3 de variable anual, 1,3 de variable plurianual, 2,7 de pensión y 0,1 de otros [1]. El variable depende del crecimiento del beneficio (EBT) y de la rentabilidad del circulante; el plurianual se cobra en caja y se reinvierte en acciones. Además, los directivos compran a precio de mercado opciones de compra sobre acciones en autocartera (programas anuales de 800.000 opciones, precio de ejercicio del 125 % de la cotización; el de 2026 se suscribió entero) [1, 17]. Premia crecer el beneficio y no diluye, pero no mide el rendimiento del capital de las compras (ROIC). El informe de remuneración se aprobó en las juntas de 2025 y 2026 [13, 14].</w:t>
      </w:r>
    </w:p>
    <w:p>
      <w:pPr>
        <w:pStyle w:val="Heading2"/>
      </w:pPr>
      <w:r>
        <w:t xml:space="preserve">Operaciones vinculadas, estructura de control y defensas</w:t>
      </w:r>
    </w:p>
    <w:p>
      <w:pPr>
        <w:spacing w:after="100"/>
      </w:pPr>
      <w:r>
        <w:t xml:space="preserve">Hay dos clases de acciones: las A tienen 10 votos y las B uno [1]. La familia Börjesson (Tisenhult-gruppen) tiene 8,19 M de acciones A y 3,45 M de B: el 5,6 % del capital y el 29,0 % de los votos; con el consejero delegado (3,0 % de los votos), los directores y sus familias controlan ≈ 32 % de los votos [1]. La familia preside el consejo y la comisión de nombramientos y tiene dos de los seis consejeros; es también la de control en Addtech y Bergman &amp; Beving, con consejeros cruzados (Börjesson, Nordesjö y Wigh) [1]. No hay operaciones vinculadas relevantes [1]. Defensas: la doble clase de acciones hace casi imposible una oferta hostil.</w:t>
      </w:r>
    </w:p>
    <w:p>
      <w:pPr>
        <w:pStyle w:val="Heading2"/>
      </w:pPr>
      <w:r>
        <w:t xml:space="preserve">Señales de alerta</w:t>
      </w:r>
    </w:p>
    <w:p>
      <w:pPr>
        <w:pStyle w:val="ListParagraph"/>
        <w:numPr>
          <w:ilvl w:val="0"/>
          <w:numId w:val="2"/>
        </w:numPr>
        <w:spacing w:after="60"/>
      </w:pPr>
      <w:r>
        <w:t xml:space="preserve">Cambio de auditor (KPMG por Deloitte, agosto de 2025) y de director financiero (abril de 2026) en el mismo año [1, 16].</w:t>
      </w:r>
    </w:p>
    <w:p>
      <w:pPr>
        <w:pStyle w:val="ListParagraph"/>
        <w:numPr>
          <w:ilvl w:val="0"/>
          <w:numId w:val="2"/>
        </w:numPr>
        <w:spacing w:after="60"/>
      </w:pPr>
      <w:r>
        <w:t xml:space="preserve">Consejeros cruzados con Addtech y Bergman &amp; Beving, del mismo grupo de control: posible conflicto si compiten por la misma compra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Lagercrantz no da previsiones anuales; tiene objetivos a medio plazo, confirmados en el informe anual 2025/26 (3-jul-2026) y en el 1T 2026/27 (17-jul-2026): EBT +15 % al año a lo largo del ciclo y por encima de 2.000 M SEK en 2027/28 (programa «hacia 2.000 millones»), ROE &gt; 25 %, margen EBITA &gt; 20 % en 2-3 años y rentabilidad del circulante &gt; 60 % en cada filial; dos tercios del crecimiento vendrán de compras [1, 5]. La dirección se declara «cautamente optimista»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290,00</w:t>
            </w:r>
          </w:p>
        </w:tc>
      </w:tr>
    </w:tbl>
    <w:p>
      <w:pPr>
        <w:spacing w:after="160" w:before="0"/>
      </w:pPr>
    </w:p>
    <w:p>
      <w:pPr>
        <w:pStyle w:val="Heading2"/>
      </w:pPr>
      <w:r>
        <w:t xml:space="preserve">Revisiones de estimaciones</w:t>
      </w:r>
    </w:p>
    <w:p>
      <w:pPr>
        <w:spacing w:after="100"/>
      </w:pPr>
      <w:r>
        <w:t xml:space="preserve">Una sola fuente gratuita con estimaciones completas (MarketScreener) [19]; Investing.com confirma el objetivo medio (268,88 SEK), el rango (230-290) y 5 comprar y 2 mantener [20]. Yahoo da un BPA de 7,32 SEK para FY2027 y 8,13 para FY2028 (8 analistas), un 7 % más: otra base o muestra; se usa como contraste [24]. Tras el 1T 2026/27 (17-jul) Kepler y Nordea recortaron el objetivo (290 → 280 y 285 → 280), mientras Handelsbanken, Pareto y SEB pasaban a comprar; en octubre Nordea lo subió a 283 SEK y DNB Carnegie lo bajó a 248 (mantener) [21]. FactSet espera un EBITA de 502 M SEK en el 2T 2026/27 (+14 %) [21]. Tendencia de los objetivos en tres meses: estable.</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La acción ha subido un 15,3 % anual en cinco años y un 22,9 % en diez (de precio), frente al 2,9 % y el 8,0 % del índice sueco: el mercado ha pagado el crecimiento del beneficio (TCAC del BPA del 25 % en cinco años) y una expansión del múltiplo hasta 2024-2025 [1, 18]. En el último año, +7,0 % frente a +10,4 % del índice: el PER bajó de ≈ 42 veces el beneficio publicado a 37 mientras el BPA crecía un 18 %. El año fue de vaivenes de los compradores en serie suecos (caída en el 1T de 2026, recuperación en abril-mayo y nueva corrección tras los resultados de julio) [18,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 +2,0 % / -4,4 % / +10,4 %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 +19,5 %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52 semanas (185,20 SEK el 23-mar-2026, tras la caída de los compradores en serie suecos en el primer trimestre del año) con el índice sueco (+7,5 % en abril) y la compra de una empresa ligada a los centros de datos (2-abr) [18,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y del ejercicio FY2026 (19-may-2026) por encima de lo esperado: de 238,60 a 258,20 SEK; máximo de 52 semanas de 266,80 SEK el 25-may [6,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(17-jul-2026): −7,1 % ese día por el margen EBITA (17,1 % frente a 17,5 %), el flujo operativo (−3 %) y la inflación de materias primas y fletes, pese al orgánico del 6 %; caída de un mes hasta el 29-jul. Varias casas pasaron a comprar después (Handelsbanken, Pareto, SEB) [5,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el 23-oct-2026, dos días después del corte; FactSet espera un EBITA de 502 M SEK (+14 %) [5,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DNB Carnegie baja el objetivo a 248 SEK (desde 250) y mantiene «mantener»; Nordea lo sube a 283 SEK (comprar) el 1-oct. Consenso: 5 comprar y 2 mantener, objetivo medio 268,88 SEK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netas declaradas a la FI: 1,49 % del capital en total; no hay colocaciones anunciadas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incentivos de 2026 suscrito por completo: los directivos compran opciones sobre acciones en autocartera a precio de mercado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directivos tras la caída de julio (el vicepresidente de compras, 5.000 acciones B a 213,95 SEK el 15-sep); ninguna venta de acciones en 12 meses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Swedbank Robur supera el 5 % del capital (compra, no venta); el accionista de control (Tisenhult, 29 % de los votos) no ha vendido [1,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Handelsbanken (290 SEK), Pareto (270) y SEB (262) pasan a comprar; Kepler y Nordea recortan objetivos a 280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bancaria vence casi toda en septiembre de 2027 (3.504 M de líneas sindicadas): refinanciación en los próximos 12 meses, con cobertura de intereses de 9 veces; no hay ampliaciones ni convertibles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lateral (+1,7 % sobre la media de 200 sesiones), un 13,6 % por debajo de su máximo de mayo y un 19,5 % sobre el mínimo de marzo; la herramienta no da avisos P. Los movimientos fuertes tienen causa en resultados o en el ciclo de los compradores en serie suecos, no en hechos que cambien la tesis. Los resultados del 2T salen el 23-oct, dentro de 15 días, pero la tendencia no es bajista, así que no obligan a esperar; aun así, con una recomendación de Mantener no hay orden que retrasar. Las noticias de seis meses son favorables o neutras: compras de directivos, un institucional que sube, casas que pasan a comprar; las posiciones cortas (1,49 %) son modestas.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PER de los últimos 12 meses al cierre de cada ejercicio, la acción cotiza a 37,7 veces, en la media de seis años (38,3; mínimo 34,2 en marzo de 2026, máximo 41,9 en marzo de 2025); por EV/EBITDA, a 22,4 veces frente a una media de 21,6 [1, 18]. Con el PER adelantado de la regla, 31,6 veces frente a una mediana de cinco años de 30,5 y una media de ocho de 28,1. Hasta 2020 cotizaba a 17-20 veces el beneficio del año siguiente: la revalorización de los compradores en serie suecos se hizo en 2020-2021 y no se ha deshecho.</w:t>
      </w:r>
    </w:p>
    <w:p>
      <w:pPr>
        <w:pStyle w:val="Heading1"/>
      </w:pPr>
      <w:r>
        <w:t xml:space="preserve">18. Comparables cotizados</w:t>
      </w:r>
    </w:p>
    <w:p>
      <w:pPr>
        <w:pStyle w:val="Confianza"/>
        <w:spacing w:after="100"/>
      </w:pPr>
      <w:r>
        <w:t xml:space="preserve">Confianza: Media</w:t>
      </w:r>
    </w:p>
    <w:p>
      <w:pPr>
        <w:spacing w:after="100"/>
      </w:pPr>
      <w:r>
        <w:t xml:space="preserve">Compradores en serie y grupos de pymes industriales cotizados en Estocolmo con el mismo modelo (compra de nichos con dueño gestor, gestión descentralizada): Indutrade, Addtech y Lifco (los tres grandes), Bergman &amp; Beving y Momentum (mismo origen y grupo de control), Sdiptech, Beijer Alma y OEM; y Diploma como referencia británica. Halma queda fuera porque Yahoo no daba su capitalización; Volati por estar en pérdidas en 2026. Todos con el consenso de Yahoo del 21-oct-2026, BPA de los próximos 12 meses ponderado por meses [24]. Diploma usa BPA ajustado (sin amortizar intangibles comprados): su PER queda algo bajo frente a los suecos, que publican el BPA después de amortizaciones.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Lagercrantz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Addtech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Bergman &amp; Beving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Momentum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Sdiptech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Beijer 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OEM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20,6x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 / 25,3x / 28,6x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3,2x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Comparables: los compradores en serie suecos de pymes industriales (Indutrade, Addtech, Lifco, Bergman &amp; Beving, Momentum, Sdiptech, OEM, Beijer Alma) y Diploma en Reino Unido; Halma queda fuera por falta de datos de capitalización en Yahoo [24]. La mediana del PER de los próximos 12 meses es de 25,3 veces y Lagercrantz cotiza a 31,6: una prima del 25 % que se apoya en un margen EBITDA del 21,3 % (Indutrade 15,6 %, Addtech 16,6 %, Lifco 24,3 %) y en el mejor ROIC del grupo que el repositorio ha medido (16,7 % frente a 13,0 % de Halma y 14,4 % de Diploma [27, 28]). Con la mediana de los pares valdría 183 SEK.</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Lagercrantz en 2025/26 (ocho empresas)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1.072 M SEK de ventas y 164 M de resultado operativo a año completo: 7,8 veces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Lagercrantz en 2024/25</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841 M de ventas y 143 M de resultado operativo: 10,1 veces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Lagercrantz en 2023/24</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1.193 M de ventas y 204 M de resultado operativo: 7,6 veces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Lagercrantz en 2022/23</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1.068 M de ventas a año completo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Lagercrantz desde el 1-jul-2025 (11 empresas, asignación provisional)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1.421 M SEK; 601 M de fondo de comercio y 669 de intangibles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36,33 – 47,96</w:t>
            </w:r>
          </w:p>
        </w:tc>
      </w:tr>
    </w:tbl>
    <w:p>
      <w:pPr>
        <w:spacing w:after="160" w:before="0"/>
      </w:pPr>
    </w:p>
    <w:p>
      <w:pPr>
        <w:spacing w:after="100"/>
      </w:pPr>
      <w:r>
        <w:t xml:space="preserve">Lagercrantz compra pymes a 7,6-10,1 veces su resultado operativo (1,15-1,72 veces las ventas) en cuatro ejercicios, sin encarecerse: 7,8 veces en FY2026 frente a 10,1 en FY2025 [1]. Ese diferencial, comprar a 8 veces y cotizar a 22 veces el EBITDA, es lo que paga el mercado. No hay transacciones de grupos comparables con prima de control recientes; las de la tabla son las suyas propias y no sirven para valorar el grupo (darían 40 SEK por acción), así que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+14,5 % en FY2027e (el 1T creció un 18 %: 12 % comprado y 6 % orgánico, y las 14 compras desde abril de 2025 suman ≈ 1.500 M de ventas [5]), +11 % en FY2028e y bajando hasta el 4 % en FY2036e. El orgánico se queda en el 5 % (3 % en FY2026, 6 % en el 1T; 2,5 de volumen y 2,5 de precio) y bajando al 3,5 %; las compras aportan 9,5 puntos en FY2027e (los ≈ 1.000-1.500 M de ventas al año que compra) y van bajando a medida que el grupo crece y cada compra pesa menos. La TCAC de cinco años fue del 21 % y el objetivo de la empresa es +15 % de EBT al año [1, 2]. El consenso espera +14,8 % y +7,6 % (este, sin compras nuevas) [19].</w:t>
      </w:r>
    </w:p>
    <w:p>
      <w:pPr>
        <w:keepNext/>
        <w:spacing w:after="100"/>
      </w:pPr>
      <w:r>
        <w:rPr>
          <w:b/>
          <w:bCs/>
        </w:rPr>
        <w:t xml:space="preserve">Márgenes.</w:t>
      </w:r>
    </w:p>
    <w:p>
      <w:pPr>
        <w:spacing w:after="100"/>
      </w:pPr>
      <w:r>
        <w:t xml:space="preserve">Margen EBITDA del 21,6 % en FY2027e (21,5 % en FY2026 y 21,3 % en los 12 meses a junio; el 1T bajó del 17,5 % al 17,1 % EBITA por la mezcla de compras recién integradas y la inflación de materias primas y fletes [5]), subiendo a 22,2 % en FY2031e y plano después. La empresa se ha puesto un objetivo de margen EBITA &gt; 20 % en 2-3 años (18,1 % en FY2026), que equivale a ≈ 23,5 % de EBITDA: no lo damos por hecho y nos quedamos a medio camino [2]. Lifco, el par con mejor margen, está en el 24,3 % y Addtech en el 16,6 % [24].</w:t>
      </w:r>
    </w:p>
    <w:p>
      <w:pPr>
        <w:keepNext/>
        <w:spacing w:after="100"/>
      </w:pPr>
      <w:r>
        <w:rPr>
          <w:b/>
          <w:bCs/>
        </w:rPr>
        <w:t xml:space="preserve">Inversión y circulante.</w:t>
      </w:r>
    </w:p>
    <w:p>
      <w:pPr>
        <w:spacing w:after="100"/>
      </w:pPr>
      <w:r>
        <w:t xml:space="preserve">Capex = inversión propia y altas de derechos de uso (3,8 % de las ventas) + compras a 1,35 veces las ventas compradas (lo pagado en cuatro años: 1,15-1,72 veces las ventas, 7,6-10,1 veces el resultado operativo [1]): 15,0 % en FY2027e, bajando al 4,4 % en FY2036e, cuando ya solo se compra para mantener el 4 %. El precio de las compras incluye su circulante, que el modelo cobra otra vez en la variación del circulante (24,5 % de las ventas, el de FY2026): conservador en ≈ 0,2 veces las ventas compradas. Amortizaciones del 5,6 % (3,4 % de depreciación con derechos de uso y 2,2 % de intangibles comprados) que bajan al 4,4 % al frenarse las compras [1].</w:t>
      </w:r>
    </w:p>
    <w:p>
      <w:pPr>
        <w:keepNext/>
        <w:spacing w:after="100"/>
      </w:pPr>
      <w:r>
        <w:rPr>
          <w:b/>
          <w:bCs/>
        </w:rPr>
        <w:t xml:space="preserve">Coste del capital.</w:t>
      </w:r>
    </w:p>
    <w:p>
      <w:pPr>
        <w:spacing w:after="100"/>
      </w:pPr>
      <w:r>
        <w:t xml:space="preserve">Tasa libre: bono sueco a 10 años, 3,18 % el 20-oct-2026 [22]. Beta 1,26: ajustada (Blume) sobre la semanal de cinco años frente al OMX Stockholm (1,39; mensual 1,51) [18]; más alta que la de Indutrade (1,15 en Yahoo [24]) porque la acción ha amplificado los ciclos de los compradores en serie (−40 % en 2022). Prima de mercado 5,5 %, la del repositorio para Europa; sin prima adicional (vende en el norte de Europa, Reino Unido y EE. UU.). Coste de la deuda 3,8 % antes de impuestos (intereses de 152 M anualizados sobre ≈ 4.400 M de deuda bancaria [5]); peso de la deuda del 11 % a valor de mercado (deuda ajustada de 5.528 M frente a 47.247 M de capitalización). WACC 9,3 %; Ke 10,1 %.</w:t>
      </w:r>
    </w:p>
    <w:p>
      <w:pPr>
        <w:keepNext/>
        <w:spacing w:after="100"/>
      </w:pPr>
      <w:r>
        <w:rPr>
          <w:b/>
          <w:bCs/>
        </w:rPr>
        <w:t xml:space="preserve">Valor terminal.</w:t>
      </w:r>
    </w:p>
    <w:p>
      <w:pPr>
        <w:spacing w:after="100"/>
      </w:pPr>
      <w:r>
        <w:t xml:space="preserve">Gordon al 2,5 %: inflación esperada en Suecia del 2 % y medio punto real, por debajo de la tasa libre menos medio punto (2,7 %). El último año ya crece al 4 % con un 0,5 % comprado, así que el valor terminal supone un grupo que deja de comprar a escala. Valor terminal: 69 % del valor. El múltiplo implícito es de 8,8 veces el EBITDA, muy por debajo de las 19-25 veces a las que cotizan los compradores en serie hoy [24]: el DCF no paga la prima de que el modelo siga comprando con rentabilidad para siempre, y esa es la diferencia con 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 M (36 %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(ROIC 16,7 %)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frente al 8,5 %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(histórico: 18,9 %)</w:t>
            </w:r>
          </w:p>
        </w:tc>
      </w:tr>
    </w:tbl>
    <w:p>
      <w:pPr>
        <w:spacing w:after="160" w:before="0"/>
      </w:pPr>
    </w:p>
    <w:p>
      <w:pPr>
        <w:spacing w:after="100"/>
      </w:pPr>
      <w:r>
        <w:t xml:space="preserve">La proyección reinvierte el 36 % del NOPAT. Con el ROIC del último ejercicio (16,7 %), eso financia un crecimiento del 6,0 % anual, frente al 8,5 % de ingresos proyectado. Supone que el capital nuevo rinde un 22,7 %, frente a un ROIC incremental histórico del 18,9 %.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(6 % en el 1T con pedidos de unidades comparables un 10 % por encima de la facturación [5]) y 9,5 puntos de compras: las seis del 1T y las cerradas en FY2026 que entran a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(precio para compensar la inflación de costes) y 6 puntos de compras nuevas al ritmo de ≈ 1.000-1.200 M de ventas compradas al año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5 % orgánico; las compras pesan menos sobre una base mayor (5,5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compras de 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4,5 %; compras de 4,5 puntos.</w:t>
            </w:r>
          </w:p>
        </w:tc>
      </w:tr>
    </w:tbl>
    <w:p>
      <w:pPr>
        <w:spacing w:after="160" w:before="0"/>
      </w:pPr>
    </w:p>
    <w:p>
      <w:pPr>
        <w:spacing w:after="100"/>
      </w:pPr>
      <w:r>
        <w:t xml:space="preserve">Sí. Las tres pruebas pasan tras rebajar el caso base: el capital nuevo tendría que rendir un 22,7 %, por debajo del techo de 1,25 veces el ROIC incremental histórico (18,9 % × 1,25 = 23,6 %); con la primera versión (compras a 1,15 veces las ventas y amortización de intangibles que se apagaba hasta el 3,8 %) el capital nuevo rendía un 28 % y no pasaba, así que se subió el precio de las compras a 1,35 veces las ventas y se mantuvo más amortización. La reinversión (36 % del NOPAT) financia un 6,0 % de crecimiento al ROIC actual frente al 8,5 % proyectado: la diferencia la cubre la deuda (de 1,9 a ≈ 2,3 veces el EBITDA en los primeros años) y el poder de precio de nichos con un 80 % de productos propios [5]. Sin dato de mercado total, la cuota no se puede probar; cada filial es líder de un nicho pequeño.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 (base: 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 (base: 22,2 %)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9,3 %)</w:t>
            </w:r>
          </w:p>
        </w:tc>
      </w:tr>
    </w:tbl>
    <w:p>
      <w:pPr>
        <w:spacing w:after="160" w:before="0"/>
      </w:pPr>
    </w:p>
    <w:p>
      <w:pPr>
        <w:spacing w:after="100"/>
      </w:pPr>
      <w:r>
        <w:t xml:space="preserve">El DCF da 115,24 SEK por acción, un 49,6 % por debajo del precio, con el valor terminal en el 69 % del valor. El DCF inverso dice que, con nuestros márgenes y nuestro WACC del 9,3 %, el precio de 228,80 SEK exige un crecimiento de las ventas del 18,1 % anual durante diez años (el nuestro es del 8,5 %), o un margen EBITDA del 33,3 % (el nuestro, 22,2 %); la rentabilidad implícita en el precio es del 6,6 % anual, por debajo del WACC y también del 7,9 % que pide hoy el mercado con su prima implícita. El 18 % es lo que Lagercrantz ha hecho en cinco años (21 % de TCAC), pero exigirlo para diez años con un grupo tres veces mayor es muy exigente: las compras que necesita al año pasarían de ≈ 1.300 M a ≈ 3.500 M de ventas. Con la prima del mercado el DCF sube a 161,95 SEK, aún un 29 % por debajo. Es el patrón de todos los compradores en serie suecos: el mercado paga por adelantado décadas de compras al 15-20 % de rentabilidad.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industrial europea en 2027-2028 con la construcción todavía débil: el orgánico se vuelve negativo dos años, como en 2009 o en 2020, los compradores en serie bajan del 30 al 20 veces el beneficio (2022: −40 %) y el grupo frena las compras para no pasar de 2,5 veces el EBITDA. Crecimiento 3 puntos menor, margen 1,5 puntos menor y WACC +0,5.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 1.000-1.500 M de ventas compradas al año a 7-10 veces el resultado operativo y margen EBITDA hacia el 22 %: el BPA sube ≈ 14 % al año hasta FY2029e, en línea con su objetivo de EBT.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defensa y seguridad mantienen el orgánico por encima del 6 %, las compras se aceleran (≈ 2.000 M de ventas al año) y el margen EBITA llega al 20 % que se ha marcado la dirección: crecimiento 2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SEK) · precio actual 2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110,57 SEK (-51,7 %).</w:t>
      </w:r>
    </w:p>
    <w:p>
      <w:pPr>
        <w:spacing w:after="100"/>
      </w:pPr>
      <w:r>
        <w:t xml:space="preserve">Los tres escenarios del DCF están por debajo del precio (de −71 % a −36 %), así que la asimetría a largo plazo es negativa (−0,51): ni el alcista justifica el precio con nuestro WACC. Con la prima del mercado el alcista llega a 203 SEK, todavía un 11 % por debajo. La asimetría a 12 meses es distinta: el bajista pierde un 24 % y el base gana un 16 %, porque la regla de múltiplos supone que el mercado seguirá pagando ≈ 31 veces si el beneficio cumple. El riesgo, por tanto, es de múltiplo: si los compradores en serie vuelven a las 20-25 veces de 2022, no hay suelo en el valor intrínseco.</w:t>
      </w:r>
    </w:p>
    <w:p>
      <w:pPr>
        <w:pStyle w:val="Heading1"/>
      </w:pPr>
      <w:r>
        <w:t xml:space="preserve">22. Suma de partes</w:t>
      </w:r>
    </w:p>
    <w:p>
      <w:pPr>
        <w:pStyle w:val="Confianza"/>
        <w:spacing w:after="100"/>
      </w:pPr>
      <w:r>
        <w:t xml:space="preserve">Confianza: Media</w:t>
      </w:r>
    </w:p>
    <w:p>
      <w:pPr>
        <w:spacing w:after="100"/>
      </w:pPr>
      <w:r>
        <w:t xml:space="preserve">No aplica: las cinco divisiones (Electrónica, Mecánica, TecSec, Productos de nicho e Internacional) son el mismo modelo (filiales de nicho B2B con márgenes EBITA del 15-22 %, compradas a 7-10 veces el resultado y gestionadas de forma descentralizada) y tendrían los mismos comparables: Indutrade, Addtech, Lifco o Momentum [1]. Una suma de partes repetiría la valoración por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SEK) · precio actual 2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127,22 SEK (-44,4 % sobre 228,80).</w:t>
      </w:r>
    </w:p>
    <w:p>
      <w:pPr>
        <w:spacing w:after="100"/>
      </w:pPr>
      <w:r>
        <w:t xml:space="preserve">Pesos: DCF 45 %, escenarios 35 % y comparables 20 %; transacciones y suma de partes, 0. El DCF es el método que mejor recoge el coste de crecer comprando (el capex incluye las compras); los comparables solo dicen si Lagercrantz está cara frente a otros compradores en serie que también cotizan con prima: a 31,6 veces el BPA de los próximos 12 meses frente a una mediana de 25,3 (Indutrade 23,6, Addtech 29,4, Lifco 28,8), está en la parte alta, con mejor margen que Indutrade y Addtech y peor que Lifco [24]. Las transacciones son los precios a los que Lagercrantz compra pymes (1,2 veces las ventas) y no sirven para valorar el grupo: darían 40 SEK por acción. La dispersión es enorme (40-208 SEK entre métodos) y todo el abanico queda por debajo del precio: la cotización depende de que el mercado siga pagando una prima de modelo.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(31.6x) a mitad de camino hacia abajo, hacia la mediana de 5 años (30.5x)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bl>
    <w:p>
      <w:pPr>
        <w:spacing w:after="160" w:before="0"/>
      </w:pPr>
    </w:p>
    <w:p>
      <w:pPr>
        <w:spacing w:after="100"/>
      </w:pPr>
      <w:r>
        <w:rPr>
          <w:b/>
          <w:bCs/>
        </w:rPr>
        <w:t xml:space="preserve">Objetivo a 12 meses (ponderado):</w:t>
      </w:r>
      <w:r>
        <w:t xml:space="preserve"> 250,74 SEK · rentabilidad +10,7 % (base +16,8 %) · señal Mantener.</w:t>
      </w:r>
    </w:p>
    <w:p>
      <w:pPr>
        <w:spacing w:after="100"/>
      </w:pPr>
      <w:r>
        <w:t xml:space="preserve">Para comparar, con la regla v2 (historia al cierre, mismo precio): 26,9x / 31,6x / 33,8x, 16,4 %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(6,76 SEK) está un 0,7 % por debajo del consenso de MarketScreener (6,81) y el de FY2028e (7,62) en línea (7,59); en FY2029e vamos un 3,4 % por encima (8,54 frente a 8,26) porque nuestra proyección incluye compras nuevas y el consenso de un año en adelante casi no las incluye (ventas de +5,8 % en FY2029e) [19]. Nuestro precio base a 12 meses (264,74 SEK) queda un 1,5 % por debajo del objetivo medio de los analistas (268,88; rango 230-290): coincidimos con el mercado en el beneficio, y la diferencia está en el valor intrínseco, que los analistas no publican.</w:t>
      </w:r>
    </w:p>
    <w:p>
      <w:pPr>
        <w:keepNext/>
        <w:spacing w:after="100"/>
      </w:pPr>
      <w:r>
        <w:rPr>
          <w:b/>
          <w:bCs/>
        </w:rPr>
        <w:t xml:space="preserve">Del valor intrínseco al objetivo a 12 meses.</w:t>
      </w:r>
    </w:p>
    <w:p>
      <w:pPr>
        <w:spacing w:after="100"/>
      </w:pPr>
      <w:r>
        <w:t xml:space="preserve">El objetivo a 12 meses (250,74 SEK ponderado; 264,74 en el base) está casi el doble que el valor intrínseco (127,22): la distancia es de más del 90 % y no la cierra ningún catalizador, porque es la prima que el mercado paga por el modelo de comprador en serie. Para cerrarla tendría que bajar el precio (la regla compra por debajo de 127 SEK, un nivel que solo se vio en 2022-2023) o tendría que demostrarse que las compras rinden más de lo que suponemos durante más tiempo. La tesis de valor no es de 12 meses: la acción solo es interesante a 12 meses si el múltiplo aguanta, y eso no es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y margen EBITA tras el 17,1 % del 1T; el consenso espera EBITA de 502 M (+14 %).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 3-feb)</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efecto completo de las subidas de precio frente a la inflación de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 (≈ 20-may)</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Comprobación del objetivo de EBT &gt; 2.000 M en FY2028 (1.585 M en los 12 meses a junio).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a 2027-09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 1.000-1.500 M de ventas al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compra a 7-10 veces el resultado operativo añade ≈ 1-2 % al BPA; una compra grande o cara cambiaría la lectura.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las líneas sindicadas (3.504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sin tensión con cobertura de 9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consejero delegado (Jörgen Wigh, 61 años, en el cargo desde 2006)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relevo sin sucesor interno claro podría pesar en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de los compradores en serie suecos (de ≈ 31 a 20-25 veces el beneficio, como en 2022), sin que cambie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14 % anual que absorbe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28 veces o caída del sector (Indutrade, Addtech) sin causa propia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industrial europea con la construcción débil: orgánico negativo uno o dos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de electrificación, defensa y seguridad; 80 % de productos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por debajo del 0 % dos trimestres o pedidos por debajo de la facturación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o peores: competencia por las mismas pymes con Indutrade, Addtech, Lifco y el capital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veces más de precio pagado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7,6-10,1 veces sin encarecerse; dueños que prefieren un comprador permanente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por encima de 11 veces el resultado operativo o fondo de comercio que crece más que el EBITA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inflación de materias primas y fletes y mezcla de compras con menos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en nichos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por debajo del 17 %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la deuda ajustada pasa de 2,3 a más de 3 veces el EBITDA si siguen las compras en una recesión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Covenants holgados y flujo de ≈ 1.000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con arrendamientos por encima de 2,8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y del responsable de compras (61 y 60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Cultura descentralizada; el accionista de control mantiene la estrategia desde 2001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sin sucesor interno o salida de Ahlberg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4.214 M (49 % del capital invertido): deterioros si una filial grande se estropea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muy repartida: ninguna filial pesa más del 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deterioro con poco margen en el informe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60 % de las ventas fuera de Suecia (corona fuerte resta)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locales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por debajo de −3 % en las ventas</w:t>
            </w:r>
          </w:p>
        </w:tc>
      </w:tr>
    </w:tbl>
    <w:p>
      <w:pPr>
        <w:spacing w:after="160" w:before="0"/>
      </w:pPr>
    </w:p>
    <w:p>
      <w:pPr>
        <w:pStyle w:val="Heading2"/>
      </w:pPr>
      <w:r>
        <w:t xml:space="preserve">Pre-mortem</w:t>
      </w:r>
    </w:p>
    <w:p>
      <w:pPr>
        <w:spacing w:after="100"/>
      </w:pPr>
      <w:r>
        <w:t xml:space="preserve">Octubre de 2029: la acción ha perdido un 40 %, de 229 a 137 SEK, aunque el beneficio por acción ha subido. La historia más probable empieza en 2027: la industria europea entra en recesión con la construcción ya débil, el orgánico pasa del 6 % a −4 % durante cuatro trimestres y el margen EBITA vuelve al 16 %. El BPA, en lugar de subir a 8,5 SEK, se queda en ≈ 7. A la vez, los compradores en serie suecos dejan de ser el refugio de la bolsa de Estocolmo: los tipos reales suben, el capital privado puja por las mismas pymes y el mercado deja de pagar 30 veces por un modelo que necesita comprar cada año más para crecer igual. El PER baja a 20 veces, como en 2022, y 7 × 20 = 140 SEK. Ningún hecho de la empresa es grave; el daño viene de haber pagado el doble del valor intrínseco por la confianza en el modelo. Lo habrían anticipado el orgánico por debajo de cero dos trimestres seguidos, las compras pagadas por encima de 11 veces el resultado operativo y el PER de Indutrade y Addtech bajando de 25 veces sin causa propia.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La IA toca poco el negocio: Lagercrantz vende productos físicos de nicho (protección de cables, armarios de seguridad, sensores, barreras de carretera, componentes electrónicos a medida) que no se sustituyen por software [1]. Como oportunidad, la electrificación y los centros de datos que tira la IA ya aparecen en sus compras (la de abril de 2026 ligada a centros de datos) y en el crecimiento de Electrify (+10 % orgánico en el 1T) [5, 25]. Como amenaza, una parte pequeña de las filiales hace software, ingeniería a medida o servicios técnicos que la IA puede abaratar, y sus filiales de electrónica dependen del ciclo de inversión en tecnología. Sin cambios en el valor del caso base; la señal sería una caída del orgánico en las filiales de software y servicios o un frenazo de la inversión en centros de datos.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poco: emisiones bajas (fabricación ligera y montaje en pymes) y productos que ayudan a la electrificación y a la seguridad vial. El informe de sostenibilidad 2025/26 forma parte del informe del consejo y sigue la directiva europea de información de sostenibilidad [1]. La parte social que importa es la retención de los dueños gestores después de la compra, que la empresa protege con pagos aplazados y opciones sobre los minoritarios [1].</w:t>
      </w:r>
    </w:p>
    <w:p>
      <w:pPr>
        <w:pStyle w:val="Heading2"/>
      </w:pPr>
      <w:r>
        <w:t xml:space="preserve">Controversias</w:t>
      </w:r>
    </w:p>
    <w:p>
      <w:pPr>
        <w:spacing w:after="100"/>
      </w:pPr>
      <w:r>
        <w:t xml:space="preserve">No hemos encontrado sanciones, litigios relevantes ni incidentes en 2023-2026 en los informes anuales ni en las noticias revisadas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cuántas veces el EBITA han comprado las 14 empresas desde abril de 2025 y cómo ha cambiado la competencia del capital privado y de Indutrade o Addtech por las mismas pymes?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depende de comprar a 7-10 veces; cada 2 veces más resta ≈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bajada del margen EBITA del 1T (17,1 % frente a 17,5 %) es mezcla de compras nuevas y qué parte inflación de costes sin trasladar?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objetivo de margen &gt; 20 % es creíble.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divisiones explican el orgánico del 6 % y cuánto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un 5 % sostenido.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sucesión para el consejero delegado y para el responsable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llevan el modelo desde hace 14-20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techo de deuda que aceptará el consejo para seguir comprando en una recesión, y cómo se refinanciarán los 3.504 M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el crecimiento cae a la mitad.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de 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subieron las opciones de venta de 433 a 613 M en 15 meses y cuándo se ejercerán?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deuda del puente (≈ 3 SEK por acción).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28 (16 primarias); citas distintas en el texto: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22,7 % frente a un ROIC de 16,7 % y un incremental histórico de 18,9 %: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24,5 % frente a 24,5 % real: genera una variación de circulante de 381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8, 9,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y mercado_final de la prueba de sostenibilidad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describe cientos de nichos sin cifra agregada; 2) informes anuales de Indutrade, Addtech y Lifco (tampoco publican un mercado total para sus nichos); 3) ficha sectorial de distribución industrial del repositorio (sin cifra con el mismo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prueba de sostenibilidad se hace con la reinversión, el rendimiento del capital nuevo y el precio de las compras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Placera y Flashback (foros suecos): hilos sin debate en los tres últimos meses; 2) Stocktwits y Seeking Alpha: casi sin mensajes sobre LAGR B; 3) Reddit (r/aktier, r/investing) y comentarios de lectores de Dagens industri: sin debate apreciable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votos a favor del informe de remuneración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del 25-ago-2026 (solo acuerdos); 2) comunicado de la junta de 2025 (sin recuento); 3) web de la empresa, sección de juntas (sin recuento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(ejercicio cerrado el 31-mar-2026): cuentas consolidadas, notas 3, 5, 11, 15, 31, 35, 37 y resumen plurianual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https://storage.mfn.se/b7e5d4dd-6584-4853-9685-eb6194fcc19a/lagercrantz-annual-report-2025-26.pdf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(ejercicio cerrado el 31-mar-2025): cuentas consolidadas y comparativo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https://storage.mfn.se/86592a3c-1aff-4a8e-b041-dbcba91ba27a/lagercrantz-annual-report-2024_25.pdf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(ejercicio cerrado el 31-mar-2023): cuentas consolidadas y nota de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https://mb.cision.com/Main/995/3803562/2183916.pdf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(ejercicio cerrado el 31-mar-2022): cuentas consolidadas, comparativo 2020/21 y resumen plurianual 2017/18-2021/22 (reexpresado por el split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https://mb.cision.com/Main/995/3599675/1603226.pdf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Q1 2026/27 (1 de abril - 30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https://storage.mfn.se/8f854b36-a942-47b7-a342-2c0de88b6c60/interim-report-q1-2026-27.pdf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2025/26 (Q4, enero-marzo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https://storage.mfn.se/adb2fcff-3d7c-43ba-9971-fb68b8f7a400/year-end-report-2025-26.pdf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Q3 2025/26 (1 de abril - 31 de 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https://storage.mfn.se/a/lagercrantz-group/bc0652c5-fc7c-4391-8dd5-582513ce43f4/interim-report-1-april-31-december-2025.pdf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Q2 2025/26 (1 de abril - 30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https://storage.mfn.se/1096f5c1-cf87-4a3f-b445-ba0c004af708/interim-report-lagercrantz-q2-2025-26-q2.pdf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Q1 2025/26 (1 de abril - 30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https://storage.mfn.se/a9580c99-e57d-4051-9d9d-432799e4ca5b/interim-report-q1-2025-26.pdf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ESEF 2023/24 en XBRL (cuenta, balance y flujos de 2022/23 y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(LEI 5493002L6I4YHANEYR87)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https://filings.xbrl.org/5493002L6I4YHANEYR87/2024-03-31/ESEF/SE/0/lage-2024-03-31-sv.zip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márgenes y crecimiento de Indutrade, Addtech, Lifco, Bergman &amp; Beving, Momentum, Sdiptech, Beijer Alma, OEM y Diploma)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https://query2.finance.yahoo.com/v10/finance/quoteSummary/INDT.ST?modules=financialData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compras de 2026: Michael Smith Switchgear, Nivex, Hycon, Stalon, Marsden, bf1systems, Skandinavisk Radoninvest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https://storage.mfn.se/55ce8284-187b-477c-a04e-d05293327255/acquisition-bf1.pdf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Annual General Meeting of Lagercrantz Group AB on 25 August 2026 (acuerdos)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https://storage.mfn.se/57f65855-9384-48dd-84fa-671f6c02eb25/report-from-the-annual-general-meeting-2026.pdf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from the Annual General Meeting 2025 (26-ago-2025)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https://storage.mfn.se/114a498a-063d-4b2d-aea4-8604422475c5/pr-250826-report-from-the-annual-general-meeting-final.pdf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emisor Lagercrantz Group AB, octubre de 2025 -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https://marknadssok.fi.se/publiceringsklient/sv-SE/Search/Search?SearchFunctionType=Insyn&amp;Utgivare=Lagercrantz+Group+AB&amp;button=search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appoints Karin Mellegård Djärf as new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https://storage.mfn.se/c8a6a93a-7c27-4f7b-8536-79853bb1c3a3/new-cfo.pdf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share-based incentive programme fully subscribed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https://storage.mfn.se/86213428-3792-4006-a2e8-98a7706ae567/call-option-programme-fully-subscribed.pdf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LAGR-B.ST, ^OMXSPI y EXH4.DE (precio, rango, volumen, betas,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https://finance.yahoo.com/quote/LAGR-B.ST/history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finances y consensus (estimaciones FY2027-FY2029, 7 analistas,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https://www.marketscreener.com/quote/stock/LAGERCRANTZ-GROUP-AB-24220547/finances/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Class B: consensus estimates (5 comprar, 2 mantener; objetivo medio 268,88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https://www.investing.com/equities/lagercrantz-group-consensus-estimates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Lagercrantz Group AB: noticias (cambios de recomendación, compras de directivos, compras de empresas)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https://www.marketscreener.com/quote/stock/LAGERCRANTZ-GROUP-AB-24220547/news/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https://api.riksbank.se/swea/v1/Observations/SEGVB10YC/2026-10-01/2026-10-21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comparables (precio, capitalización, valor empresa, EBITDA, consenso de BPA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https://query2.finance.yahoo.com/v10/finance/quoteSummary/ADDT-B.ST?modules=price,summaryDetail,financialData,defaultKeyStatistics,earningsTrend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Etiqueta Lagercrantz Group: titulares de 2026 (resultados del 19-may, compra ligada a centros de datos del 2-abr, artículos sobre compradores en serie)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https://www.efn.se/tagg/lagercrantz-group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Blankningsregistret: posiciones cortas netas agregadas por emisor (Lagercrantz Group Aktiebolag, 1,49 % a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https://www.fi.se/en/our-registers/net-short-positions/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análisis value del 14-oct-2026 (ROIC con la misma medida del motor)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(informes/halma-2026-10-14)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informes/halma-2026-10-14/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análisis value del 14-oct-2026 (ROIC con la misma medida del motor)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(informes/diploma-2026-10-14)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informes/diploma-2026-10-14/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85,9 %</w:t>
      </w:r>
      <w:r>
        <w:t xml:space="preserve"> · Secciones con menos del 60 % de campos cubiertos: </w:t>
      </w:r>
      <w:r>
        <w:rPr>
          <w:b/>
          <w:bCs/>
        </w:rPr>
        <w:t xml:space="preserve">sentimiento</w:t>
      </w:r>
      <w:r>
        <w:t xml:space="preserve"> · Generado el 21 oct 2026.</w:t>
      </w:r>
    </w:p>
    <w:p>
      <w:pPr>
        <w:pStyle w:val="Nota"/>
        <w:spacing w:after="100"/>
      </w:pPr>
      <w:r>
        <w:t xml:space="preserve">Cifras en millones de SEK, ejercicio a 31 de marzo etiquetado por el año en que termina (FY2026 = abr-25 a mar-26). Último ejercicio real: FY2026; último trimestre publicado: 1T FY2027 (abr-jun 2026, 17-jul-2026); el 2T sale el 23-oct-2026, dos días después del corte. Cuentas oficiales: ESEF de filings.xbrl.org solo para FY2023 y FY2024; FY2021-FY2022 y FY2025-FY2026, de los informes anuales en PDF de la empresa. Precio del informe: cierre del 20-oct-2026 (228,80 SEK, acción B); la sesión del 21-oct seguía abierta al corte (229,60-229,80 SEK hacia las 14:16 UTC [18]) y la decisión se comprueba con el precio del día en las pruebas de robustez. El BPA usa el total de acciones A y B (206,2 M en circulación); el precio, la B. El BPA de la regla a 12 meses y su historia son los publicados (diluidos y después de amortizar los intangibles comprados), la misma base que el consenso. Sin debate en foros apreciable (sentimiento omitido). Una acción ≈ 20,6 EUR (11,10 SEK por EUR [24]).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Lagercrantz Group AB (publ) (LAGR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(185,20 – 266,80)</c:v>
                </c:pt>
                <c:pt idx="1">
                  <c:v>Precio objetivo de los analistas (230,00 – 290,00)</c:v>
                </c:pt>
                <c:pt idx="2">
                  <c:v>Comparables: PER NTM (171,01 – 207,24)</c:v>
                </c:pt>
                <c:pt idx="3">
                  <c:v>DCF (WACC y g ± 0,5) (97,68 – 138,75)</c:v>
                </c:pt>
                <c:pt idx="4">
                  <c:v>Escenarios (bajista – alcista) (65,92 – 145,88)</c:v>
                </c:pt>
                <c:pt idx="5">
                  <c:v>DCF con la prima implícita del mercado (4,2 %)</c:v>
                </c:pt>
                <c:pt idx="6">
                  <c:v>Precio actual (228,80)</c:v>
                </c:pt>
              </c:strCache>
            </c:strRef>
          </c:cat>
          <c:val>
            <c:numRef>
              <c:f>Hoja1!$B$2:$B$8</c:f>
              <c:numCache>
                <c:formatCode>#,##0</c:formatCode>
                <c:ptCount val="7"/>
                <c:pt idx="0">
                  <c:v>185.2</c:v>
                </c:pt>
                <c:pt idx="1">
                  <c:v>230</c:v>
                </c:pt>
                <c:pt idx="2">
                  <c:v>171.01</c:v>
                </c:pt>
                <c:pt idx="3">
                  <c:v>97.68</c:v>
                </c:pt>
                <c:pt idx="4">
                  <c:v>65.92</c:v>
                </c:pt>
                <c:pt idx="5">
                  <c:v>143.23</c:v>
                </c:pt>
                <c:pt idx="6">
                  <c:v>227.66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(185,20 – 266,80)</c:v>
                </c:pt>
                <c:pt idx="1">
                  <c:v>Precio objetivo de los analistas (230,00 – 290,00)</c:v>
                </c:pt>
                <c:pt idx="2">
                  <c:v>Comparables: PER NTM (171,01 – 207,24)</c:v>
                </c:pt>
                <c:pt idx="3">
                  <c:v>DCF (WACC y g ± 0,5) (97,68 – 138,75)</c:v>
                </c:pt>
                <c:pt idx="4">
                  <c:v>Escenarios (bajista – alcista) (65,92 – 145,88)</c:v>
                </c:pt>
                <c:pt idx="5">
                  <c:v>DCF con la prima implícita del mercado (4,2 %)</c:v>
                </c:pt>
                <c:pt idx="6">
                  <c:v>Precio actual (228,80)</c:v>
                </c:pt>
              </c:strCache>
            </c:strRef>
          </c:cat>
          <c:val>
            <c:numRef>
              <c:f>Hoja1!$C$2:$C$8</c:f>
              <c:numCache>
                <c:formatCode>#,##0</c:formatCode>
                <c:ptCount val="7"/>
                <c:pt idx="0">
                  <c:v>81.60000000000002</c:v>
                </c:pt>
                <c:pt idx="1">
                  <c:v>60</c:v>
                </c:pt>
                <c:pt idx="2">
                  <c:v>36.23000000000002</c:v>
                </c:pt>
                <c:pt idx="3">
                  <c:v>41.06999999999999</c:v>
                </c:pt>
                <c:pt idx="4">
                  <c:v>79.96</c:v>
                </c:pt>
                <c:pt idx="5">
                  <c:v>41.41</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Electrify</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1480</c:v>
                </c:pt>
                <c:pt idx="1">
                  <c:v>1695</c:v>
                </c:pt>
                <c:pt idx="2">
                  <c:v>1823</c:v>
                </c:pt>
                <c:pt idx="3">
                  <c:v>2307</c:v>
                </c:pt>
                <c:pt idx="4">
                  <c:v>2651</c:v>
                </c:pt>
              </c:numCache>
            </c:numRef>
          </c:val>
        </c:ser>
        <c:ser>
          <c:idx val="1"/>
          <c:order val="1"/>
          <c:tx>
            <c:strRef>
              <c:f>Hoja1!$C$1</c:f>
              <c:strCache>
                <c:ptCount val="1"/>
                <c:pt idx="0">
                  <c:v>Control</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670</c:v>
                </c:pt>
                <c:pt idx="1">
                  <c:v>759</c:v>
                </c:pt>
                <c:pt idx="2">
                  <c:v>1012</c:v>
                </c:pt>
                <c:pt idx="3">
                  <c:v>1200</c:v>
                </c:pt>
                <c:pt idx="4">
                  <c:v>1344</c:v>
                </c:pt>
              </c:numCache>
            </c:numRef>
          </c:val>
        </c:ser>
        <c:ser>
          <c:idx val="2"/>
          <c:order val="2"/>
          <c:tx>
            <c:strRef>
              <c:f>Hoja1!$D$1</c:f>
              <c:strCache>
                <c:ptCount val="1"/>
                <c:pt idx="0">
                  <c:v>TecSec</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907</c:v>
                </c:pt>
                <c:pt idx="1">
                  <c:v>1749</c:v>
                </c:pt>
                <c:pt idx="2">
                  <c:v>2067</c:v>
                </c:pt>
                <c:pt idx="3">
                  <c:v>2172</c:v>
                </c:pt>
                <c:pt idx="4">
                  <c:v>2317</c:v>
                </c:pt>
              </c:numCache>
            </c:numRef>
          </c:val>
        </c:ser>
        <c:ser>
          <c:idx val="3"/>
          <c:order val="3"/>
          <c:tx>
            <c:strRef>
              <c:f>Hoja1!$E$1</c:f>
              <c:strCache>
                <c:ptCount val="1"/>
                <c:pt idx="0">
                  <c:v>Niche Products</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1463</c:v>
                </c:pt>
                <c:pt idx="1">
                  <c:v>1879</c:v>
                </c:pt>
                <c:pt idx="2">
                  <c:v>1763</c:v>
                </c:pt>
                <c:pt idx="3">
                  <c:v>2176</c:v>
                </c:pt>
                <c:pt idx="4">
                  <c:v>2393</c:v>
                </c:pt>
              </c:numCache>
            </c:numRef>
          </c:val>
        </c:ser>
        <c:ser>
          <c:idx val="4"/>
          <c:order val="4"/>
          <c:tx>
            <c:strRef>
              <c:f>Hoja1!$F$1</c:f>
              <c:strCache>
                <c:ptCount val="1"/>
                <c:pt idx="0">
                  <c:v>International</c:v>
                </c:pt>
              </c:strCache>
            </c:strRef>
          </c:tx>
          <c:spPr>
            <a:solidFill>
              <a:srgbClr val="E87BA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Hoja1!$F$2:$F$6</c:f>
              <c:numCache>
                <c:formatCode>#,##0</c:formatCode>
                <c:ptCount val="5"/>
                <c:pt idx="0">
                  <c:v>997</c:v>
                </c:pt>
                <c:pt idx="1">
                  <c:v>1205</c:v>
                </c:pt>
                <c:pt idx="2">
                  <c:v>1501</c:v>
                </c:pt>
                <c:pt idx="3">
                  <c:v>1568</c:v>
                </c:pt>
                <c:pt idx="4">
                  <c:v>1933</c:v>
                </c:pt>
              </c:numCache>
            </c:numRef>
          </c:val>
        </c:ser>
        <c:ser>
          <c:idx val="5"/>
          <c:order val="5"/>
          <c:tx>
            <c:strRef>
              <c:f>Hoja1!$G$1</c:f>
              <c:strCache>
                <c:ptCount val="1"/>
                <c:pt idx="0">
                  <c:v>Eliminaciones y matriz</c:v>
                </c:pt>
              </c:strCache>
            </c:strRef>
          </c:tx>
          <c:spPr>
            <a:solidFill>
              <a:srgbClr val="0083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Hoja1!$G$2:$G$6</c:f>
              <c:numCache>
                <c:formatCode>#,##0</c:formatCode>
                <c:ptCount val="5"/>
                <c:pt idx="0">
                  <c:v>-35</c:v>
                </c:pt>
                <c:pt idx="1">
                  <c:v>-43</c:v>
                </c:pt>
                <c:pt idx="2">
                  <c:v>-36</c:v>
                </c:pt>
                <c:pt idx="3">
                  <c:v>-34</c:v>
                </c:pt>
                <c:pt idx="4">
                  <c:v>-29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Electrify</c:v>
                </c:pt>
                <c:pt idx="1">
                  <c:v>Control</c:v>
                </c:pt>
                <c:pt idx="2">
                  <c:v>TecSec</c:v>
                </c:pt>
                <c:pt idx="3">
                  <c:v>Niche Products</c:v>
                </c:pt>
                <c:pt idx="4">
                  <c:v>International</c:v>
                </c:pt>
                <c:pt idx="5">
                  <c:v>Eliminaciones y matriz</c:v>
                </c:pt>
              </c:strCache>
            </c:strRef>
          </c:cat>
          <c:val>
            <c:numRef>
              <c:f>Hoja1!$B$2:$B$7</c:f>
              <c:numCache>
                <c:formatCode>General</c:formatCode>
                <c:ptCount val="6"/>
                <c:pt idx="0">
                  <c:v>25</c:v>
                </c:pt>
                <c:pt idx="1">
                  <c:v>12.7</c:v>
                </c:pt>
                <c:pt idx="2">
                  <c:v>21.8</c:v>
                </c:pt>
                <c:pt idx="3">
                  <c:v>22.6</c:v>
                </c:pt>
                <c:pt idx="4">
                  <c:v>18.2</c:v>
                </c:pt>
                <c:pt idx="5">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Suecia</c:v>
                </c:pt>
                <c:pt idx="1">
                  <c:v>Dinamarca</c:v>
                </c:pt>
                <c:pt idx="2">
                  <c:v>Reino Unido</c:v>
                </c:pt>
                <c:pt idx="3">
                  <c:v>Noruega</c:v>
                </c:pt>
                <c:pt idx="4">
                  <c:v>Finlandia</c:v>
                </c:pt>
                <c:pt idx="5">
                  <c:v>Alemania</c:v>
                </c:pt>
                <c:pt idx="6">
                  <c:v>Resto de Europa</c:v>
                </c:pt>
                <c:pt idx="7">
                  <c:v>Asia y resto del mundo</c:v>
                </c:pt>
              </c:strCache>
            </c:strRef>
          </c:cat>
          <c:val>
            <c:numRef>
              <c:f>Hoja1!$B$2:$B$9</c:f>
              <c:numCache>
                <c:formatCode>0"%"</c:formatCode>
                <c:ptCount val="8"/>
                <c:pt idx="0">
                  <c:v>30.8</c:v>
                </c:pt>
                <c:pt idx="1">
                  <c:v>11.1</c:v>
                </c:pt>
                <c:pt idx="2">
                  <c:v>9.3</c:v>
                </c:pt>
                <c:pt idx="3">
                  <c:v>8.8</c:v>
                </c:pt>
                <c:pt idx="4">
                  <c:v>6.2</c:v>
                </c:pt>
                <c:pt idx="5">
                  <c:v>6</c:v>
                </c:pt>
                <c:pt idx="6">
                  <c:v>14.3</c:v>
                </c:pt>
                <c:pt idx="7">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Lagercrantz</c:v>
                </c:pt>
                <c:pt idx="1">
                  <c:v>Indutrade</c:v>
                </c:pt>
                <c:pt idx="2">
                  <c:v>Addtech</c:v>
                </c:pt>
                <c:pt idx="3">
                  <c:v>Lifco</c:v>
                </c:pt>
                <c:pt idx="4">
                  <c:v>Bergman &amp; Beving</c:v>
                </c:pt>
                <c:pt idx="5">
                  <c:v>Momentum Group</c:v>
                </c:pt>
                <c:pt idx="6">
                  <c:v>Sdiptech</c:v>
                </c:pt>
                <c:pt idx="7">
                  <c:v>OEM International</c:v>
                </c:pt>
                <c:pt idx="8">
                  <c:v>Diploma</c:v>
                </c:pt>
              </c:strCache>
            </c:strRef>
          </c:cat>
          <c:val>
            <c:numRef>
              <c:f>Hoja1!$B$2:$B$10</c:f>
              <c:numCache>
                <c:formatCode>0.0"%"</c:formatCode>
                <c:ptCount val="9"/>
                <c:pt idx="0">
                  <c:v>16</c:v>
                </c:pt>
                <c:pt idx="1">
                  <c:v>12.6</c:v>
                </c:pt>
                <c:pt idx="2">
                  <c:v>14.4</c:v>
                </c:pt>
                <c:pt idx="3">
                  <c:v>19.3</c:v>
                </c:pt>
                <c:pt idx="4">
                  <c:v>8</c:v>
                </c:pt>
                <c:pt idx="5">
                  <c:v>10.9</c:v>
                </c:pt>
                <c:pt idx="6">
                  <c:v>16.2</c:v>
                </c:pt>
                <c:pt idx="7">
                  <c:v>14.7</c:v>
                </c:pt>
                <c:pt idx="8">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Hoja1!$B$2:$B$17</c:f>
              <c:numCache>
                <c:formatCode>#,##0</c:formatCode>
                <c:ptCount val="16"/>
                <c:pt idx="0">
                  <c:v>4091</c:v>
                </c:pt>
                <c:pt idx="1">
                  <c:v>5482</c:v>
                </c:pt>
                <c:pt idx="2">
                  <c:v>7246</c:v>
                </c:pt>
                <c:pt idx="3">
                  <c:v>8129</c:v>
                </c:pt>
                <c:pt idx="4">
                  <c:v>9389</c:v>
                </c:pt>
                <c:pt idx="5">
                  <c:v>10609</c:v>
                </c:pt>
                <c:pt idx="6">
                  <c:v>12147</c:v>
                </c:pt>
                <c:pt idx="7">
                  <c:v>13484</c:v>
                </c:pt>
                <c:pt idx="8">
                  <c:v>14899</c:v>
                </c:pt>
                <c:pt idx="9">
                  <c:v>16389</c:v>
                </c:pt>
                <c:pt idx="10">
                  <c:v>17864</c:v>
                </c:pt>
                <c:pt idx="11">
                  <c:v>19293</c:v>
                </c:pt>
                <c:pt idx="12">
                  <c:v>20644</c:v>
                </c:pt>
                <c:pt idx="13">
                  <c:v>21883</c:v>
                </c:pt>
                <c:pt idx="14">
                  <c:v>22977</c:v>
                </c:pt>
                <c:pt idx="15">
                  <c:v>23896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Hoja1!$C$2:$C$17</c:f>
              <c:numCache>
                <c:formatCode>#,##0</c:formatCode>
                <c:ptCount val="16"/>
                <c:pt idx="0">
                  <c:v>774</c:v>
                </c:pt>
                <c:pt idx="1">
                  <c:v>1094</c:v>
                </c:pt>
                <c:pt idx="2">
                  <c:v>1451</c:v>
                </c:pt>
                <c:pt idx="3">
                  <c:v>1704</c:v>
                </c:pt>
                <c:pt idx="4">
                  <c:v>1967</c:v>
                </c:pt>
                <c:pt idx="5">
                  <c:v>2284</c:v>
                </c:pt>
                <c:pt idx="6">
                  <c:v>2624</c:v>
                </c:pt>
                <c:pt idx="7">
                  <c:v>2939</c:v>
                </c:pt>
                <c:pt idx="8">
                  <c:v>3278</c:v>
                </c:pt>
                <c:pt idx="9">
                  <c:v>3622</c:v>
                </c:pt>
                <c:pt idx="10">
                  <c:v>3966</c:v>
                </c:pt>
                <c:pt idx="11">
                  <c:v>4283</c:v>
                </c:pt>
                <c:pt idx="12">
                  <c:v>4583</c:v>
                </c:pt>
                <c:pt idx="13">
                  <c:v>4858</c:v>
                </c:pt>
                <c:pt idx="14">
                  <c:v>5101</c:v>
                </c:pt>
                <c:pt idx="15">
                  <c:v>5305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38.6</c:v>
                </c:pt>
                <c:pt idx="1">
                  <c:v>38.2</c:v>
                </c:pt>
                <c:pt idx="2">
                  <c:v>37.8</c:v>
                </c:pt>
                <c:pt idx="3">
                  <c:v>39.3</c:v>
                </c:pt>
                <c:pt idx="4">
                  <c:v>39</c:v>
                </c:pt>
                <c:pt idx="5">
                  <c:v>39.2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18.9</c:v>
                </c:pt>
                <c:pt idx="1">
                  <c:v>20</c:v>
                </c:pt>
                <c:pt idx="2">
                  <c:v>20</c:v>
                </c:pt>
                <c:pt idx="3">
                  <c:v>21</c:v>
                </c:pt>
                <c:pt idx="4">
                  <c:v>21</c:v>
                </c:pt>
                <c:pt idx="5">
                  <c:v>21.5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12.9</c:v>
                </c:pt>
                <c:pt idx="1">
                  <c:v>14.2</c:v>
                </c:pt>
                <c:pt idx="2">
                  <c:v>14.7</c:v>
                </c:pt>
                <c:pt idx="3">
                  <c:v>15.5</c:v>
                </c:pt>
                <c:pt idx="4">
                  <c:v>15.3</c:v>
                </c:pt>
                <c:pt idx="5">
                  <c:v>16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9.5</c:v>
                </c:pt>
                <c:pt idx="1">
                  <c:v>10.4</c:v>
                </c:pt>
                <c:pt idx="2">
                  <c:v>10.5</c:v>
                </c:pt>
                <c:pt idx="3">
                  <c:v>10.8</c:v>
                </c:pt>
                <c:pt idx="4">
                  <c:v>10.9</c:v>
                </c:pt>
                <c:pt idx="5">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Hoja1!$A$2:$A$10</c:f>
              <c:strCache>
                <c:ptCount val="9"/>
                <c:pt idx="0">
                  <c:v>1T25</c:v>
                </c:pt>
                <c:pt idx="1">
                  <c:v>2T25</c:v>
                </c:pt>
                <c:pt idx="2">
                  <c:v>3T25</c:v>
                </c:pt>
                <c:pt idx="3">
                  <c:v>4T25</c:v>
                </c:pt>
                <c:pt idx="4">
                  <c:v>1T26</c:v>
                </c:pt>
                <c:pt idx="5">
                  <c:v>2T26</c:v>
                </c:pt>
                <c:pt idx="6">
                  <c:v>3T26</c:v>
                </c:pt>
                <c:pt idx="7">
                  <c:v>4T26</c:v>
                </c:pt>
                <c:pt idx="8">
                  <c:v>1T27</c:v>
                </c:pt>
              </c:strCache>
            </c:strRef>
          </c:cat>
          <c:val>
            <c:numRef>
              <c:f>Hoja1!$B$2:$B$10</c:f>
              <c:numCache>
                <c:formatCode>0.0"%"</c:formatCode>
                <c:ptCount val="9"/>
                <c:pt idx="4">
                  <c:v>10</c:v>
                </c:pt>
                <c:pt idx="5">
                  <c:v>13</c:v>
                </c:pt>
                <c:pt idx="6">
                  <c:v>16</c:v>
                </c:pt>
                <c:pt idx="7">
                  <c:v>13</c:v>
                </c:pt>
                <c:pt idx="8">
                  <c:v>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Hoja1!$A$2:$A$10</c:f>
              <c:strCache>
                <c:ptCount val="9"/>
                <c:pt idx="0">
                  <c:v>1T25</c:v>
                </c:pt>
                <c:pt idx="1">
                  <c:v>2T25</c:v>
                </c:pt>
                <c:pt idx="2">
                  <c:v>3T25</c:v>
                </c:pt>
                <c:pt idx="3">
                  <c:v>4T25</c:v>
                </c:pt>
                <c:pt idx="4">
                  <c:v>1T26</c:v>
                </c:pt>
                <c:pt idx="5">
                  <c:v>2T26</c:v>
                </c:pt>
                <c:pt idx="6">
                  <c:v>3T26</c:v>
                </c:pt>
                <c:pt idx="7">
                  <c:v>4T26</c:v>
                </c:pt>
                <c:pt idx="8">
                  <c:v>1T27</c:v>
                </c:pt>
              </c:strCache>
            </c:strRef>
          </c:cat>
          <c:val>
            <c:numRef>
              <c:f>Hoja1!$C$2:$C$10</c:f>
              <c:numCache>
                <c:formatCode>0.0"%"</c:formatCode>
                <c:ptCount val="9"/>
                <c:pt idx="4">
                  <c:v>3</c:v>
                </c:pt>
                <c:pt idx="5">
                  <c:v>1</c:v>
                </c:pt>
                <c:pt idx="6">
                  <c:v>2</c:v>
                </c:pt>
                <c:pt idx="7">
                  <c:v>6</c:v>
                </c:pt>
                <c:pt idx="8">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57</c:v>
                </c:pt>
                <c:pt idx="1">
                  <c:v>59</c:v>
                </c:pt>
                <c:pt idx="2">
                  <c:v>58</c:v>
                </c:pt>
                <c:pt idx="3">
                  <c:v>57</c:v>
                </c:pt>
                <c:pt idx="4">
                  <c:v>53</c:v>
                </c:pt>
                <c:pt idx="5">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95</c:v>
                </c:pt>
                <c:pt idx="1">
                  <c:v>102</c:v>
                </c:pt>
                <c:pt idx="2">
                  <c:v>95</c:v>
                </c:pt>
                <c:pt idx="3">
                  <c:v>101</c:v>
                </c:pt>
                <c:pt idx="4">
                  <c:v>91</c:v>
                </c:pt>
                <c:pt idx="5">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53</c:v>
                </c:pt>
                <c:pt idx="1">
                  <c:v>54</c:v>
                </c:pt>
                <c:pt idx="2">
                  <c:v>48</c:v>
                </c:pt>
                <c:pt idx="3">
                  <c:v>47</c:v>
                </c:pt>
                <c:pt idx="4">
                  <c:v>43</c:v>
                </c:pt>
                <c:pt idx="5">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606</c:v>
                </c:pt>
                <c:pt idx="1">
                  <c:v>361</c:v>
                </c:pt>
                <c:pt idx="2">
                  <c:v>755</c:v>
                </c:pt>
                <c:pt idx="3">
                  <c:v>1056</c:v>
                </c:pt>
                <c:pt idx="4">
                  <c:v>978</c:v>
                </c:pt>
                <c:pt idx="5">
                  <c:v>1096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388</c:v>
                </c:pt>
                <c:pt idx="1">
                  <c:v>572</c:v>
                </c:pt>
                <c:pt idx="2">
                  <c:v>758</c:v>
                </c:pt>
                <c:pt idx="3">
                  <c:v>877</c:v>
                </c:pt>
                <c:pt idx="4">
                  <c:v>1019</c:v>
                </c:pt>
                <c:pt idx="5">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13.2</c:v>
                </c:pt>
                <c:pt idx="1">
                  <c:v>16.6</c:v>
                </c:pt>
                <c:pt idx="2">
                  <c:v>17.6</c:v>
                </c:pt>
                <c:pt idx="3">
                  <c:v>17</c:v>
                </c:pt>
                <c:pt idx="4">
                  <c:v>16.4</c:v>
                </c:pt>
                <c:pt idx="5">
                  <c:v>16.7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9.3</c:v>
                </c:pt>
                <c:pt idx="1">
                  <c:v>9.3</c:v>
                </c:pt>
                <c:pt idx="2">
                  <c:v>9.3</c:v>
                </c:pt>
                <c:pt idx="3">
                  <c:v>9.3</c:v>
                </c:pt>
                <c:pt idx="4">
                  <c:v>9.3</c:v>
                </c:pt>
                <c:pt idx="5">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20.9</c:v>
                </c:pt>
                <c:pt idx="1">
                  <c:v>28</c:v>
                </c:pt>
                <c:pt idx="2">
                  <c:v>28.9</c:v>
                </c:pt>
                <c:pt idx="3">
                  <c:v>27.1</c:v>
                </c:pt>
                <c:pt idx="4">
                  <c:v>27.9</c:v>
                </c:pt>
                <c:pt idx="5">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1.6</c:v>
                </c:pt>
                <c:pt idx="1">
                  <c:v>1.78</c:v>
                </c:pt>
                <c:pt idx="2">
                  <c:v>1.57</c:v>
                </c:pt>
                <c:pt idx="3">
                  <c:v>1.7</c:v>
                </c:pt>
                <c:pt idx="4">
                  <c:v>1.82</c:v>
                </c:pt>
                <c:pt idx="5">
                  <c:v>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(SEK,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FY2027 (corto plazo)</c:v>
                </c:pt>
                <c:pt idx="1">
                  <c:v>sep-2027 (líneas sindicadas)</c:v>
                </c:pt>
              </c:strCache>
            </c:strRef>
          </c:cat>
          <c:val>
            <c:numRef>
              <c:f>Hoja1!$B$2:$B$3</c:f>
              <c:numCache>
                <c:formatCode>#,##0</c:formatCode>
                <c:ptCount val="2"/>
                <c:pt idx="0">
                  <c:v>480</c:v>
                </c:pt>
                <c:pt idx="1">
                  <c:v>3504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325</c:v>
                </c:pt>
                <c:pt idx="1">
                  <c:v>653</c:v>
                </c:pt>
                <c:pt idx="2">
                  <c:v>847</c:v>
                </c:pt>
                <c:pt idx="3">
                  <c:v>1175</c:v>
                </c:pt>
                <c:pt idx="4">
                  <c:v>1136</c:v>
                </c:pt>
                <c:pt idx="5">
                  <c:v>1082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135</c:v>
                </c:pt>
                <c:pt idx="1">
                  <c:v>204</c:v>
                </c:pt>
                <c:pt idx="2">
                  <c:v>265</c:v>
                </c:pt>
                <c:pt idx="3">
                  <c:v>329</c:v>
                </c:pt>
                <c:pt idx="4">
                  <c:v>392</c:v>
                </c:pt>
                <c:pt idx="5">
                  <c:v>453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c:v>
                </c:pt>
                <c:pt idx="1">
                  <c:v>70</c:v>
                </c:pt>
                <c:pt idx="2">
                  <c:v>17</c:v>
                </c:pt>
                <c:pt idx="3">
                  <c:v>10</c:v>
                </c:pt>
                <c:pt idx="4">
                  <c:v>80</c:v>
                </c:pt>
                <c:pt idx="5">
                  <c:v>32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Ejecutivo</c:v>
                </c:pt>
              </c:strCache>
            </c:strRef>
          </c:cat>
          <c:val>
            <c:numRef>
              <c:f>Hoja1!$B$2:$B$4</c:f>
              <c:numCache>
                <c:formatCode>0</c:formatCode>
                <c:ptCount val="3"/>
                <c:pt idx="0">
                  <c:v>2</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Anders Börjesson y Tisenhult-gruppen</c:v>
                </c:pt>
                <c:pt idx="1">
                  <c:v>Fidelity Investments (FMR)</c:v>
                </c:pt>
                <c:pt idx="2">
                  <c:v>SEB Fonder</c:v>
                </c:pt>
                <c:pt idx="3">
                  <c:v>Swedbank Robur Fonder</c:v>
                </c:pt>
                <c:pt idx="4">
                  <c:v>Lannebo Fonder</c:v>
                </c:pt>
                <c:pt idx="5">
                  <c:v>Handelsbanken Fonder</c:v>
                </c:pt>
                <c:pt idx="6">
                  <c:v>Jörgen Wigh</c:v>
                </c:pt>
                <c:pt idx="7">
                  <c:v>Autocartera (acciones B)</c:v>
                </c:pt>
              </c:strCache>
            </c:strRef>
          </c:cat>
          <c:val>
            <c:numRef>
              <c:f>Hoja1!$B$2:$B$9</c:f>
              <c:numCache>
                <c:formatCode>0.0"%"</c:formatCode>
                <c:ptCount val="8"/>
                <c:pt idx="0">
                  <c:v>5.6</c:v>
                </c:pt>
                <c:pt idx="1">
                  <c:v>9.4</c:v>
                </c:pt>
                <c:pt idx="2">
                  <c:v>7.4</c:v>
                </c:pt>
                <c:pt idx="3">
                  <c:v>6.9</c:v>
                </c:pt>
                <c:pt idx="4">
                  <c:v>6.2</c:v>
                </c:pt>
                <c:pt idx="5">
                  <c:v>4.5</c:v>
                </c:pt>
                <c:pt idx="6">
                  <c:v>1.2</c:v>
                </c:pt>
                <c:pt idx="7">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c:v>
                </c:pt>
                <c:pt idx="1">
                  <c:v>-3</c:v>
                </c:pt>
                <c:pt idx="2">
                  <c:v>6.3</c:v>
                </c:pt>
                <c:pt idx="3">
                  <c:v>70</c:v>
                </c:pt>
                <c:pt idx="4">
                  <c:v>55.7</c:v>
                </c:pt>
                <c:pt idx="5">
                  <c:v>75.1</c:v>
                </c:pt>
                <c:pt idx="6">
                  <c:v>-22.4</c:v>
                </c:pt>
                <c:pt idx="7">
                  <c:v>30.8</c:v>
                </c:pt>
                <c:pt idx="8">
                  <c:v>53.7</c:v>
                </c:pt>
                <c:pt idx="9">
                  <c:v>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6.4</c:v>
                </c:pt>
                <c:pt idx="2">
                  <c:v>-7.7</c:v>
                </c:pt>
                <c:pt idx="3">
                  <c:v>29.6</c:v>
                </c:pt>
                <c:pt idx="4">
                  <c:v>12.9</c:v>
                </c:pt>
                <c:pt idx="5">
                  <c:v>35</c:v>
                </c:pt>
                <c:pt idx="6">
                  <c:v>-24.6</c:v>
                </c:pt>
                <c:pt idx="7">
                  <c:v>15.6</c:v>
                </c:pt>
                <c:pt idx="8">
                  <c:v>5.6</c:v>
                </c:pt>
                <c:pt idx="9">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22.4</c:v>
                </c:pt>
                <c:pt idx="1">
                  <c:v>21.7</c:v>
                </c:pt>
                <c:pt idx="2">
                  <c:v>19.9</c:v>
                </c:pt>
                <c:pt idx="3">
                  <c:v>21.5</c:v>
                </c:pt>
                <c:pt idx="4">
                  <c:v>23.5</c:v>
                </c:pt>
                <c:pt idx="5">
                  <c:v>19.8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21.6</c:v>
                </c:pt>
                <c:pt idx="1">
                  <c:v>21.6</c:v>
                </c:pt>
                <c:pt idx="2">
                  <c:v>21.6</c:v>
                </c:pt>
                <c:pt idx="3">
                  <c:v>21.6</c:v>
                </c:pt>
                <c:pt idx="4">
                  <c:v>21.6</c:v>
                </c:pt>
                <c:pt idx="5">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Lagercrantz</c:v>
                </c:pt>
                <c:pt idx="1">
                  <c:v>Indutrade</c:v>
                </c:pt>
                <c:pt idx="2">
                  <c:v>Addtech</c:v>
                </c:pt>
                <c:pt idx="3">
                  <c:v>Lifco</c:v>
                </c:pt>
                <c:pt idx="4">
                  <c:v>Bergman &amp; Beving</c:v>
                </c:pt>
                <c:pt idx="5">
                  <c:v>Momentum Group</c:v>
                </c:pt>
                <c:pt idx="6">
                  <c:v>Sdiptech</c:v>
                </c:pt>
                <c:pt idx="7">
                  <c:v>Beijer Alma</c:v>
                </c:pt>
                <c:pt idx="8">
                  <c:v>OEM International</c:v>
                </c:pt>
                <c:pt idx="9">
                  <c:v>Diploma</c:v>
                </c:pt>
              </c:strCache>
            </c:strRef>
          </c:cat>
          <c:val>
            <c:numRef>
              <c:f>Hoja1!$B$2:$B$11</c:f>
              <c:numCache>
                <c:formatCode>0.0"x"</c:formatCode>
                <c:ptCount val="10"/>
                <c:pt idx="0">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3</c:v>
                </c:pt>
                <c:pt idx="1">
                  <c:v>646</c:v>
                </c:pt>
                <c:pt idx="2">
                  <c:v>841</c:v>
                </c:pt>
                <c:pt idx="3">
                  <c:v>1053</c:v>
                </c:pt>
                <c:pt idx="4">
                  <c:v>1284</c:v>
                </c:pt>
                <c:pt idx="5">
                  <c:v>1654</c:v>
                </c:pt>
                <c:pt idx="6">
                  <c:v>1929</c:v>
                </c:pt>
                <c:pt idx="7">
                  <c:v>2367</c:v>
                </c:pt>
                <c:pt idx="8">
                  <c:v>2659</c:v>
                </c:pt>
                <c:pt idx="9">
                  <c:v>3114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9196</c:v>
                </c:pt>
                <c:pt idx="1">
                  <c:v>20128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228,80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65.92</c:v>
                </c:pt>
                <c:pt idx="1">
                  <c:v>115.24</c:v>
                </c:pt>
                <c:pt idx="2">
                  <c:v>145.88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(185,20 – 266,80)</c:v>
                </c:pt>
                <c:pt idx="1">
                  <c:v>Precio objetivo de los analistas (230,00 – 290,00)</c:v>
                </c:pt>
                <c:pt idx="2">
                  <c:v>Comparables: PER NTM (171,01 – 207,24)</c:v>
                </c:pt>
                <c:pt idx="3">
                  <c:v>DCF (WACC y g ± 0,5) (97,68 – 138,75)</c:v>
                </c:pt>
                <c:pt idx="4">
                  <c:v>Escenarios (bajista – alcista) (65,92 – 145,88)</c:v>
                </c:pt>
                <c:pt idx="5">
                  <c:v>DCF con la prima implícita del mercado (4,2 %)</c:v>
                </c:pt>
                <c:pt idx="6">
                  <c:v>Precio actual (228,80)</c:v>
                </c:pt>
              </c:strCache>
            </c:strRef>
          </c:cat>
          <c:val>
            <c:numRef>
              <c:f>Hoja1!$B$2:$B$8</c:f>
              <c:numCache>
                <c:formatCode>#,##0</c:formatCode>
                <c:ptCount val="7"/>
                <c:pt idx="0">
                  <c:v>185.2</c:v>
                </c:pt>
                <c:pt idx="1">
                  <c:v>230</c:v>
                </c:pt>
                <c:pt idx="2">
                  <c:v>171.01</c:v>
                </c:pt>
                <c:pt idx="3">
                  <c:v>97.68</c:v>
                </c:pt>
                <c:pt idx="4">
                  <c:v>65.92</c:v>
                </c:pt>
                <c:pt idx="5">
                  <c:v>143.23</c:v>
                </c:pt>
                <c:pt idx="6">
                  <c:v>227.66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(185,20 – 266,80)</c:v>
                </c:pt>
                <c:pt idx="1">
                  <c:v>Precio objetivo de los analistas (230,00 – 290,00)</c:v>
                </c:pt>
                <c:pt idx="2">
                  <c:v>Comparables: PER NTM (171,01 – 207,24)</c:v>
                </c:pt>
                <c:pt idx="3">
                  <c:v>DCF (WACC y g ± 0,5) (97,68 – 138,75)</c:v>
                </c:pt>
                <c:pt idx="4">
                  <c:v>Escenarios (bajista – alcista) (65,92 – 145,88)</c:v>
                </c:pt>
                <c:pt idx="5">
                  <c:v>DCF con la prima implícita del mercado (4,2 %)</c:v>
                </c:pt>
                <c:pt idx="6">
                  <c:v>Precio actual (228,80)</c:v>
                </c:pt>
              </c:strCache>
            </c:strRef>
          </c:cat>
          <c:val>
            <c:numRef>
              <c:f>Hoja1!$C$2:$C$8</c:f>
              <c:numCache>
                <c:formatCode>#,##0</c:formatCode>
                <c:ptCount val="7"/>
                <c:pt idx="0">
                  <c:v>81.60000000000002</c:v>
                </c:pt>
                <c:pt idx="1">
                  <c:v>60</c:v>
                </c:pt>
                <c:pt idx="2">
                  <c:v>36.23000000000002</c:v>
                </c:pt>
                <c:pt idx="3">
                  <c:v>41.06999999999999</c:v>
                </c:pt>
                <c:pt idx="4">
                  <c:v>79.96</c:v>
                </c:pt>
                <c:pt idx="5">
                  <c:v>41.41</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