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0823e38740b9d45b1ac638168649e6226b16539"/>
    <w:p>
      <w:pPr>
        <w:pStyle w:val="Heading1"/>
      </w:pPr>
      <w:r>
        <w:t xml:space="preserve">Corcept Therapeutics (CORT): análisis growth, 14-oct-2026</w:t>
      </w:r>
    </w:p>
    <w:p>
      <w:pPr>
        <w:pStyle w:val="FirstParagraph"/>
      </w:pPr>
      <w:r>
        <w:rPr>
          <w:bCs/>
          <w:b/>
        </w:rPr>
        <w:t xml:space="preserve">Señal (método v11, vigente): Vender, que para quien no la tiene significa no comprar</w:t>
      </w:r>
      <w:r>
        <w:t xml:space="preserve"> </w:t>
      </w:r>
      <w:r>
        <w:t xml:space="preserve">· Puntuación 70/100 · Señales de cambio de tendencia 6/8 · EV/beneficio bruto NTM 8,9x</w:t>
      </w:r>
      <w:r>
        <w:t xml:space="preserve"> </w:t>
      </w:r>
      <w:r>
        <w:t xml:space="preserve">Precio 117,80 USD (cierre del 13-oct) · Objetivo a 12 meses 59,3 USD · Rentabilidad ponderada −49,6 % · Caso base −43,6 % · Bajista −69,8 % · Alcista −23,0 % · Compra hasta 56,5 USD</w:t>
      </w:r>
      <w:r>
        <w:t xml:space="preserve"> </w:t>
      </w:r>
      <w:r>
        <w:rPr>
          <w:bCs/>
          <w:b/>
        </w:rPr>
        <w:t xml:space="preserve">Al precio actual</w:t>
      </w:r>
      <w:r>
        <w:t xml:space="preserve"> </w:t>
      </w:r>
      <w:r>
        <w:t xml:space="preserve">(116,23 USD, cierre del 14-oct, 20:00 UTC; objetivo fijo): ponderada −49,0 %.</w:t>
      </w:r>
      <w:r>
        <w:t xml:space="preserve"> </w:t>
      </w:r>
      <w:r>
        <w:t xml:space="preserve">Referencia v9: igual (70 puntos, Vender, ponderada −49,6 %). La proyección mecánica queda por debajo de la del informe, así que el tope de v11 no actúa.</w:t>
      </w:r>
      <w:r>
        <w:t xml:space="preserve"> </w:t>
      </w:r>
      <w:r>
        <w:t xml:space="preserve">Alertas de robustez (</w:t>
      </w:r>
      <w:r>
        <w:rPr>
          <w:rStyle w:val="VerbatimChar"/>
        </w:rPr>
        <w:t xml:space="preserve">calc.alertas</w:t>
      </w:r>
      <w:r>
        <w:t xml:space="preserve">): una, concentración de ventas en un solo canal (sección 11).</w:t>
      </w:r>
      <w:r>
        <w:t xml:space="preserve"> </w:t>
      </w:r>
      <w:r>
        <w:t xml:space="preserve">Prueba de robustez:</w:t>
      </w:r>
      <w:r>
        <w:t xml:space="preserve"> </w:t>
      </w:r>
      <w:r>
        <w:rPr>
          <w:bCs/>
          <w:b/>
        </w:rPr>
        <w:t xml:space="preserve">SÓLIDA, Vender</w:t>
      </w:r>
      <w:r>
        <w:t xml:space="preserve"> </w:t>
      </w:r>
      <w:r>
        <w:t xml:space="preserve">(sección 11).</w:t>
      </w:r>
      <w:r>
        <w:t xml:space="preserve"> </w:t>
      </w:r>
      <w:r>
        <w:t xml:space="preserve">Peso orientativo:</w:t>
      </w:r>
      <w:r>
        <w:t xml:space="preserve"> </w:t>
      </w:r>
      <w:r>
        <w:rPr>
          <w:bCs/>
          <w:b/>
        </w:rPr>
        <w:t xml:space="preserve">no entra</w:t>
      </w:r>
      <w:r>
        <w:t xml:space="preserve">. No sustituye a nadie ni entra en la lista de suplentes (sección 13).</w:t>
      </w:r>
    </w:p>
    <w:p>
      <w:pPr>
        <w:pStyle w:val="BlockText"/>
      </w:pPr>
      <w:r>
        <w:rPr>
          <w:bCs/>
          <w:b/>
        </w:rPr>
        <w:t xml:space="preserve">Valorada por EV/EBITDA ajustado NTM</w:t>
      </w:r>
      <w:r>
        <w:t xml:space="preserve"> </w:t>
      </w:r>
      <w:r>
        <w:t xml:space="preserve">porque Corcept gana dinero cada año desde 2012 y tiene FCF positivo. No se usa el PER porque el beneficio de los últimos 12 meses está hundido por el lanzamiento de Lifyorli y daría un 260x sin sentido. Múltiplo de hoy 19,1x. Lectura en una línea: el negocio va bien y tiene un fármaco nuevo contra el cáncer de ovario que despega, pero la acción ya ha subido un 172 % en seis meses y el precio paga un crecimiento muy alto durante años; el método no la compra.</w:t>
      </w:r>
    </w:p>
    <w:bookmarkStart w:id="20" w:name="la-tesis-en-cinco-líneas"/>
    <w:p>
      <w:pPr>
        <w:pStyle w:val="Heading2"/>
      </w:pPr>
      <w:r>
        <w:t xml:space="preserve">1. La tesis en cinco líneas</w:t>
      </w:r>
    </w:p>
    <w:p>
      <w:pPr>
        <w:numPr>
          <w:ilvl w:val="0"/>
          <w:numId w:val="1001"/>
        </w:numPr>
        <w:pStyle w:val="Compact"/>
      </w:pPr>
      <w:r>
        <w:t xml:space="preserve">Corcept vende</w:t>
      </w:r>
      <w:r>
        <w:t xml:space="preserve"> </w:t>
      </w:r>
      <w:r>
        <w:rPr>
          <w:bCs/>
          <w:b/>
        </w:rPr>
        <w:t xml:space="preserve">Korlym</w:t>
      </w:r>
      <w:r>
        <w:t xml:space="preserve"> </w:t>
      </w:r>
      <w:r>
        <w:t xml:space="preserve">(mifepristona) y su genérico autorizado para el síndrome de Cushing (exceso de cortisol) y, desde abril,</w:t>
      </w:r>
      <w:r>
        <w:t xml:space="preserve"> </w:t>
      </w:r>
      <w:r>
        <w:rPr>
          <w:bCs/>
          <w:b/>
        </w:rPr>
        <w:t xml:space="preserve">Lifyorli</w:t>
      </w:r>
      <w:r>
        <w:t xml:space="preserve"> </w:t>
      </w:r>
      <w:r>
        <w:t xml:space="preserve">(relacorilant), el primer antagonista selectivo del receptor de cortisol aprobado, para el cáncer de ovario resistente al platino. Vende</w:t>
      </w:r>
      <w:r>
        <w:t xml:space="preserve"> </w:t>
      </w:r>
      <w:r>
        <w:rPr>
          <w:bCs/>
          <w:b/>
        </w:rPr>
        <w:t xml:space="preserve">830,8 M USD en 12 meses (+16 %)</w:t>
      </w:r>
      <w:r>
        <w:t xml:space="preserve"> </w:t>
      </w:r>
      <w:r>
        <w:t xml:space="preserve">con un 98 % de margen bruto.</w:t>
      </w:r>
    </w:p>
    <w:p>
      <w:pPr>
        <w:numPr>
          <w:ilvl w:val="0"/>
          <w:numId w:val="1001"/>
        </w:numPr>
        <w:pStyle w:val="Compact"/>
      </w:pPr>
      <w:r>
        <w:t xml:space="preserve">El último trimestre creció un 32 % gracias a Lifyorli, y la empresa guía</w:t>
      </w:r>
      <w:r>
        <w:t xml:space="preserve"> </w:t>
      </w:r>
      <w:r>
        <w:rPr>
          <w:bCs/>
          <w:b/>
        </w:rPr>
        <w:t xml:space="preserve">1.100-1.200 M para 2026</w:t>
      </w:r>
      <w:r>
        <w:t xml:space="preserve">: eso implica un segundo semestre un 78 % por encima del de 2025. El consenso ve 1.710 M en 2027.</w:t>
      </w:r>
    </w:p>
    <w:p>
      <w:pPr>
        <w:numPr>
          <w:ilvl w:val="0"/>
          <w:numId w:val="1001"/>
        </w:numPr>
        <w:pStyle w:val="Compact"/>
      </w:pPr>
      <w:r>
        <w:t xml:space="preserve">La gran prueba es el</w:t>
      </w:r>
      <w:r>
        <w:t xml:space="preserve"> </w:t>
      </w:r>
      <w:r>
        <w:rPr>
          <w:bCs/>
          <w:b/>
        </w:rPr>
        <w:t xml:space="preserve">17 de diciembre</w:t>
      </w:r>
      <w:r>
        <w:t xml:space="preserve">: la FDA decide sobre relacorilant en Cushing, que ya rechazó una vez (31-dic-2025). Si lo aprueba, sustituye a Korlym con patentes hasta los años 30; si no, Korlym (94 % de las ventas de 12 meses, sin patente de composición y con un genérico de Teva en el mercado) sigue expuesto a más genéricos.</w:t>
      </w:r>
    </w:p>
    <w:p>
      <w:pPr>
        <w:numPr>
          <w:ilvl w:val="0"/>
          <w:numId w:val="1001"/>
        </w:numPr>
        <w:pStyle w:val="Compact"/>
      </w:pPr>
      <w:r>
        <w:t xml:space="preserve">El precio es exigente:</w:t>
      </w:r>
      <w:r>
        <w:t xml:space="preserve"> </w:t>
      </w:r>
      <w:r>
        <w:rPr>
          <w:bCs/>
          <w:b/>
        </w:rPr>
        <w:t xml:space="preserve">19,1x EV/EBITDA de los 12 meses siguientes</w:t>
      </w:r>
      <w:r>
        <w:t xml:space="preserve">, por encima de su mediana de 3 años (16,9x) y de rivales rentables que crecen al 15-20 % (Neurocrine, Halozyme, Exelixis, 14-15x). El DCF inverso pide</w:t>
      </w:r>
      <w:r>
        <w:t xml:space="preserve"> </w:t>
      </w:r>
      <w:r>
        <w:rPr>
          <w:bCs/>
          <w:b/>
        </w:rPr>
        <w:t xml:space="preserve">un 16 % anual durante 10 años</w:t>
      </w:r>
      <w:r>
        <w:t xml:space="preserve">.</w:t>
      </w:r>
    </w:p>
    <w:p>
      <w:pPr>
        <w:numPr>
          <w:ilvl w:val="0"/>
          <w:numId w:val="1001"/>
        </w:numPr>
        <w:pStyle w:val="Compact"/>
      </w:pPr>
      <w:r>
        <w:t xml:space="preserve">Conclusión:</w:t>
      </w:r>
      <w:r>
        <w:t xml:space="preserve"> </w:t>
      </w:r>
      <w:r>
        <w:rPr>
          <w:bCs/>
          <w:b/>
        </w:rPr>
        <w:t xml:space="preserve">Vender / no comprar</w:t>
      </w:r>
      <w:r>
        <w:t xml:space="preserve">. Incluso con las ventas del propio informe (cerca del consenso) la ponderada sale −23 %. El método castiga además una proyección mecánica corta (sección 9), pero la conclusión no depende de eso.</w:t>
      </w:r>
    </w:p>
    <w:bookmarkEnd w:id="20"/>
    <w:bookmarkStart w:id="21" w:name="negocio-y-tecnología"/>
    <w:p>
      <w:pPr>
        <w:pStyle w:val="Heading2"/>
      </w:pPr>
      <w:r>
        <w:t xml:space="preserve">2. Negocio y tecnología</w:t>
      </w:r>
    </w:p>
    <w:p>
      <w:pPr>
        <w:pStyle w:val="FirstParagraph"/>
      </w:pPr>
      <w:r>
        <w:t xml:space="preserve">Corcept (Redwood City, California, 1998) lleva 25 años trabajando en una sola idea: bloquear el efecto del cortisol. Tiene más de 1.000 moléculas propias que se unen al receptor de glucocorticoides sin tocar los de progesterona, estrógenos o andrógenos [3].</w:t>
      </w:r>
    </w:p>
    <w:p>
      <w:pPr>
        <w:numPr>
          <w:ilvl w:val="0"/>
          <w:numId w:val="1002"/>
        </w:numPr>
      </w:pPr>
      <w:r>
        <w:rPr>
          <w:bCs/>
          <w:b/>
        </w:rPr>
        <w:t xml:space="preserve">Cushing (hipercortisolismo), 81 % de las ventas del 2T26</w:t>
      </w:r>
      <w:r>
        <w:t xml:space="preserve">: Korlym, aprobado en 2012, y desde 2024 su genérico autorizado (más barato, para competir con el genérico de Teva). Se vende en EE. UU. y se dispensa a través de</w:t>
      </w:r>
      <w:r>
        <w:t xml:space="preserve"> </w:t>
      </w:r>
      <w:r>
        <w:rPr>
          <w:bCs/>
          <w:b/>
        </w:rPr>
        <w:t xml:space="preserve">una sola farmacia especializada</w:t>
      </w:r>
      <w:r>
        <w:t xml:space="preserve"> </w:t>
      </w:r>
      <w:r>
        <w:t xml:space="preserve">(Curant desde finales de 2025; antes Optime, que no daba abasto) [2]. Los estudios CATALYST y MOMENTUM dicen que el hipercortisolismo está detrás de muchas diabetes e hipertensiones difíciles de controlar: si los médicos criban más, el mercado crece [1].</w:t>
      </w:r>
    </w:p>
    <w:p>
      <w:pPr>
        <w:numPr>
          <w:ilvl w:val="0"/>
          <w:numId w:val="1002"/>
        </w:numPr>
      </w:pPr>
      <w:r>
        <w:rPr>
          <w:bCs/>
          <w:b/>
        </w:rPr>
        <w:t xml:space="preserve">Oncología, 19 % del 2T26</w:t>
      </w:r>
      <w:r>
        <w:t xml:space="preserve">: Lifyorli más nab-paclitaxel en cáncer de ovario resistente al platino, aprobado el 25-mar-2026 (tres meses antes de su fecha), preferente en las guías NCCN desde abril; ROSELLA redujo el riesgo de muerte un 35 % sin necesidad de biomarcador [5]. Más de 1.300 pacientes en el primer trimestre. Opinión positiva del CHMP europeo el 17-sep [11].</w:t>
      </w:r>
    </w:p>
    <w:p>
      <w:pPr>
        <w:numPr>
          <w:ilvl w:val="0"/>
          <w:numId w:val="1002"/>
        </w:numPr>
      </w:pPr>
      <w:r>
        <w:rPr>
          <w:bCs/>
          <w:b/>
        </w:rPr>
        <w:t xml:space="preserve">Cartera</w:t>
      </w:r>
      <w:r>
        <w:t xml:space="preserve">: relacorilant en Cushing (decisión de la FDA el 17-dic-2026), en ovario sensible al platino, endometrio, cérvix y páncreas (resultados a finales de 2027); nenocorilant con inmunoterapia; miricorilant en MASH (fase 2b, resultados antes de fin de año); dazucorilant en ELA (fase 3 desde principios de 2027) [1].</w:t>
      </w:r>
    </w:p>
    <w:p>
      <w:pPr>
        <w:numPr>
          <w:ilvl w:val="0"/>
          <w:numId w:val="1002"/>
        </w:numPr>
      </w:pPr>
      <w:r>
        <w:rPr>
          <w:bCs/>
          <w:b/>
        </w:rPr>
        <w:t xml:space="preserve">Tecnología 4/5</w:t>
      </w:r>
      <w:r>
        <w:t xml:space="preserve">: plataforma propia de moduladores selectivos sin equivalente en el mercado (patentes de cáncer hasta 2042 [3]). No es un 5 porque Korlym es una molécula antigua (mifepristona) sin patente de composición.</w:t>
      </w:r>
    </w:p>
    <w:p>
      <w:pPr>
        <w:numPr>
          <w:ilvl w:val="0"/>
          <w:numId w:val="1002"/>
        </w:numPr>
      </w:pPr>
      <w:r>
        <w:rPr>
          <w:bCs/>
          <w:b/>
        </w:rPr>
        <w:t xml:space="preserve">Posición 4/5</w:t>
      </w:r>
      <w:r>
        <w:t xml:space="preserve">: líder del tratamiento médico de Cushing en EE. UU. y nuevo estándar en ovario resistente; rivales Isturisa (Recordati), Recorlev (Xeris) y Elahere (AbbVie, solo tumores FRα altos) [17, de memoria].</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Trimestre</w:t>
            </w:r>
          </w:p>
        </w:tc>
        <w:tc>
          <w:tcPr/>
          <w:p>
            <w:pPr>
              <w:pStyle w:val="Compact"/>
              <w:jc w:val="left"/>
            </w:pPr>
            <w:r>
              <w:t xml:space="preserve">Ingresos (M USD)</w:t>
            </w:r>
          </w:p>
        </w:tc>
        <w:tc>
          <w:tcPr/>
          <w:p>
            <w:pPr>
              <w:pStyle w:val="Compact"/>
              <w:jc w:val="left"/>
            </w:pPr>
            <w:r>
              <w:t xml:space="preserve">Crec. interanual</w:t>
            </w:r>
          </w:p>
        </w:tc>
        <w:tc>
          <w:tcPr/>
          <w:p>
            <w:pPr>
              <w:pStyle w:val="Compact"/>
              <w:jc w:val="left"/>
            </w:pPr>
            <w:r>
              <w:t xml:space="preserve">Korlym y genérico</w:t>
            </w:r>
          </w:p>
        </w:tc>
        <w:tc>
          <w:tcPr/>
          <w:p>
            <w:pPr>
              <w:pStyle w:val="Compact"/>
              <w:jc w:val="left"/>
            </w:pPr>
            <w:r>
              <w:t xml:space="preserve">Lifyorli</w:t>
            </w:r>
          </w:p>
        </w:tc>
      </w:tr>
      <w:tr>
        <w:tc>
          <w:tcPr/>
          <w:p>
            <w:pPr>
              <w:pStyle w:val="Compact"/>
              <w:jc w:val="left"/>
            </w:pPr>
            <w:r>
              <w:t xml:space="preserve">3T24</w:t>
            </w:r>
          </w:p>
        </w:tc>
        <w:tc>
          <w:tcPr/>
          <w:p>
            <w:pPr>
              <w:pStyle w:val="Compact"/>
              <w:jc w:val="left"/>
            </w:pPr>
            <w:r>
              <w:t xml:space="preserve">182,5</w:t>
            </w:r>
          </w:p>
        </w:tc>
        <w:tc>
          <w:tcPr/>
          <w:p>
            <w:pPr>
              <w:pStyle w:val="Compact"/>
              <w:jc w:val="left"/>
            </w:pPr>
            <w:r>
              <w:t xml:space="preserve">47,7 %</w:t>
            </w:r>
          </w:p>
        </w:tc>
        <w:tc>
          <w:tcPr/>
          <w:p>
            <w:pPr>
              <w:pStyle w:val="Compact"/>
              <w:jc w:val="left"/>
            </w:pPr>
            <w:r>
              <w:t xml:space="preserve">182,5</w:t>
            </w:r>
          </w:p>
        </w:tc>
        <w:tc>
          <w:tcPr/>
          <w:p>
            <w:pPr>
              <w:pStyle w:val="Compact"/>
              <w:jc w:val="left"/>
            </w:pPr>
            <w:r>
              <w:t xml:space="preserve">—</w:t>
            </w:r>
          </w:p>
        </w:tc>
      </w:tr>
      <w:tr>
        <w:tc>
          <w:tcPr/>
          <w:p>
            <w:pPr>
              <w:pStyle w:val="Compact"/>
              <w:jc w:val="left"/>
            </w:pPr>
            <w:r>
              <w:t xml:space="preserve">4T24</w:t>
            </w:r>
          </w:p>
        </w:tc>
        <w:tc>
          <w:tcPr/>
          <w:p>
            <w:pPr>
              <w:pStyle w:val="Compact"/>
              <w:jc w:val="left"/>
            </w:pPr>
            <w:r>
              <w:t xml:space="preserve">181,9</w:t>
            </w:r>
          </w:p>
        </w:tc>
        <w:tc>
          <w:tcPr/>
          <w:p>
            <w:pPr>
              <w:pStyle w:val="Compact"/>
              <w:jc w:val="left"/>
            </w:pPr>
            <w:r>
              <w:t xml:space="preserve">34,3 %</w:t>
            </w:r>
          </w:p>
        </w:tc>
        <w:tc>
          <w:tcPr/>
          <w:p>
            <w:pPr>
              <w:pStyle w:val="Compact"/>
              <w:jc w:val="left"/>
            </w:pPr>
            <w:r>
              <w:t xml:space="preserve">181,9</w:t>
            </w:r>
          </w:p>
        </w:tc>
        <w:tc>
          <w:tcPr/>
          <w:p>
            <w:pPr>
              <w:pStyle w:val="Compact"/>
              <w:jc w:val="left"/>
            </w:pPr>
            <w:r>
              <w:t xml:space="preserve">—</w:t>
            </w:r>
          </w:p>
        </w:tc>
      </w:tr>
      <w:tr>
        <w:tc>
          <w:tcPr/>
          <w:p>
            <w:pPr>
              <w:pStyle w:val="Compact"/>
              <w:jc w:val="left"/>
            </w:pPr>
            <w:r>
              <w:t xml:space="preserve">1T25</w:t>
            </w:r>
          </w:p>
        </w:tc>
        <w:tc>
          <w:tcPr/>
          <w:p>
            <w:pPr>
              <w:pStyle w:val="Compact"/>
              <w:jc w:val="left"/>
            </w:pPr>
            <w:r>
              <w:t xml:space="preserve">157,2</w:t>
            </w:r>
          </w:p>
        </w:tc>
        <w:tc>
          <w:tcPr/>
          <w:p>
            <w:pPr>
              <w:pStyle w:val="Compact"/>
              <w:jc w:val="left"/>
            </w:pPr>
            <w:r>
              <w:t xml:space="preserve">7,1 %</w:t>
            </w:r>
          </w:p>
        </w:tc>
        <w:tc>
          <w:tcPr/>
          <w:p>
            <w:pPr>
              <w:pStyle w:val="Compact"/>
              <w:jc w:val="left"/>
            </w:pPr>
            <w:r>
              <w:t xml:space="preserve">157,2</w:t>
            </w:r>
          </w:p>
        </w:tc>
        <w:tc>
          <w:tcPr/>
          <w:p>
            <w:pPr>
              <w:pStyle w:val="Compact"/>
              <w:jc w:val="left"/>
            </w:pPr>
            <w:r>
              <w:t xml:space="preserve">—</w:t>
            </w:r>
          </w:p>
        </w:tc>
      </w:tr>
      <w:tr>
        <w:tc>
          <w:tcPr/>
          <w:p>
            <w:pPr>
              <w:pStyle w:val="Compact"/>
              <w:jc w:val="left"/>
            </w:pPr>
            <w:r>
              <w:t xml:space="preserve">2T25</w:t>
            </w:r>
          </w:p>
        </w:tc>
        <w:tc>
          <w:tcPr/>
          <w:p>
            <w:pPr>
              <w:pStyle w:val="Compact"/>
              <w:jc w:val="left"/>
            </w:pPr>
            <w:r>
              <w:t xml:space="preserve">194,4</w:t>
            </w:r>
          </w:p>
        </w:tc>
        <w:tc>
          <w:tcPr/>
          <w:p>
            <w:pPr>
              <w:pStyle w:val="Compact"/>
              <w:jc w:val="left"/>
            </w:pPr>
            <w:r>
              <w:t xml:space="preserve">18,7 %</w:t>
            </w:r>
          </w:p>
        </w:tc>
        <w:tc>
          <w:tcPr/>
          <w:p>
            <w:pPr>
              <w:pStyle w:val="Compact"/>
              <w:jc w:val="left"/>
            </w:pPr>
            <w:r>
              <w:t xml:space="preserve">194,4</w:t>
            </w:r>
          </w:p>
        </w:tc>
        <w:tc>
          <w:tcPr/>
          <w:p>
            <w:pPr>
              <w:pStyle w:val="Compact"/>
              <w:jc w:val="left"/>
            </w:pPr>
            <w:r>
              <w:t xml:space="preserve">—</w:t>
            </w:r>
          </w:p>
        </w:tc>
      </w:tr>
      <w:tr>
        <w:tc>
          <w:tcPr/>
          <w:p>
            <w:pPr>
              <w:pStyle w:val="Compact"/>
              <w:jc w:val="left"/>
            </w:pPr>
            <w:r>
              <w:t xml:space="preserve">3T25</w:t>
            </w:r>
          </w:p>
        </w:tc>
        <w:tc>
          <w:tcPr/>
          <w:p>
            <w:pPr>
              <w:pStyle w:val="Compact"/>
              <w:jc w:val="left"/>
            </w:pPr>
            <w:r>
              <w:t xml:space="preserve">207,6</w:t>
            </w:r>
          </w:p>
        </w:tc>
        <w:tc>
          <w:tcPr/>
          <w:p>
            <w:pPr>
              <w:pStyle w:val="Compact"/>
              <w:jc w:val="left"/>
            </w:pPr>
            <w:r>
              <w:t xml:space="preserve">13,7 %</w:t>
            </w:r>
          </w:p>
        </w:tc>
        <w:tc>
          <w:tcPr/>
          <w:p>
            <w:pPr>
              <w:pStyle w:val="Compact"/>
              <w:jc w:val="left"/>
            </w:pPr>
            <w:r>
              <w:t xml:space="preserve">207,6</w:t>
            </w:r>
          </w:p>
        </w:tc>
        <w:tc>
          <w:tcPr/>
          <w:p>
            <w:pPr>
              <w:pStyle w:val="Compact"/>
              <w:jc w:val="left"/>
            </w:pPr>
            <w:r>
              <w:t xml:space="preserve">—</w:t>
            </w:r>
          </w:p>
        </w:tc>
      </w:tr>
      <w:tr>
        <w:tc>
          <w:tcPr/>
          <w:p>
            <w:pPr>
              <w:pStyle w:val="Compact"/>
              <w:jc w:val="left"/>
            </w:pPr>
            <w:r>
              <w:t xml:space="preserve">4T25</w:t>
            </w:r>
          </w:p>
        </w:tc>
        <w:tc>
          <w:tcPr/>
          <w:p>
            <w:pPr>
              <w:pStyle w:val="Compact"/>
              <w:jc w:val="left"/>
            </w:pPr>
            <w:r>
              <w:t xml:space="preserve">202,1</w:t>
            </w:r>
          </w:p>
        </w:tc>
        <w:tc>
          <w:tcPr/>
          <w:p>
            <w:pPr>
              <w:pStyle w:val="Compact"/>
              <w:jc w:val="left"/>
            </w:pPr>
            <w:r>
              <w:t xml:space="preserve">11,1 %</w:t>
            </w:r>
          </w:p>
        </w:tc>
        <w:tc>
          <w:tcPr/>
          <w:p>
            <w:pPr>
              <w:pStyle w:val="Compact"/>
              <w:jc w:val="left"/>
            </w:pPr>
            <w:r>
              <w:t xml:space="preserve">202,1</w:t>
            </w:r>
          </w:p>
        </w:tc>
        <w:tc>
          <w:tcPr/>
          <w:p>
            <w:pPr>
              <w:pStyle w:val="Compact"/>
              <w:jc w:val="left"/>
            </w:pPr>
            <w:r>
              <w:t xml:space="preserve">—</w:t>
            </w:r>
          </w:p>
        </w:tc>
      </w:tr>
      <w:tr>
        <w:tc>
          <w:tcPr/>
          <w:p>
            <w:pPr>
              <w:pStyle w:val="Compact"/>
              <w:jc w:val="left"/>
            </w:pPr>
            <w:r>
              <w:t xml:space="preserve">1T26</w:t>
            </w:r>
          </w:p>
        </w:tc>
        <w:tc>
          <w:tcPr/>
          <w:p>
            <w:pPr>
              <w:pStyle w:val="Compact"/>
              <w:jc w:val="left"/>
            </w:pPr>
            <w:r>
              <w:t xml:space="preserve">164,9</w:t>
            </w:r>
          </w:p>
        </w:tc>
        <w:tc>
          <w:tcPr/>
          <w:p>
            <w:pPr>
              <w:pStyle w:val="Compact"/>
              <w:jc w:val="left"/>
            </w:pPr>
            <w:r>
              <w:t xml:space="preserve">4,9 %</w:t>
            </w:r>
          </w:p>
        </w:tc>
        <w:tc>
          <w:tcPr/>
          <w:p>
            <w:pPr>
              <w:pStyle w:val="Compact"/>
              <w:jc w:val="left"/>
            </w:pPr>
            <w:r>
              <w:t xml:space="preserve">164,9</w:t>
            </w:r>
          </w:p>
        </w:tc>
        <w:tc>
          <w:tcPr/>
          <w:p>
            <w:pPr>
              <w:pStyle w:val="Compact"/>
              <w:jc w:val="left"/>
            </w:pPr>
            <w:r>
              <w:t xml:space="preserve">—</w:t>
            </w:r>
          </w:p>
        </w:tc>
      </w:tr>
      <w:tr>
        <w:tc>
          <w:tcPr/>
          <w:p>
            <w:pPr>
              <w:pStyle w:val="Compact"/>
              <w:jc w:val="left"/>
            </w:pPr>
            <w:r>
              <w:t xml:space="preserve">2T26</w:t>
            </w:r>
          </w:p>
        </w:tc>
        <w:tc>
          <w:tcPr/>
          <w:p>
            <w:pPr>
              <w:pStyle w:val="Compact"/>
              <w:jc w:val="left"/>
            </w:pPr>
            <w:r>
              <w:t xml:space="preserve">256,1</w:t>
            </w:r>
          </w:p>
        </w:tc>
        <w:tc>
          <w:tcPr/>
          <w:p>
            <w:pPr>
              <w:pStyle w:val="Compact"/>
              <w:jc w:val="left"/>
            </w:pPr>
            <w:r>
              <w:t xml:space="preserve">31,7 %</w:t>
            </w:r>
          </w:p>
        </w:tc>
        <w:tc>
          <w:tcPr/>
          <w:p>
            <w:pPr>
              <w:pStyle w:val="Compact"/>
              <w:jc w:val="left"/>
            </w:pPr>
            <w:r>
              <w:t xml:space="preserve">208,6</w:t>
            </w:r>
          </w:p>
        </w:tc>
        <w:tc>
          <w:tcPr/>
          <w:p>
            <w:pPr>
              <w:pStyle w:val="Compact"/>
              <w:jc w:val="left"/>
            </w:pPr>
            <w:r>
              <w:t xml:space="preserve">47,6</w:t>
            </w:r>
          </w:p>
        </w:tc>
      </w:tr>
    </w:tbl>
    <w:p>
      <w:pPr>
        <w:pStyle w:val="BodyText"/>
      </w:pPr>
      <w:r>
        <w:t xml:space="preserve">Fuentes: [1][4][13].</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Ejercicio</w:t>
            </w:r>
          </w:p>
        </w:tc>
        <w:tc>
          <w:tcPr/>
          <w:p>
            <w:pPr>
              <w:pStyle w:val="Compact"/>
              <w:jc w:val="left"/>
            </w:pPr>
            <w:r>
              <w:t xml:space="preserve">Ingresos (M USD)</w:t>
            </w:r>
          </w:p>
        </w:tc>
        <w:tc>
          <w:tcPr/>
          <w:p>
            <w:pPr>
              <w:pStyle w:val="Compact"/>
              <w:jc w:val="left"/>
            </w:pPr>
            <w:r>
              <w:t xml:space="preserve">Crec.</w:t>
            </w:r>
          </w:p>
        </w:tc>
        <w:tc>
          <w:tcPr/>
          <w:p>
            <w:pPr>
              <w:pStyle w:val="Compact"/>
              <w:jc w:val="left"/>
            </w:pPr>
            <w:r>
              <w:t xml:space="preserve">Primera guía</w:t>
            </w:r>
          </w:p>
        </w:tc>
        <w:tc>
          <w:tcPr/>
          <w:p>
            <w:pPr>
              <w:pStyle w:val="Compact"/>
              <w:jc w:val="left"/>
            </w:pPr>
            <w:r>
              <w:t xml:space="preserve">Guía final</w:t>
            </w:r>
          </w:p>
        </w:tc>
      </w:tr>
      <w:tr>
        <w:tc>
          <w:tcPr/>
          <w:p>
            <w:pPr>
              <w:pStyle w:val="Compact"/>
              <w:jc w:val="left"/>
            </w:pPr>
            <w:r>
              <w:t xml:space="preserve">2023</w:t>
            </w:r>
          </w:p>
        </w:tc>
        <w:tc>
          <w:tcPr/>
          <w:p>
            <w:pPr>
              <w:pStyle w:val="Compact"/>
              <w:jc w:val="left"/>
            </w:pPr>
            <w:r>
              <w:t xml:space="preserve">482,4</w:t>
            </w:r>
          </w:p>
        </w:tc>
        <w:tc>
          <w:tcPr/>
          <w:p>
            <w:pPr>
              <w:pStyle w:val="Compact"/>
              <w:jc w:val="left"/>
            </w:pPr>
            <w:r>
              <w:t xml:space="preserve">20 %</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675,0</w:t>
            </w:r>
          </w:p>
        </w:tc>
        <w:tc>
          <w:tcPr/>
          <w:p>
            <w:pPr>
              <w:pStyle w:val="Compact"/>
              <w:jc w:val="left"/>
            </w:pPr>
            <w:r>
              <w:t xml:space="preserve">40 %</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761,4</w:t>
            </w:r>
          </w:p>
        </w:tc>
        <w:tc>
          <w:tcPr/>
          <w:p>
            <w:pPr>
              <w:pStyle w:val="Compact"/>
              <w:jc w:val="left"/>
            </w:pPr>
            <w:r>
              <w:t xml:space="preserve">12,8 %</w:t>
            </w:r>
          </w:p>
        </w:tc>
        <w:tc>
          <w:tcPr/>
          <w:p>
            <w:pPr>
              <w:pStyle w:val="Compact"/>
              <w:jc w:val="left"/>
            </w:pPr>
            <w:r>
              <w:t xml:space="preserve">900-950</w:t>
            </w:r>
          </w:p>
        </w:tc>
        <w:tc>
          <w:tcPr/>
          <w:p>
            <w:pPr>
              <w:pStyle w:val="Compact"/>
              <w:jc w:val="left"/>
            </w:pPr>
            <w:r>
              <w:t xml:space="preserve">800-850 (recortada dos veces)</w:t>
            </w:r>
          </w:p>
        </w:tc>
      </w:tr>
      <w:tr>
        <w:tc>
          <w:tcPr/>
          <w:p>
            <w:pPr>
              <w:pStyle w:val="Compact"/>
              <w:jc w:val="left"/>
            </w:pPr>
            <w:r>
              <w:t xml:space="preserve">2026 (guía)</w:t>
            </w:r>
          </w:p>
        </w:tc>
        <w:tc>
          <w:tcPr/>
          <w:p>
            <w:pPr>
              <w:pStyle w:val="Compact"/>
              <w:jc w:val="left"/>
            </w:pPr>
            <w:r>
              <w:t xml:space="preserve">1.100-1.200</w:t>
            </w:r>
          </w:p>
        </w:tc>
        <w:tc>
          <w:tcPr/>
          <w:p>
            <w:pPr>
              <w:pStyle w:val="Compact"/>
              <w:jc w:val="left"/>
            </w:pPr>
            <w:r>
              <w:t xml:space="preserve">51 %</w:t>
            </w:r>
          </w:p>
        </w:tc>
        <w:tc>
          <w:tcPr/>
          <w:p>
            <w:pPr>
              <w:pStyle w:val="Compact"/>
              <w:jc w:val="left"/>
            </w:pPr>
            <w:r>
              <w:t xml:space="preserve">900-1.000</w:t>
            </w:r>
          </w:p>
        </w:tc>
        <w:tc>
          <w:tcPr/>
          <w:p>
            <w:pPr>
              <w:pStyle w:val="Compact"/>
              <w:jc w:val="left"/>
            </w:pPr>
            <w:r>
              <w:t xml:space="preserve">subida dos veces</w:t>
            </w:r>
          </w:p>
        </w:tc>
      </w:tr>
    </w:tbl>
    <w:p>
      <w:pPr>
        <w:numPr>
          <w:ilvl w:val="0"/>
          <w:numId w:val="1003"/>
        </w:numPr>
        <w:pStyle w:val="Compact"/>
      </w:pPr>
      <w:r>
        <w:rPr>
          <w:bCs/>
          <w:b/>
        </w:rPr>
        <w:t xml:space="preserve">Ventas de 12 meses</w:t>
      </w:r>
      <w:r>
        <w:t xml:space="preserve">:</w:t>
      </w:r>
      <w:r>
        <w:t xml:space="preserve"> </w:t>
      </w:r>
      <w:r>
        <w:rPr>
          <w:bCs/>
          <w:b/>
        </w:rPr>
        <w:t xml:space="preserve">830,8 M USD, +16,0 %</w:t>
      </w:r>
      <w:r>
        <w:t xml:space="preserve">.</w:t>
      </w:r>
      <w:r>
        <w:t xml:space="preserve"> </w:t>
      </w:r>
      <w:r>
        <w:rPr>
          <w:bCs/>
          <w:b/>
        </w:rPr>
        <w:t xml:space="preserve">CAGR propio a 2 años: 20,8 %</w:t>
      </w:r>
      <w:r>
        <w:t xml:space="preserve">.</w:t>
      </w:r>
      <w:r>
        <w:t xml:space="preserve"> </w:t>
      </w:r>
      <w:r>
        <w:rPr>
          <w:bCs/>
          <w:b/>
        </w:rPr>
        <w:t xml:space="preserve">Aceleración: +19,6 puntos</w:t>
      </w:r>
      <w:r>
        <w:t xml:space="preserve">, casi toda de Lifyorli; Korlym solo creció un 7 % en el 2T26 [1].</w:t>
      </w:r>
    </w:p>
    <w:p>
      <w:pPr>
        <w:numPr>
          <w:ilvl w:val="0"/>
          <w:numId w:val="1003"/>
        </w:numPr>
        <w:pStyle w:val="Compact"/>
      </w:pPr>
      <w:r>
        <w:rPr>
          <w:bCs/>
          <w:b/>
        </w:rPr>
        <w:t xml:space="preserve">Por qué 2025 fue flojo</w:t>
      </w:r>
      <w:r>
        <w:t xml:space="preserve">: la farmacia especializada no daba abasto y el cambio a Curant paró ventas en el 4T25 y el 1T26 [3]. Ya está resuelto.</w:t>
      </w:r>
    </w:p>
    <w:p>
      <w:pPr>
        <w:numPr>
          <w:ilvl w:val="0"/>
          <w:numId w:val="1003"/>
        </w:numPr>
        <w:pStyle w:val="Compact"/>
      </w:pPr>
      <w:r>
        <w:rPr>
          <w:bCs/>
          <w:b/>
        </w:rPr>
        <w:t xml:space="preserve">Guía (para v9)</w:t>
      </w:r>
      <w:r>
        <w:t xml:space="preserve">:</w:t>
      </w:r>
      <w:r>
        <w:t xml:space="preserve"> </w:t>
      </w:r>
      <w:r>
        <w:rPr>
          <w:rStyle w:val="VerbatimChar"/>
        </w:rPr>
        <w:t xml:space="preserve">guia_12m_pct</w:t>
      </w:r>
      <w:r>
        <w:t xml:space="preserve"> </w:t>
      </w:r>
      <w:r>
        <w:t xml:space="preserve">= 77,9 % (2S26 implícito: 1.150 − 421 = 729 M frente a 410 M del 2S25) y</w:t>
      </w:r>
      <w:r>
        <w:t xml:space="preserve"> </w:t>
      </w:r>
      <w:r>
        <w:rPr>
          <w:rStyle w:val="VerbatimChar"/>
        </w:rPr>
        <w:t xml:space="preserve">exceso_guia_pp</w:t>
      </w:r>
      <w:r>
        <w:t xml:space="preserve"> </w:t>
      </w:r>
      <w:r>
        <w:t xml:space="preserve">= −24,2 puntos (2025: creció 12,8 % cuando la primera guía decía 37 %). Partida v9 = 53,7 %, por encima de la mecánica (22,3 %): no recorta.</w:t>
      </w:r>
    </w:p>
    <w:bookmarkEnd w:id="22"/>
    <w:bookmarkStart w:id="23" w:name="mercado-y-competencia"/>
    <w:p>
      <w:pPr>
        <w:pStyle w:val="Heading2"/>
      </w:pPr>
      <w:r>
        <w:t xml:space="preserve">4. Mercado y competencia</w:t>
      </w:r>
    </w:p>
    <w:p>
      <w:pPr>
        <w:numPr>
          <w:ilvl w:val="0"/>
          <w:numId w:val="1004"/>
        </w:numPr>
        <w:pStyle w:val="Compact"/>
      </w:pPr>
      <w:r>
        <w:rPr>
          <w:bCs/>
          <w:b/>
        </w:rPr>
        <w:t xml:space="preserve">Mercado alcanzable en el ejercicio objetivo: ~4.500 M USD</w:t>
      </w:r>
      <w:r>
        <w:t xml:space="preserve"> </w:t>
      </w:r>
      <w:r>
        <w:t xml:space="preserve">(estimación propia): tratamiento médico del hipercortisolismo en EE. UU. ~2.500 M y cáncer de ovario resistente al platino en EE. UU. y Europa ~2.000 M. Penetración 18 %.</w:t>
      </w:r>
    </w:p>
    <w:p>
      <w:pPr>
        <w:numPr>
          <w:ilvl w:val="0"/>
          <w:numId w:val="1004"/>
        </w:numPr>
        <w:pStyle w:val="Compact"/>
      </w:pPr>
      <w:r>
        <w:rPr>
          <w:bCs/>
          <w:b/>
        </w:rPr>
        <w:t xml:space="preserve">Cushing</w:t>
      </w:r>
      <w:r>
        <w:t xml:space="preserve">: Korlym compite con Isturisa y Recorlev (que bajan el cortisol, no lo bloquean) y con los genéricos de mifepristona: el de Teva desde enero de 2024, y Sun y Hikma tienen acuerdos que les dejan vender mientras siga el de Teva [2]. Corcept perdió en febrero la apelación de patentes contra Teva [5]. Relacorilant evitaría los efectos de la mifepristona (interrupción del embarazo, potasio bajo, sangrado) y tendría patentes propias.</w:t>
      </w:r>
    </w:p>
    <w:p>
      <w:pPr>
        <w:numPr>
          <w:ilvl w:val="0"/>
          <w:numId w:val="1004"/>
        </w:numPr>
        <w:pStyle w:val="Compact"/>
      </w:pPr>
      <w:r>
        <w:rPr>
          <w:bCs/>
          <w:b/>
        </w:rPr>
        <w:t xml:space="preserve">Ovario resistente</w:t>
      </w:r>
      <w:r>
        <w:t xml:space="preserve">: hasta ahora quimioterapia sola (supervivencia de ~12 meses); Lifyorli añade 4,1 meses sin biomarcador y sin más toxicidad [5]. Elahere solo vale para tumores FRα altos (~35 %).</w:t>
      </w:r>
    </w:p>
    <w:p>
      <w:pPr>
        <w:numPr>
          <w:ilvl w:val="0"/>
          <w:numId w:val="1004"/>
        </w:numPr>
        <w:pStyle w:val="Compact"/>
      </w:pPr>
      <w:r>
        <w:rPr>
          <w:bCs/>
          <w:b/>
        </w:rPr>
        <w:t xml:space="preserve">Riesgo de la IA</w:t>
      </w:r>
      <w:r>
        <w:t xml:space="preserve">: bajo. Es una farmacéutica con moléculas patentadas y ensayos clínicos; la IA puede acelerar a rivales en el descubrimiento de fármacos a largo plazo, pero no amenaza las ventas de los próximos años.</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 Revisiones al alza</w:t>
            </w:r>
          </w:p>
        </w:tc>
        <w:tc>
          <w:tcPr/>
          <w:p>
            <w:pPr>
              <w:pStyle w:val="Compact"/>
              <w:jc w:val="left"/>
            </w:pPr>
            <w:r>
              <w:t xml:space="preserve">Sí</w:t>
            </w:r>
          </w:p>
        </w:tc>
        <w:tc>
          <w:tcPr/>
          <w:p>
            <w:pPr>
              <w:pStyle w:val="Compact"/>
              <w:jc w:val="left"/>
            </w:pPr>
            <w:r>
              <w:t xml:space="preserve">Guía 2026 subida el 29-jul de 950-1.050 a 1.100-1.200 M; consenso 2026 en 1.150 M; precios objetivo de 161-165 USD en ago-oct (Truist, Canaccord, H.C. Wainwright, Piper)</w:t>
            </w:r>
          </w:p>
        </w:tc>
        <w:tc>
          <w:tcPr/>
          <w:p>
            <w:pPr>
              <w:pStyle w:val="Compact"/>
              <w:jc w:val="left"/>
            </w:pPr>
            <w:r>
              <w:t xml:space="preserve">[1][9]</w:t>
            </w:r>
          </w:p>
        </w:tc>
      </w:tr>
      <w:tr>
        <w:tc>
          <w:tcPr/>
          <w:p>
            <w:pPr>
              <w:pStyle w:val="Compact"/>
              <w:jc w:val="left"/>
            </w:pPr>
            <w:r>
              <w:t xml:space="preserve">2. Precio sobre la media de 200 sesiones</w:t>
            </w:r>
          </w:p>
        </w:tc>
        <w:tc>
          <w:tcPr/>
          <w:p>
            <w:pPr>
              <w:pStyle w:val="Compact"/>
              <w:jc w:val="left"/>
            </w:pPr>
            <w:r>
              <w:t xml:space="preserve">Sí</w:t>
            </w:r>
          </w:p>
        </w:tc>
        <w:tc>
          <w:tcPr/>
          <w:p>
            <w:pPr>
              <w:pStyle w:val="Compact"/>
              <w:jc w:val="left"/>
            </w:pPr>
            <w:r>
              <w:t xml:space="preserve">117,80 frente a 71,2, y la media sube (61,2 hace 60 sesiones)</w:t>
            </w:r>
          </w:p>
        </w:tc>
        <w:tc>
          <w:tcPr/>
          <w:p>
            <w:pPr>
              <w:pStyle w:val="Compact"/>
              <w:jc w:val="left"/>
            </w:pPr>
            <w:r>
              <w:t xml:space="preserve">[7]</w:t>
            </w:r>
          </w:p>
        </w:tc>
      </w:tr>
      <w:tr>
        <w:tc>
          <w:tcPr/>
          <w:p>
            <w:pPr>
              <w:pStyle w:val="Compact"/>
              <w:jc w:val="left"/>
            </w:pPr>
            <w:r>
              <w:t xml:space="preserve">3. Fuerza relativa a 6 meses</w:t>
            </w:r>
          </w:p>
        </w:tc>
        <w:tc>
          <w:tcPr/>
          <w:p>
            <w:pPr>
              <w:pStyle w:val="Compact"/>
              <w:jc w:val="left"/>
            </w:pPr>
            <w:r>
              <w:t xml:space="preserve">Sí</w:t>
            </w:r>
          </w:p>
        </w:tc>
        <w:tc>
          <w:tcPr/>
          <w:p>
            <w:pPr>
              <w:pStyle w:val="Compact"/>
              <w:jc w:val="left"/>
            </w:pPr>
            <w:r>
              <w:t xml:space="preserve">+172 % frente a +16 % del IBB y +20 % del Nasdaq-100</w:t>
            </w:r>
          </w:p>
        </w:tc>
        <w:tc>
          <w:tcPr/>
          <w:p>
            <w:pPr>
              <w:pStyle w:val="Compact"/>
              <w:jc w:val="left"/>
            </w:pPr>
            <w:r>
              <w:t xml:space="preserve">[7]</w:t>
            </w:r>
          </w:p>
        </w:tc>
      </w:tr>
      <w:tr>
        <w:tc>
          <w:tcPr/>
          <w:p>
            <w:pPr>
              <w:pStyle w:val="Compact"/>
              <w:jc w:val="left"/>
            </w:pPr>
            <w:r>
              <w:t xml:space="preserve">4. Mejora de múltiplo ≥ 20 %</w:t>
            </w:r>
          </w:p>
        </w:tc>
        <w:tc>
          <w:tcPr/>
          <w:p>
            <w:pPr>
              <w:pStyle w:val="Compact"/>
              <w:jc w:val="left"/>
            </w:pPr>
            <w:r>
              <w:t xml:space="preserve">Sí</w:t>
            </w:r>
          </w:p>
        </w:tc>
        <w:tc>
          <w:tcPr/>
          <w:p>
            <w:pPr>
              <w:pStyle w:val="Compact"/>
              <w:jc w:val="left"/>
            </w:pPr>
            <w:r>
              <w:t xml:space="preserve">EV/EBITDA NTM de ~7x (mar-2026) a 19,1x</w:t>
            </w:r>
          </w:p>
        </w:tc>
        <w:tc>
          <w:tcPr/>
          <w:p>
            <w:pPr>
              <w:pStyle w:val="Compact"/>
              <w:jc w:val="left"/>
            </w:pPr>
            <w:r>
              <w:t xml:space="preserve">[7][15]</w:t>
            </w:r>
          </w:p>
        </w:tc>
      </w:tr>
      <w:tr>
        <w:tc>
          <w:tcPr/>
          <w:p>
            <w:pPr>
              <w:pStyle w:val="Compact"/>
              <w:jc w:val="left"/>
            </w:pPr>
            <w:r>
              <w:t xml:space="preserve">5. Inflexión operativa</w:t>
            </w:r>
          </w:p>
        </w:tc>
        <w:tc>
          <w:tcPr/>
          <w:p>
            <w:pPr>
              <w:pStyle w:val="Compact"/>
              <w:jc w:val="left"/>
            </w:pPr>
            <w:r>
              <w:t xml:space="preserve">No</w:t>
            </w:r>
          </w:p>
        </w:tc>
        <w:tc>
          <w:tcPr/>
          <w:p>
            <w:pPr>
              <w:pStyle w:val="Compact"/>
              <w:jc w:val="left"/>
            </w:pPr>
            <w:r>
              <w:t xml:space="preserve">Margen de explotación del 2T26 16,1 % frente a 13,7 % un año antes (+2,4 puntos, menos de 5); el FCF baja. La guía implica un salto en el 2S26: el 3T lo dirá</w:t>
            </w:r>
          </w:p>
        </w:tc>
        <w:tc>
          <w:tcPr/>
          <w:p>
            <w:pPr>
              <w:pStyle w:val="Compact"/>
              <w:jc w:val="left"/>
            </w:pPr>
            <w:r>
              <w:t xml:space="preserve">[1]</w:t>
            </w:r>
          </w:p>
        </w:tc>
      </w:tr>
      <w:tr>
        <w:tc>
          <w:tcPr/>
          <w:p>
            <w:pPr>
              <w:pStyle w:val="Compact"/>
              <w:jc w:val="left"/>
            </w:pPr>
            <w:r>
              <w:t xml:space="preserve">6. Sentimiento mejorando</w:t>
            </w:r>
          </w:p>
        </w:tc>
        <w:tc>
          <w:tcPr/>
          <w:p>
            <w:pPr>
              <w:pStyle w:val="Compact"/>
              <w:jc w:val="left"/>
            </w:pPr>
            <w:r>
              <w:t xml:space="preserve">Sí</w:t>
            </w:r>
          </w:p>
        </w:tc>
        <w:tc>
          <w:tcPr/>
          <w:p>
            <w:pPr>
              <w:pStyle w:val="Compact"/>
              <w:jc w:val="left"/>
            </w:pPr>
            <w:r>
              <w:t xml:space="preserve">De la carta de rechazo (−50 % en un día) a la aprobación, el CHMP y el S&amp;P MidCap 400; StockTwits 13 alcistas y 0 bajistas</w:t>
            </w:r>
          </w:p>
        </w:tc>
        <w:tc>
          <w:tcPr/>
          <w:p>
            <w:pPr>
              <w:pStyle w:val="Compact"/>
              <w:jc w:val="left"/>
            </w:pPr>
            <w:r>
              <w:t xml:space="preserve">[11][12]</w:t>
            </w:r>
          </w:p>
        </w:tc>
      </w:tr>
      <w:tr>
        <w:tc>
          <w:tcPr/>
          <w:p>
            <w:pPr>
              <w:pStyle w:val="Compact"/>
              <w:jc w:val="left"/>
            </w:pPr>
            <w:r>
              <w:t xml:space="preserve">7. Compras de directivos o inversores de referencia</w:t>
            </w:r>
          </w:p>
        </w:tc>
        <w:tc>
          <w:tcPr/>
          <w:p>
            <w:pPr>
              <w:pStyle w:val="Compact"/>
              <w:jc w:val="left"/>
            </w:pPr>
            <w:r>
              <w:t xml:space="preserve">No</w:t>
            </w:r>
          </w:p>
        </w:tc>
        <w:tc>
          <w:tcPr/>
          <w:p>
            <w:pPr>
              <w:pStyle w:val="Compact"/>
              <w:jc w:val="left"/>
            </w:pPr>
            <w:r>
              <w:t xml:space="preserve">Una compra de un consejero (3,3 M a 33 USD, en marzo) frente a ~89 M de ventas de directivos desde entonces</w:t>
            </w:r>
          </w:p>
        </w:tc>
        <w:tc>
          <w:tcPr/>
          <w:p>
            <w:pPr>
              <w:pStyle w:val="Compact"/>
              <w:jc w:val="left"/>
            </w:pPr>
            <w:r>
              <w:t xml:space="preserve">[6]</w:t>
            </w:r>
          </w:p>
        </w:tc>
      </w:tr>
      <w:tr>
        <w:tc>
          <w:tcPr/>
          <w:p>
            <w:pPr>
              <w:pStyle w:val="Compact"/>
              <w:jc w:val="left"/>
            </w:pPr>
            <w:r>
              <w:t xml:space="preserve">8. Catalizador en 6 meses</w:t>
            </w:r>
          </w:p>
        </w:tc>
        <w:tc>
          <w:tcPr/>
          <w:p>
            <w:pPr>
              <w:pStyle w:val="Compact"/>
              <w:jc w:val="left"/>
            </w:pPr>
            <w:r>
              <w:t xml:space="preserve">Sí</w:t>
            </w:r>
          </w:p>
        </w:tc>
        <w:tc>
          <w:tcPr/>
          <w:p>
            <w:pPr>
              <w:pStyle w:val="Compact"/>
              <w:jc w:val="left"/>
            </w:pPr>
            <w:r>
              <w:t xml:space="preserve">3T a principios de noviembre, FDA el 17-dic, Comisión Europea en el 4T, BELLA y MONARCH antes de fin de año</w:t>
            </w:r>
          </w:p>
        </w:tc>
        <w:tc>
          <w:tcPr/>
          <w:p>
            <w:pPr>
              <w:pStyle w:val="Compact"/>
              <w:jc w:val="left"/>
            </w:pPr>
            <w:r>
              <w:t xml:space="preserve">[1][11]</w:t>
            </w:r>
          </w:p>
        </w:tc>
      </w:tr>
    </w:tbl>
    <w:p>
      <w:pPr>
        <w:pStyle w:val="BodyText"/>
      </w:pPr>
      <w:r>
        <w:rPr>
          <w:bCs/>
          <w:b/>
        </w:rPr>
        <w:t xml:space="preserve">Euforia: no</w:t>
      </w:r>
      <w:r>
        <w:t xml:space="preserve"> </w:t>
      </w:r>
      <w:r>
        <w:t xml:space="preserve">según la regla (sube un 65 % en 12 meses, lejos del 150 %, y el EV/beneficio bruto es de 8,9). En 6 meses sube un 172 %, pero la alerta de euforia a 6 meses de la candidata v13 (no vigente) tampoco saltaría: además de subir más del 100 % exige un EV/beneficio bruto &gt; 20, y aquí es 8,9.</w:t>
      </w:r>
    </w:p>
    <w:bookmarkEnd w:id="24"/>
    <w:bookmarkStart w:id="25" w:name="X6a3ced9ea5ed5bb9ac58f5e7c1bb09ad4718b77"/>
    <w:p>
      <w:pPr>
        <w:pStyle w:val="Heading2"/>
      </w:pPr>
      <w:r>
        <w:t xml:space="preserve">6. Economía unitaria y camino a la rentabilidad</w:t>
      </w:r>
    </w:p>
    <w:p>
      <w:pPr>
        <w:numPr>
          <w:ilvl w:val="0"/>
          <w:numId w:val="1005"/>
        </w:numPr>
        <w:pStyle w:val="Compact"/>
      </w:pPr>
      <w:r>
        <w:rPr>
          <w:bCs/>
          <w:b/>
        </w:rPr>
        <w:t xml:space="preserve">Margen bruto 98,3 %</w:t>
      </w:r>
      <w:r>
        <w:t xml:space="preserve">: fabricar una pastilla cuesta casi nada.</w:t>
      </w:r>
    </w:p>
    <w:p>
      <w:pPr>
        <w:numPr>
          <w:ilvl w:val="0"/>
          <w:numId w:val="1005"/>
        </w:numPr>
        <w:pStyle w:val="Compact"/>
      </w:pPr>
      <w:r>
        <w:rPr>
          <w:bCs/>
          <w:b/>
        </w:rPr>
        <w:t xml:space="preserve">FCF de 12 meses 106,9 M (12,9 %)</w:t>
      </w:r>
      <w:r>
        <w:t xml:space="preserve">, a la baja frente a 196 M en 2024, por el lanzamiento de Lifyorli y los ensayos (gastos de explotación de ~215 M por trimestre frente a ~160 M hace un año) [1][13].</w:t>
      </w:r>
    </w:p>
    <w:p>
      <w:pPr>
        <w:numPr>
          <w:ilvl w:val="0"/>
          <w:numId w:val="1005"/>
        </w:numPr>
        <w:pStyle w:val="Compact"/>
      </w:pPr>
      <w:r>
        <w:rPr>
          <w:bCs/>
          <w:b/>
        </w:rPr>
        <w:t xml:space="preserve">Regla del 40: 28,9</w:t>
      </w:r>
      <w:r>
        <w:t xml:space="preserve"> </w:t>
      </w:r>
      <w:r>
        <w:t xml:space="preserve">(16 + 12,9), floja hoy; con la guía del 2S26 el margen de explotación pasaría a ~35-40 %.</w:t>
      </w:r>
    </w:p>
    <w:p>
      <w:pPr>
        <w:numPr>
          <w:ilvl w:val="0"/>
          <w:numId w:val="1005"/>
        </w:numPr>
        <w:pStyle w:val="Compact"/>
      </w:pPr>
      <w:r>
        <w:rPr>
          <w:bCs/>
          <w:b/>
        </w:rPr>
        <w:t xml:space="preserve">Camino</w:t>
      </w:r>
      <w:r>
        <w:t xml:space="preserve">: ya es rentable (beneficio neto positivo cada año desde 2012; 43 M en el 2T26). El apalancamiento operativo es enorme si Lifyorli cumple: cada dólar de venta nueva deja ~98 céntimos de beneficio bruto.</w:t>
      </w:r>
    </w:p>
    <w:bookmarkEnd w:id="25"/>
    <w:bookmarkStart w:id="26" w:name="caja-deuda-y-dilución"/>
    <w:p>
      <w:pPr>
        <w:pStyle w:val="Heading2"/>
      </w:pPr>
      <w:r>
        <w:t xml:space="preserve">7. Caja, deuda y dilución</w:t>
      </w:r>
    </w:p>
    <w:p>
      <w:pPr>
        <w:numPr>
          <w:ilvl w:val="0"/>
          <w:numId w:val="1006"/>
        </w:numPr>
        <w:pStyle w:val="Compact"/>
      </w:pPr>
      <w:r>
        <w:rPr>
          <w:bCs/>
          <w:b/>
        </w:rPr>
        <w:t xml:space="preserve">Caja e inversiones 544,6 M, sin deuda</w:t>
      </w:r>
      <w:r>
        <w:t xml:space="preserve"> </w:t>
      </w:r>
      <w:r>
        <w:t xml:space="preserve">[1]. Pista: FCF positivo.</w:t>
      </w:r>
    </w:p>
    <w:p>
      <w:pPr>
        <w:numPr>
          <w:ilvl w:val="0"/>
          <w:numId w:val="1006"/>
        </w:numPr>
        <w:pStyle w:val="Compact"/>
      </w:pPr>
      <w:r>
        <w:rPr>
          <w:bCs/>
          <w:b/>
        </w:rPr>
        <w:t xml:space="preserve">Dilución</w:t>
      </w:r>
      <w:r>
        <w:t xml:space="preserve">: acciones básicas +1,2 % en 12 meses; sin recompras en 2026 (246 M en 2025, comprando caro). Las opciones diluyen más con el precio actual.</w:t>
      </w:r>
    </w:p>
    <w:p>
      <w:pPr>
        <w:numPr>
          <w:ilvl w:val="0"/>
          <w:numId w:val="1006"/>
        </w:numPr>
        <w:pStyle w:val="Compact"/>
      </w:pPr>
      <w:r>
        <w:rPr>
          <w:bCs/>
          <w:b/>
        </w:rPr>
        <w:t xml:space="preserve">Pagos en acciones: 11,6 % de las ventas</w:t>
      </w:r>
      <w:r>
        <w:t xml:space="preserve"> </w:t>
      </w:r>
      <w:r>
        <w:t xml:space="preserve">(96 M), por debajo del 15 % que el método marca en rojo.</w:t>
      </w:r>
    </w:p>
    <w:bookmarkEnd w:id="26"/>
    <w:bookmarkStart w:id="27" w:name="dirección-y-ejecución"/>
    <w:p>
      <w:pPr>
        <w:pStyle w:val="Heading2"/>
      </w:pPr>
      <w:r>
        <w:t xml:space="preserve">8. Dirección y ejecución</w:t>
      </w:r>
    </w:p>
    <w:p>
      <w:pPr>
        <w:numPr>
          <w:ilvl w:val="0"/>
          <w:numId w:val="1007"/>
        </w:numPr>
        <w:pStyle w:val="Compact"/>
      </w:pPr>
      <w:r>
        <w:rPr>
          <w:bCs/>
          <w:b/>
        </w:rPr>
        <w:t xml:space="preserve">Joseph Belanoff</w:t>
      </w:r>
      <w:r>
        <w:t xml:space="preserve">, fundador y consejero delegado desde 1998; directivos y consejeros tienen ~10,7 % del capital [10].</w:t>
      </w:r>
    </w:p>
    <w:p>
      <w:pPr>
        <w:numPr>
          <w:ilvl w:val="0"/>
          <w:numId w:val="1007"/>
        </w:numPr>
        <w:pStyle w:val="Compact"/>
      </w:pPr>
      <w:r>
        <w:rPr>
          <w:bCs/>
          <w:b/>
        </w:rPr>
        <w:t xml:space="preserve">Historial 2/5</w:t>
      </w:r>
      <w:r>
        <w:t xml:space="preserve">: 2025 fue un mal año de ejecución (guía recortada dos veces, rechazo de la FDA en Cushing con la dirección mostrándose confiada, lo que trajo una demanda colectiva de accionistas). 2026 va al revés: aprobación anticipada en ovario, guía subida dos veces.</w:t>
      </w:r>
    </w:p>
    <w:p>
      <w:pPr>
        <w:numPr>
          <w:ilvl w:val="0"/>
          <w:numId w:val="1007"/>
        </w:numPr>
        <w:pStyle w:val="Compact"/>
      </w:pPr>
      <w:r>
        <w:rPr>
          <w:bCs/>
          <w:b/>
        </w:rPr>
        <w:t xml:space="preserve">Dirección 3/5</w:t>
      </w:r>
      <w:r>
        <w:t xml:space="preserve">: estrategia coherente y caja sin deuda, pero recompras caras en 2025, ventas de directivos de ~89 M desde marzo, litigios abiertos (acción qui tam por la promoción de Korlym, antimonopolio de Teva con juicio en marzo de 2027) y cambio del responsable de endocrinología el 1-oct, en plena espera de la FDA [2][5][6].</w:t>
      </w:r>
    </w:p>
    <w:bookmarkEnd w:id="27"/>
    <w:bookmarkStart w:id="28" w:name="valoración"/>
    <w:p>
      <w:pPr>
        <w:pStyle w:val="Heading2"/>
      </w:pPr>
      <w:r>
        <w:t xml:space="preserve">9. Valoración</w:t>
      </w:r>
    </w:p>
    <w:p>
      <w:pPr>
        <w:pStyle w:val="FirstParagraph"/>
      </w:pPr>
      <w:r>
        <w:rPr>
          <w:bCs/>
          <w:b/>
        </w:rPr>
        <w:t xml:space="preserve">Método</w:t>
      </w:r>
      <w:r>
        <w:t xml:space="preserve">: EV/EBITDA ajustado de los 12 meses siguientes. EV hoy 13.403 M (117,80 × 118,4 M de acciones − 544,6 de caja); EBITDA NTM ~700 M (guía del 2S26 y consenso del 1S27, con los pagos en acciones sumados) →</w:t>
      </w:r>
      <w:r>
        <w:t xml:space="preserve"> </w:t>
      </w:r>
      <w:r>
        <w:rPr>
          <w:bCs/>
          <w:b/>
        </w:rPr>
        <w:t xml:space="preserve">19,1x</w:t>
      </w:r>
      <w:r>
        <w:t xml:space="preserve"> </w:t>
      </w:r>
      <w:r>
        <w:t xml:space="preserve">[15].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Caso</w:t>
            </w:r>
          </w:p>
        </w:tc>
        <w:tc>
          <w:tcPr/>
          <w:p>
            <w:pPr>
              <w:pStyle w:val="Compact"/>
              <w:jc w:val="left"/>
            </w:pPr>
            <w:r>
              <w:t xml:space="preserve">Probabilidad</w:t>
            </w:r>
          </w:p>
        </w:tc>
        <w:tc>
          <w:tcPr/>
          <w:p>
            <w:pPr>
              <w:pStyle w:val="Compact"/>
              <w:jc w:val="left"/>
            </w:pPr>
            <w:r>
              <w:t xml:space="preserve">Ventas 12 m a jun-2028 (M USD)</w:t>
            </w:r>
          </w:p>
        </w:tc>
        <w:tc>
          <w:tcPr/>
          <w:p>
            <w:pPr>
              <w:pStyle w:val="Compact"/>
              <w:jc w:val="left"/>
            </w:pPr>
            <w:r>
              <w:t xml:space="preserve">Múltiplo</w:t>
            </w:r>
          </w:p>
        </w:tc>
        <w:tc>
          <w:tcPr/>
          <w:p>
            <w:pPr>
              <w:pStyle w:val="Compact"/>
              <w:jc w:val="left"/>
            </w:pPr>
            <w:r>
              <w:t xml:space="preserve">Precio</w:t>
            </w:r>
          </w:p>
        </w:tc>
        <w:tc>
          <w:tcPr/>
          <w:p>
            <w:pPr>
              <w:pStyle w:val="Compact"/>
              <w:jc w:val="left"/>
            </w:pPr>
            <w:r>
              <w:t xml:space="preserve">Rentabilidad</w:t>
            </w:r>
          </w:p>
        </w:tc>
      </w:tr>
      <w:tr>
        <w:tc>
          <w:tcPr/>
          <w:p>
            <w:pPr>
              <w:pStyle w:val="Compact"/>
              <w:jc w:val="left"/>
            </w:pPr>
            <w:r>
              <w:t xml:space="preserve">Bajista</w:t>
            </w:r>
          </w:p>
        </w:tc>
        <w:tc>
          <w:tcPr/>
          <w:p>
            <w:pPr>
              <w:pStyle w:val="Compact"/>
              <w:jc w:val="left"/>
            </w:pPr>
            <w:r>
              <w:t xml:space="preserve">35 %</w:t>
            </w:r>
          </w:p>
        </w:tc>
        <w:tc>
          <w:tcPr/>
          <w:p>
            <w:pPr>
              <w:pStyle w:val="Compact"/>
              <w:jc w:val="left"/>
            </w:pPr>
            <w:r>
              <w:t xml:space="preserve">1.011</w:t>
            </w:r>
          </w:p>
        </w:tc>
        <w:tc>
          <w:tcPr/>
          <w:p>
            <w:pPr>
              <w:pStyle w:val="Compact"/>
              <w:jc w:val="left"/>
            </w:pPr>
            <w:r>
              <w:t xml:space="preserve">8,0x</w:t>
            </w:r>
          </w:p>
        </w:tc>
        <w:tc>
          <w:tcPr/>
          <w:p>
            <w:pPr>
              <w:pStyle w:val="Compact"/>
              <w:jc w:val="left"/>
            </w:pPr>
            <w:r>
              <w:t xml:space="preserve">35,6</w:t>
            </w:r>
          </w:p>
        </w:tc>
        <w:tc>
          <w:tcPr/>
          <w:p>
            <w:pPr>
              <w:pStyle w:val="Compact"/>
              <w:jc w:val="left"/>
            </w:pPr>
            <w:r>
              <w:t xml:space="preserve">−69,8 %</w:t>
            </w:r>
          </w:p>
        </w:tc>
      </w:tr>
      <w:tr>
        <w:tc>
          <w:tcPr/>
          <w:p>
            <w:pPr>
              <w:pStyle w:val="Compact"/>
              <w:jc w:val="left"/>
            </w:pPr>
            <w:r>
              <w:t xml:space="preserve">Base</w:t>
            </w:r>
          </w:p>
        </w:tc>
        <w:tc>
          <w:tcPr/>
          <w:p>
            <w:pPr>
              <w:pStyle w:val="Compact"/>
              <w:jc w:val="left"/>
            </w:pPr>
            <w:r>
              <w:t xml:space="preserve">50 %</w:t>
            </w:r>
          </w:p>
        </w:tc>
        <w:tc>
          <w:tcPr/>
          <w:p>
            <w:pPr>
              <w:pStyle w:val="Compact"/>
              <w:jc w:val="left"/>
            </w:pPr>
            <w:r>
              <w:t xml:space="preserve">1.209</w:t>
            </w:r>
          </w:p>
        </w:tc>
        <w:tc>
          <w:tcPr/>
          <w:p>
            <w:pPr>
              <w:pStyle w:val="Compact"/>
              <w:jc w:val="left"/>
            </w:pPr>
            <w:r>
              <w:t xml:space="preserve">13,4x</w:t>
            </w:r>
          </w:p>
        </w:tc>
        <w:tc>
          <w:tcPr/>
          <w:p>
            <w:pPr>
              <w:pStyle w:val="Compact"/>
              <w:jc w:val="left"/>
            </w:pPr>
            <w:r>
              <w:t xml:space="preserve">66,5</w:t>
            </w:r>
          </w:p>
        </w:tc>
        <w:tc>
          <w:tcPr/>
          <w:p>
            <w:pPr>
              <w:pStyle w:val="Compact"/>
              <w:jc w:val="left"/>
            </w:pPr>
            <w:r>
              <w:t xml:space="preserve">−43,6 %</w:t>
            </w:r>
          </w:p>
        </w:tc>
      </w:tr>
      <w:tr>
        <w:tc>
          <w:tcPr/>
          <w:p>
            <w:pPr>
              <w:pStyle w:val="Compact"/>
              <w:jc w:val="left"/>
            </w:pPr>
            <w:r>
              <w:t xml:space="preserve">Alcista</w:t>
            </w:r>
          </w:p>
        </w:tc>
        <w:tc>
          <w:tcPr/>
          <w:p>
            <w:pPr>
              <w:pStyle w:val="Compact"/>
              <w:jc w:val="left"/>
            </w:pPr>
            <w:r>
              <w:t xml:space="preserve">15 %</w:t>
            </w:r>
          </w:p>
        </w:tc>
        <w:tc>
          <w:tcPr/>
          <w:p>
            <w:pPr>
              <w:pStyle w:val="Compact"/>
              <w:jc w:val="left"/>
            </w:pPr>
            <w:r>
              <w:t xml:space="preserve">1.293</w:t>
            </w:r>
          </w:p>
        </w:tc>
        <w:tc>
          <w:tcPr/>
          <w:p>
            <w:pPr>
              <w:pStyle w:val="Compact"/>
              <w:jc w:val="left"/>
            </w:pPr>
            <w:r>
              <w:t xml:space="preserve">17,4x</w:t>
            </w:r>
          </w:p>
        </w:tc>
        <w:tc>
          <w:tcPr/>
          <w:p>
            <w:pPr>
              <w:pStyle w:val="Compact"/>
              <w:jc w:val="left"/>
            </w:pPr>
            <w:r>
              <w:t xml:space="preserve">90,7</w:t>
            </w:r>
          </w:p>
        </w:tc>
        <w:tc>
          <w:tcPr/>
          <w:p>
            <w:pPr>
              <w:pStyle w:val="Compact"/>
              <w:jc w:val="left"/>
            </w:pPr>
            <w:r>
              <w:t xml:space="preserve">−23,0 %</w:t>
            </w:r>
          </w:p>
        </w:tc>
      </w:tr>
      <w:tr>
        <w:tc>
          <w:tcPr/>
          <w:p>
            <w:pPr>
              <w:pStyle w:val="Compact"/>
              <w:jc w:val="left"/>
            </w:pPr>
            <w:r>
              <w:rPr>
                <w:bCs/>
                <w:b/>
              </w:rPr>
              <w:t xml:space="preserve">Ponderada</w:t>
            </w:r>
          </w:p>
        </w:tc>
        <w:tc>
          <w:tcPr/>
          <w:p>
            <w:pPr>
              <w:pStyle w:val="Compact"/>
            </w:pPr>
          </w:p>
        </w:tc>
        <w:tc>
          <w:tcPr/>
          <w:p>
            <w:pPr>
              <w:pStyle w:val="Compact"/>
            </w:pPr>
          </w:p>
        </w:tc>
        <w:tc>
          <w:tcPr/>
          <w:p>
            <w:pPr>
              <w:pStyle w:val="Compact"/>
            </w:pPr>
          </w:p>
        </w:tc>
        <w:tc>
          <w:tcPr/>
          <w:p>
            <w:pPr>
              <w:pStyle w:val="Compact"/>
              <w:jc w:val="left"/>
            </w:pPr>
            <w:r>
              <w:rPr>
                <w:bCs/>
                <w:b/>
              </w:rPr>
              <w:t xml:space="preserve">59,3</w:t>
            </w:r>
          </w:p>
        </w:tc>
        <w:tc>
          <w:tcPr/>
          <w:p>
            <w:pPr>
              <w:pStyle w:val="Compact"/>
              <w:jc w:val="left"/>
            </w:pPr>
            <w:r>
              <w:rPr>
                <w:bCs/>
                <w:b/>
              </w:rPr>
              <w:t xml:space="preserve">−49,6 %</w:t>
            </w:r>
          </w:p>
        </w:tc>
      </w:tr>
    </w:tbl>
    <w:p>
      <w:pPr>
        <w:numPr>
          <w:ilvl w:val="0"/>
          <w:numId w:val="1008"/>
        </w:numPr>
        <w:pStyle w:val="Compact"/>
      </w:pPr>
      <w:r>
        <w:rPr>
          <w:bCs/>
          <w:b/>
        </w:rPr>
        <w:t xml:space="preserve">Probabilidades 35/50/15</w:t>
      </w:r>
      <w:r>
        <w:t xml:space="preserve">: depende de un producto (Korlym) y de una decisión de la FDA que ya falló una vez.</w:t>
      </w:r>
    </w:p>
    <w:p>
      <w:pPr>
        <w:numPr>
          <w:ilvl w:val="0"/>
          <w:numId w:val="1008"/>
        </w:numPr>
        <w:pStyle w:val="Compact"/>
      </w:pPr>
      <w:r>
        <w:rPr>
          <w:bCs/>
          <w:b/>
        </w:rPr>
        <w:t xml:space="preserve">Por qué sale tan mal</w:t>
      </w:r>
      <w:r>
        <w:t xml:space="preserve">:</w:t>
      </w:r>
    </w:p>
    <w:p>
      <w:pPr>
        <w:numPr>
          <w:ilvl w:val="1"/>
          <w:numId w:val="1009"/>
        </w:numPr>
        <w:pStyle w:val="Compact"/>
      </w:pPr>
      <w:r>
        <w:rPr>
          <w:bCs/>
          <w:b/>
        </w:rPr>
        <w:t xml:space="preserve">La proyección mecánica es corta</w:t>
      </w:r>
      <w:r>
        <w:t xml:space="preserve">: parte del pasado (22 % de crecimiento) y llega a 1.209 M en la ventana objetivo, por debajo incluso de las ventas que la guía da para los próximos 12 meses (~1.530 M). El método no sabe ver un lanzamiento que acaba de empezar. Mis ventas (1.850 M) y el consenso (~1.900 M) están muy por encima.</w:t>
      </w:r>
    </w:p>
    <w:p>
      <w:pPr>
        <w:numPr>
          <w:ilvl w:val="1"/>
          <w:numId w:val="1009"/>
        </w:numPr>
        <w:pStyle w:val="Compact"/>
      </w:pPr>
      <w:r>
        <w:rPr>
          <w:bCs/>
          <w:b/>
        </w:rPr>
        <w:t xml:space="preserve">La rebaja por desaceleración</w:t>
      </w:r>
      <w:r>
        <w:t xml:space="preserve"> </w:t>
      </w:r>
      <w:r>
        <w:t xml:space="preserve">lleva el múltiplo base al mínimo permitido (−30 %): el crecimiento pasa del 84 % de los próximos 12 meses al ~23 % del año objetivo.</w:t>
      </w:r>
    </w:p>
    <w:p>
      <w:pPr>
        <w:numPr>
          <w:ilvl w:val="0"/>
          <w:numId w:val="1008"/>
        </w:numPr>
        <w:pStyle w:val="Compact"/>
      </w:pPr>
      <w:r>
        <w:rPr>
          <w:bCs/>
          <w:b/>
        </w:rPr>
        <w:t xml:space="preserve">Con mis ventas</w:t>
      </w:r>
      <w:r>
        <w:t xml:space="preserve"> </w:t>
      </w:r>
      <w:r>
        <w:t xml:space="preserve">(bajista 1.350, base 1.850, alcista 2.200) la ponderada sería</w:t>
      </w:r>
      <w:r>
        <w:t xml:space="preserve"> </w:t>
      </w:r>
      <w:r>
        <w:rPr>
          <w:bCs/>
          <w:b/>
        </w:rPr>
        <w:t xml:space="preserve">−23 %</w:t>
      </w:r>
      <w:r>
        <w:t xml:space="preserve"> </w:t>
      </w:r>
      <w:r>
        <w:t xml:space="preserve">y el base −13,6 %: sigue sin comprarse. Para que el base diera 0 % harían falta ~2.150 M de ventas con el margen de hoy, o un margen EBITDA del 53 %.</w:t>
      </w:r>
    </w:p>
    <w:p>
      <w:pPr>
        <w:numPr>
          <w:ilvl w:val="0"/>
          <w:numId w:val="1008"/>
        </w:numPr>
        <w:pStyle w:val="Compact"/>
      </w:pPr>
      <w:r>
        <w:rPr>
          <w:bCs/>
          <w:b/>
        </w:rPr>
        <w:t xml:space="preserve">Contraste</w:t>
      </w:r>
      <w:r>
        <w:t xml:space="preserve">: precio objetivo medio de los analistas 141 USD (+20 %; mediana 164; Wolfe 50) [9]. PER adelantado 2027: 117,80 / 4,41 =</w:t>
      </w:r>
      <w:r>
        <w:t xml:space="preserve"> </w:t>
      </w:r>
      <w:r>
        <w:rPr>
          <w:bCs/>
          <w:b/>
        </w:rPr>
        <w:t xml:space="preserve">26,7x</w:t>
      </w:r>
      <w:r>
        <w:t xml:space="preserve">, por encima de Neurocrine (11,9x) o Halozyme (11,8x).</w:t>
      </w:r>
      <w:r>
        <w:t xml:space="preserve"> </w:t>
      </w:r>
      <w:r>
        <w:rPr>
          <w:bCs/>
          <w:b/>
        </w:rPr>
        <w:t xml:space="preserve">DCF inverso</w:t>
      </w:r>
      <w:r>
        <w:t xml:space="preserve">: el precio pide un 15,9 % anual de crecimiento a 10 años con un 35 % de margen de FCF.</w:t>
      </w:r>
    </w:p>
    <w:bookmarkEnd w:id="28"/>
    <w:bookmarkStart w:id="29" w:name="foros-y-sentimiento"/>
    <w:p>
      <w:pPr>
        <w:pStyle w:val="Heading2"/>
      </w:pPr>
      <w:r>
        <w:t xml:space="preserve">10. Foros y sentimiento</w:t>
      </w:r>
    </w:p>
    <w:p>
      <w:pPr>
        <w:numPr>
          <w:ilvl w:val="0"/>
          <w:numId w:val="1010"/>
        </w:numPr>
        <w:pStyle w:val="Compact"/>
      </w:pPr>
      <w:r>
        <w:rPr>
          <w:bCs/>
          <w:b/>
        </w:rPr>
        <w:t xml:space="preserve">StockTwits</w:t>
      </w:r>
      <w:r>
        <w:t xml:space="preserve"> </w:t>
      </w:r>
      <w:r>
        <w:t xml:space="preserve">(14-oct): 13 alcistas, 0 bajistas y 17 neutros de 30 mensajes. Hablan de los catalizadores (3T, 17-dic, MONARCH), estiman 80-100 M de Lifyorli en el 3T y celebran la entrada en el S&amp;P MidCap 400. Hay quien vendió con +400 % [12].</w:t>
      </w:r>
    </w:p>
    <w:p>
      <w:pPr>
        <w:numPr>
          <w:ilvl w:val="0"/>
          <w:numId w:val="1010"/>
        </w:numPr>
        <w:pStyle w:val="Compact"/>
      </w:pPr>
      <w:r>
        <w:rPr>
          <w:bCs/>
          <w:b/>
        </w:rPr>
        <w:t xml:space="preserve">Analistas</w:t>
      </w:r>
      <w:r>
        <w:t xml:space="preserve">: 4 de 5 recomiendan comprar; Wolfe mantiene Vender con 50 USD [9].</w:t>
      </w:r>
    </w:p>
    <w:p>
      <w:pPr>
        <w:numPr>
          <w:ilvl w:val="0"/>
          <w:numId w:val="1010"/>
        </w:numPr>
        <w:pStyle w:val="Compact"/>
      </w:pPr>
      <w:r>
        <w:rPr>
          <w:bCs/>
          <w:b/>
        </w:rPr>
        <w:t xml:space="preserve">Posiciones cortas</w:t>
      </w:r>
      <w:r>
        <w:t xml:space="preserve">: 7,9 % de las acciones (10,7 días para cubrir) [10]: hay escépticos con peso.</w:t>
      </w:r>
    </w:p>
    <w:p>
      <w:pPr>
        <w:numPr>
          <w:ilvl w:val="0"/>
          <w:numId w:val="1010"/>
        </w:numPr>
        <w:pStyle w:val="Compact"/>
      </w:pPr>
      <w:r>
        <w:rPr>
          <w:bCs/>
          <w:b/>
        </w:rPr>
        <w:t xml:space="preserve">Reddit y foros en castellano</w:t>
      </w:r>
      <w:r>
        <w:t xml:space="preserve"> </w:t>
      </w:r>
      <w:r>
        <w:t xml:space="preserve">(Rankia, Investing.com ES): sin hilos recientes encontrados.</w:t>
      </w:r>
    </w:p>
    <w:p>
      <w:pPr>
        <w:numPr>
          <w:ilvl w:val="0"/>
          <w:numId w:val="1010"/>
        </w:numPr>
        <w:pStyle w:val="Compact"/>
      </w:pPr>
      <w:r>
        <w:rPr>
          <w:bCs/>
          <w:b/>
        </w:rPr>
        <w:t xml:space="preserve">Contraste con los datos</w:t>
      </w:r>
      <w:r>
        <w:t xml:space="preserve">: el optimismo tiene base (aprobación, lanzamiento rápido, guía subida), pero tras +172 % en seis meses el tono es de quien ya gana mucho, cerca de la euforia.</w:t>
      </w:r>
    </w:p>
    <w:bookmarkEnd w:id="29"/>
    <w:bookmarkStart w:id="30" w:name="riesgos-y-qué-rompería-la-tesis"/>
    <w:p>
      <w:pPr>
        <w:pStyle w:val="Heading2"/>
      </w:pPr>
      <w:r>
        <w:t xml:space="preserve">11. Riesgos y qué rompería la tesis</w:t>
      </w:r>
    </w:p>
    <w:p>
      <w:pPr>
        <w:pStyle w:val="FirstParagraph"/>
      </w:pPr>
      <w:r>
        <w:rPr>
          <w:bCs/>
          <w:b/>
        </w:rPr>
        <w:t xml:space="preserve">Alerta de robustez del motor (</w:t>
      </w:r>
      <w:r>
        <w:rPr>
          <w:rStyle w:val="VerbatimChar"/>
          <w:bCs/>
          <w:b/>
        </w:rPr>
        <w:t xml:space="preserve">calc.alertas</w:t>
      </w:r>
      <w:r>
        <w:rPr>
          <w:bCs/>
          <w:b/>
        </w:rPr>
        <w:t xml:space="preserve">)</w:t>
      </w:r>
      <w:r>
        <w:t xml:space="preserve">:</w:t>
      </w:r>
      <w:r>
        <w:t xml:space="preserve"> </w:t>
      </w:r>
      <w:r>
        <w:t xml:space="preserve">-</w:t>
      </w:r>
      <w:r>
        <w:t xml:space="preserve"> </w:t>
      </w:r>
      <w:r>
        <w:rPr>
          <w:iCs/>
          <w:i/>
        </w:rPr>
        <w:t xml:space="preserve">Dos clientes suman el 94 % de las ventas</w:t>
      </w:r>
      <w:r>
        <w:t xml:space="preserve">: no son clientes en sentido contable, sino</w:t>
      </w:r>
      <w:r>
        <w:t xml:space="preserve"> </w:t>
      </w:r>
      <w:r>
        <w:rPr>
          <w:bCs/>
          <w:b/>
        </w:rPr>
        <w:t xml:space="preserve">una sola farmacia especializada</w:t>
      </w:r>
      <w:r>
        <w:t xml:space="preserve"> </w:t>
      </w:r>
      <w:r>
        <w:t xml:space="preserve">que dispensa todo Korlym. En 2025 su falta de capacidad costó ~24 puntos de crecimiento. Hoy funciona (récord de pacientes nuevos), pero un fallo de Curant o un litigio con ella pararía la mayor parte de las ventas.</w:t>
      </w:r>
      <w:r>
        <w:t xml:space="preserve"> </w:t>
      </w:r>
      <w:r>
        <w:rPr>
          <w:bCs/>
          <w:b/>
        </w:rPr>
        <w:t xml:space="preserve">Debilita la señal en el sentido de la venta</w:t>
      </w:r>
      <w:r>
        <w:t xml:space="preserve">: refuerza la prudencia, no cambia nada.</w:t>
      </w:r>
    </w:p>
    <w:p>
      <w:pPr>
        <w:pStyle w:val="BodyText"/>
      </w:pPr>
      <w:r>
        <w:rPr>
          <w:bCs/>
          <w:b/>
        </w:rPr>
        <w:t xml:space="preserve">Prueba de robustez</w:t>
      </w:r>
      <w:r>
        <w:t xml:space="preserve"> </w:t>
      </w:r>
      <w:r>
        <w:t xml:space="preserve">(</w:t>
      </w:r>
      <w:r>
        <w:rPr>
          <w:rStyle w:val="VerbatimChar"/>
        </w:rPr>
        <w:t xml:space="preserve">herramientas/robustez-growth.mjs --precios</w:t>
      </w:r>
      <w:r>
        <w:t xml:space="preserve">):</w:t>
      </w:r>
      <w:r>
        <w:t xml:space="preserve"> </w:t>
      </w:r>
      <w:r>
        <w:rPr>
          <w:bCs/>
          <w:b/>
        </w:rPr>
        <w:t xml:space="preserve">SÓLIDA, Vender</w:t>
      </w:r>
      <w:r>
        <w:t xml:space="preserve">. Todas las variantes dan Vender: v7, v9, con mis ventas (−23 %), con pesos 25/50/25 (−45 %) y al precio de hoy (−49 %). Avisos: el objetivo se mueve con el precio (se deja fijo, 59,3 USD); la proyección mecánica queda un 35 % por debajo de la mía (la señal es prudente); el bajista es del −70 %.</w:t>
      </w:r>
    </w:p>
    <w:p>
      <w:pPr>
        <w:pStyle w:val="BodyText"/>
      </w:pPr>
      <w:r>
        <w:rPr>
          <w:bCs/>
          <w:b/>
        </w:rPr>
        <w:t xml:space="preserve">Riesgos principales</w:t>
      </w:r>
      <w:r>
        <w:t xml:space="preserve">:</w:t>
      </w:r>
      <w:r>
        <w:t xml:space="preserve"> </w:t>
      </w:r>
      <w:r>
        <w:t xml:space="preserve">-</w:t>
      </w:r>
      <w:r>
        <w:t xml:space="preserve"> </w:t>
      </w:r>
      <w:r>
        <w:rPr>
          <w:bCs/>
          <w:b/>
        </w:rPr>
        <w:t xml:space="preserve">FDA el 17-dic</w:t>
      </w:r>
      <w:r>
        <w:t xml:space="preserve">: un segundo rechazo de relacorilant en Cushing dejaría el negocio grande en manos de Korlym, sin patente de composición.</w:t>
      </w:r>
      <w:r>
        <w:t xml:space="preserve"> </w:t>
      </w:r>
      <w:r>
        <w:t xml:space="preserve">-</w:t>
      </w:r>
      <w:r>
        <w:t xml:space="preserve"> </w:t>
      </w:r>
      <w:r>
        <w:rPr>
          <w:bCs/>
          <w:b/>
        </w:rPr>
        <w:t xml:space="preserve">Genéricos de Korlym</w:t>
      </w:r>
      <w:r>
        <w:t xml:space="preserve">: Teva ya vende; Sun y Hikma pueden entrar. Corcept perdió la apelación de patentes [2][5].</w:t>
      </w:r>
      <w:r>
        <w:t xml:space="preserve"> </w:t>
      </w:r>
      <w:r>
        <w:t xml:space="preserve">-</w:t>
      </w:r>
      <w:r>
        <w:t xml:space="preserve"> </w:t>
      </w:r>
      <w:r>
        <w:rPr>
          <w:bCs/>
          <w:b/>
        </w:rPr>
        <w:t xml:space="preserve">Dependencia de un producto</w:t>
      </w:r>
      <w:r>
        <w:t xml:space="preserve">: Korlym es el 94 % de las ventas de 12 meses (81 % en el 2T26).</w:t>
      </w:r>
      <w:r>
        <w:t xml:space="preserve"> </w:t>
      </w:r>
      <w:r>
        <w:t xml:space="preserve">-</w:t>
      </w:r>
      <w:r>
        <w:t xml:space="preserve"> </w:t>
      </w:r>
      <w:r>
        <w:rPr>
          <w:bCs/>
          <w:b/>
        </w:rPr>
        <w:t xml:space="preserve">Lanzamiento de Lifyorli</w:t>
      </w:r>
      <w:r>
        <w:t xml:space="preserve">: la guía exige ~280 M en el 2S26; si el 3T queda corto, la acción cae.</w:t>
      </w:r>
      <w:r>
        <w:t xml:space="preserve"> </w:t>
      </w:r>
      <w:r>
        <w:t xml:space="preserve">-</w:t>
      </w:r>
      <w:r>
        <w:t xml:space="preserve"> </w:t>
      </w:r>
      <w:r>
        <w:rPr>
          <w:bCs/>
          <w:b/>
        </w:rPr>
        <w:t xml:space="preserve">Litigios</w:t>
      </w:r>
      <w:r>
        <w:t xml:space="preserve">: qui tam sobre la promoción de Korlym, antimonopolio de Teva (juicio en marzo de 2027) y demanda de accionistas.</w:t>
      </w:r>
      <w:r>
        <w:t xml:space="preserve"> </w:t>
      </w:r>
      <w:r>
        <w:t xml:space="preserve">-</w:t>
      </w:r>
      <w:r>
        <w:t xml:space="preserve"> </w:t>
      </w:r>
      <w:r>
        <w:rPr>
          <w:bCs/>
          <w:b/>
        </w:rPr>
        <w:t xml:space="preserve">Precio</w:t>
      </w:r>
      <w:r>
        <w:t xml:space="preserve">: tras +172 % en 6 meses, la reversión del sentimiento puede llevarse más precio que negocio.</w:t>
      </w:r>
    </w:p>
    <w:p>
      <w:pPr>
        <w:pStyle w:val="BodyText"/>
      </w:pPr>
      <w:r>
        <w:rPr>
          <w:bCs/>
          <w:b/>
        </w:rPr>
        <w:t xml:space="preserve">Qué la haría comprable</w:t>
      </w:r>
      <w:r>
        <w:t xml:space="preserve">: un precio por debajo de 56,5 USD (el «compra hasta»), o resultados que suban mucho las ventas de los próximos años sin que el precio acompañe.</w:t>
      </w:r>
    </w:p>
    <w:bookmarkEnd w:id="30"/>
    <w:bookmarkStart w:id="31" w:name="catalizadores-con-fecha"/>
    <w:p>
      <w:pPr>
        <w:pStyle w:val="Heading2"/>
      </w:pPr>
      <w:r>
        <w:t xml:space="preserve">12. Catalizadores con fecha</w:t>
      </w:r>
    </w:p>
    <w:p>
      <w:pPr>
        <w:numPr>
          <w:ilvl w:val="0"/>
          <w:numId w:val="1011"/>
        </w:numPr>
        <w:pStyle w:val="Compact"/>
      </w:pPr>
      <w:r>
        <w:t xml:space="preserve">Principios de noviembre de 2026: resultados del 3T (primer trimestre completo de Lifyorli).</w:t>
      </w:r>
    </w:p>
    <w:p>
      <w:pPr>
        <w:numPr>
          <w:ilvl w:val="0"/>
          <w:numId w:val="1011"/>
        </w:numPr>
        <w:pStyle w:val="Compact"/>
      </w:pPr>
      <w:r>
        <w:t xml:space="preserve">4T 2026: decisión de la Comisión Europea sobre Lifyorli.</w:t>
      </w:r>
    </w:p>
    <w:p>
      <w:pPr>
        <w:numPr>
          <w:ilvl w:val="0"/>
          <w:numId w:val="1011"/>
        </w:numPr>
        <w:pStyle w:val="Compact"/>
      </w:pPr>
      <w:r>
        <w:t xml:space="preserve">17-dic-2026: decisión de la FDA sobre relacorilant en síndrome de Cushing.</w:t>
      </w:r>
    </w:p>
    <w:p>
      <w:pPr>
        <w:numPr>
          <w:ilvl w:val="0"/>
          <w:numId w:val="1011"/>
        </w:numPr>
        <w:pStyle w:val="Compact"/>
      </w:pPr>
      <w:r>
        <w:t xml:space="preserve">Antes de fin de 2026: BELLA (ovario resistente con bevacizumab) y MONARCH (MASH).</w:t>
      </w:r>
    </w:p>
    <w:p>
      <w:pPr>
        <w:numPr>
          <w:ilvl w:val="0"/>
          <w:numId w:val="1011"/>
        </w:numPr>
        <w:pStyle w:val="Compact"/>
      </w:pPr>
      <w:r>
        <w:t xml:space="preserve">Principios de 2027: inicio de la fase 3 en ELA. Marzo de 2027: juicio antimonopolio de Teva.</w:t>
      </w:r>
    </w:p>
    <w:p>
      <w:pPr>
        <w:numPr>
          <w:ilvl w:val="0"/>
          <w:numId w:val="1011"/>
        </w:numPr>
        <w:pStyle w:val="Compact"/>
      </w:pPr>
      <w:r>
        <w:t xml:space="preserve">Finales de 2027: resultados en ovario sensible, endometrio, cérvix, páncreas y nenocorilant.</w:t>
      </w:r>
    </w:p>
    <w:bookmarkEnd w:id="31"/>
    <w:bookmarkStart w:id="32" w:name="encaje-en-cartera"/>
    <w:p>
      <w:pPr>
        <w:pStyle w:val="Heading2"/>
      </w:pPr>
      <w:r>
        <w:t xml:space="preserve">13. Encaje en cartera</w:t>
      </w:r>
    </w:p>
    <w:p>
      <w:pPr>
        <w:numPr>
          <w:ilvl w:val="0"/>
          <w:numId w:val="1012"/>
        </w:numPr>
        <w:pStyle w:val="Compact"/>
      </w:pPr>
      <w:r>
        <w:rPr>
          <w:bCs/>
          <w:b/>
        </w:rPr>
        <w:t xml:space="preserve">No entra.</w:t>
      </w:r>
      <w:r>
        <w:t xml:space="preserve"> </w:t>
      </w:r>
      <w:r>
        <w:t xml:space="preserve">Señal Vender (no comprar): ponderada −49,6 % con el método vigente y −49,0 % al precio actual con el objetivo fijo.</w:t>
      </w:r>
    </w:p>
    <w:p>
      <w:pPr>
        <w:numPr>
          <w:ilvl w:val="0"/>
          <w:numId w:val="1012"/>
        </w:numPr>
        <w:pStyle w:val="Compact"/>
      </w:pPr>
      <w:r>
        <w:rPr>
          <w:bCs/>
          <w:b/>
        </w:rPr>
        <w:t xml:space="preserve">Bolsillo growth lleno</w:t>
      </w:r>
      <w:r>
        <w:t xml:space="preserve"> </w:t>
      </w:r>
      <w:r>
        <w:t xml:space="preserve">(~20 %): Nu (+19 %), Axon (+36 %), Shopify (+18 %), Snowflake (+13 %) y Samsara (+15 %), con v11 al precio actual. Liquidez de ≈27 EUR: solo se podría entrar sustituyendo a una. Corcept no sustituye a ninguna.</w:t>
      </w:r>
    </w:p>
    <w:p>
      <w:pPr>
        <w:numPr>
          <w:ilvl w:val="0"/>
          <w:numId w:val="1012"/>
        </w:numPr>
        <w:pStyle w:val="Compact"/>
      </w:pPr>
      <w:r>
        <w:rPr>
          <w:bCs/>
          <w:b/>
        </w:rPr>
        <w:t xml:space="preserve">Suplentes</w:t>
      </w:r>
      <w:r>
        <w:t xml:space="preserve">: no entra en la lista (MongoDB, Toast, Zscaler, dLocal, Dexcom, argenx, Datadog, Saab, Natera). Va a «No comprar».</w:t>
      </w:r>
    </w:p>
    <w:p>
      <w:pPr>
        <w:numPr>
          <w:ilvl w:val="0"/>
          <w:numId w:val="1012"/>
        </w:numPr>
        <w:pStyle w:val="Compact"/>
      </w:pPr>
      <w:r>
        <w:rPr>
          <w:bCs/>
          <w:b/>
        </w:rPr>
        <w:t xml:space="preserve">Exposición</w:t>
      </w:r>
      <w:r>
        <w:t xml:space="preserve">: sería la tercera farmacéutica analizada en growth con argenx (suplente) y Vertex (Mantener). No suma exposición a IA (la venta de Alphabet de mañana no cambia nada aquí).</w:t>
      </w:r>
    </w:p>
    <w:p>
      <w:pPr>
        <w:numPr>
          <w:ilvl w:val="0"/>
          <w:numId w:val="1012"/>
        </w:numPr>
        <w:pStyle w:val="Compact"/>
      </w:pPr>
      <w:r>
        <w:t xml:space="preserve">Se revisa con los resultados del 3T y la decisión de la FDA del 17-dic.</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16,7</w:t>
            </w:r>
          </w:p>
        </w:tc>
        <w:tc>
          <w:tcPr/>
          <w:p>
            <w:pPr>
              <w:pStyle w:val="Compact"/>
              <w:jc w:val="left"/>
            </w:pPr>
            <w:r>
              <w:t xml:space="preserve">25</w:t>
            </w:r>
          </w:p>
        </w:tc>
        <w:tc>
          <w:tcPr/>
          <w:p>
            <w:pPr>
              <w:pStyle w:val="Compact"/>
              <w:jc w:val="left"/>
            </w:pPr>
            <w:r>
              <w:t xml:space="preserve">Ventas de 12 meses +16 % (2), CAGR a 2 años 20,8 % (3), aceleración +19,6 puntos (5)</w:t>
            </w:r>
          </w:p>
        </w:tc>
      </w:tr>
      <w:tr>
        <w:tc>
          <w:tcPr/>
          <w:p>
            <w:pPr>
              <w:pStyle w:val="Compact"/>
              <w:jc w:val="left"/>
            </w:pPr>
            <w:r>
              <w:t xml:space="preserve">B. Mercado y tecnología</w:t>
            </w:r>
          </w:p>
        </w:tc>
        <w:tc>
          <w:tcPr/>
          <w:p>
            <w:pPr>
              <w:pStyle w:val="Compact"/>
              <w:jc w:val="left"/>
            </w:pPr>
            <w:r>
              <w:t xml:space="preserve">13,3</w:t>
            </w:r>
          </w:p>
        </w:tc>
        <w:tc>
          <w:tcPr/>
          <w:p>
            <w:pPr>
              <w:pStyle w:val="Compact"/>
              <w:jc w:val="left"/>
            </w:pPr>
            <w:r>
              <w:t xml:space="preserve">20</w:t>
            </w:r>
          </w:p>
        </w:tc>
        <w:tc>
          <w:tcPr/>
          <w:p>
            <w:pPr>
              <w:pStyle w:val="Compact"/>
              <w:jc w:val="left"/>
            </w:pPr>
            <w:r>
              <w:t xml:space="preserve">Penetración 18 % (2), tecnología 4, posición 4</w:t>
            </w:r>
          </w:p>
        </w:tc>
      </w:tr>
      <w:tr>
        <w:tc>
          <w:tcPr/>
          <w:p>
            <w:pPr>
              <w:pStyle w:val="Compact"/>
              <w:jc w:val="left"/>
            </w:pPr>
            <w:r>
              <w:t xml:space="preserve">C. Cambio de tendencia</w:t>
            </w:r>
          </w:p>
        </w:tc>
        <w:tc>
          <w:tcPr/>
          <w:p>
            <w:pPr>
              <w:pStyle w:val="Compact"/>
              <w:jc w:val="left"/>
            </w:pPr>
            <w:r>
              <w:t xml:space="preserve">15,0</w:t>
            </w:r>
          </w:p>
        </w:tc>
        <w:tc>
          <w:tcPr/>
          <w:p>
            <w:pPr>
              <w:pStyle w:val="Compact"/>
              <w:jc w:val="left"/>
            </w:pPr>
            <w:r>
              <w:t xml:space="preserve">20</w:t>
            </w:r>
          </w:p>
        </w:tc>
        <w:tc>
          <w:tcPr/>
          <w:p>
            <w:pPr>
              <w:pStyle w:val="Compact"/>
              <w:jc w:val="left"/>
            </w:pPr>
            <w:r>
              <w:t xml:space="preserve">6 de 8 señales, sin euforia</w:t>
            </w:r>
          </w:p>
        </w:tc>
      </w:tr>
      <w:tr>
        <w:tc>
          <w:tcPr/>
          <w:p>
            <w:pPr>
              <w:pStyle w:val="Compact"/>
              <w:jc w:val="left"/>
            </w:pPr>
            <w:r>
              <w:t xml:space="preserve">D. Economía unitaria</w:t>
            </w:r>
          </w:p>
        </w:tc>
        <w:tc>
          <w:tcPr/>
          <w:p>
            <w:pPr>
              <w:pStyle w:val="Compact"/>
              <w:jc w:val="left"/>
            </w:pPr>
            <w:r>
              <w:t xml:space="preserve">10,0</w:t>
            </w:r>
          </w:p>
        </w:tc>
        <w:tc>
          <w:tcPr/>
          <w:p>
            <w:pPr>
              <w:pStyle w:val="Compact"/>
              <w:jc w:val="left"/>
            </w:pPr>
            <w:r>
              <w:t xml:space="preserve">15</w:t>
            </w:r>
          </w:p>
        </w:tc>
        <w:tc>
          <w:tcPr/>
          <w:p>
            <w:pPr>
              <w:pStyle w:val="Compact"/>
              <w:jc w:val="left"/>
            </w:pPr>
            <w:r>
              <w:t xml:space="preserve">Margen bruto 98 % (5), regla del 40 de 28,9 (1), FCF positivo (4)</w:t>
            </w:r>
          </w:p>
        </w:tc>
      </w:tr>
      <w:tr>
        <w:tc>
          <w:tcPr/>
          <w:p>
            <w:pPr>
              <w:pStyle w:val="Compact"/>
              <w:jc w:val="left"/>
            </w:pPr>
            <w:r>
              <w:t xml:space="preserve">E. Caja y dilución</w:t>
            </w:r>
          </w:p>
        </w:tc>
        <w:tc>
          <w:tcPr/>
          <w:p>
            <w:pPr>
              <w:pStyle w:val="Compact"/>
              <w:jc w:val="left"/>
            </w:pPr>
            <w:r>
              <w:t xml:space="preserve">10,0</w:t>
            </w:r>
          </w:p>
        </w:tc>
        <w:tc>
          <w:tcPr/>
          <w:p>
            <w:pPr>
              <w:pStyle w:val="Compact"/>
              <w:jc w:val="left"/>
            </w:pPr>
            <w:r>
              <w:t xml:space="preserve">10</w:t>
            </w:r>
          </w:p>
        </w:tc>
        <w:tc>
          <w:tcPr/>
          <w:p>
            <w:pPr>
              <w:pStyle w:val="Compact"/>
              <w:jc w:val="left"/>
            </w:pPr>
            <w:r>
              <w:t xml:space="preserve">FCF positivo (5), dilución 1,2 % (5)</w:t>
            </w:r>
          </w:p>
        </w:tc>
      </w:tr>
      <w:tr>
        <w:tc>
          <w:tcPr/>
          <w:p>
            <w:pPr>
              <w:pStyle w:val="Compact"/>
              <w:jc w:val="left"/>
            </w:pPr>
            <w:r>
              <w:t xml:space="preserve">F. Ejecución y dirección</w:t>
            </w:r>
          </w:p>
        </w:tc>
        <w:tc>
          <w:tcPr/>
          <w:p>
            <w:pPr>
              <w:pStyle w:val="Compact"/>
              <w:jc w:val="left"/>
            </w:pPr>
            <w:r>
              <w:t xml:space="preserve">5,0</w:t>
            </w:r>
          </w:p>
        </w:tc>
        <w:tc>
          <w:tcPr/>
          <w:p>
            <w:pPr>
              <w:pStyle w:val="Compact"/>
              <w:jc w:val="left"/>
            </w:pPr>
            <w:r>
              <w:t xml:space="preserve">10</w:t>
            </w:r>
          </w:p>
        </w:tc>
        <w:tc>
          <w:tcPr/>
          <w:p>
            <w:pPr>
              <w:pStyle w:val="Compact"/>
              <w:jc w:val="left"/>
            </w:pPr>
            <w:r>
              <w:t xml:space="preserve">Historial 2, dirección 3</w:t>
            </w:r>
          </w:p>
        </w:tc>
      </w:tr>
      <w:tr>
        <w:tc>
          <w:tcPr/>
          <w:p>
            <w:pPr>
              <w:pStyle w:val="Compact"/>
              <w:jc w:val="left"/>
            </w:pPr>
            <w:r>
              <w:rPr>
                <w:bCs/>
                <w:b/>
              </w:rPr>
              <w:t xml:space="preserve">Total</w:t>
            </w:r>
          </w:p>
        </w:tc>
        <w:tc>
          <w:tcPr/>
          <w:p>
            <w:pPr>
              <w:pStyle w:val="Compact"/>
              <w:jc w:val="left"/>
            </w:pPr>
            <w:r>
              <w:rPr>
                <w:bCs/>
                <w:b/>
              </w:rPr>
              <w:t xml:space="preserve">70,0</w:t>
            </w:r>
          </w:p>
        </w:tc>
        <w:tc>
          <w:tcPr/>
          <w:p>
            <w:pPr>
              <w:pStyle w:val="Compact"/>
              <w:jc w:val="left"/>
            </w:pPr>
            <w:r>
              <w:t xml:space="preserve">100</w:t>
            </w:r>
          </w:p>
        </w:tc>
        <w:tc>
          <w:tcPr/>
          <w:p>
            <w:pPr>
              <w:pStyle w:val="Compact"/>
            </w:pPr>
          </w:p>
        </w:tc>
      </w:tr>
    </w:tbl>
    <w:p>
      <w:pPr>
        <w:pStyle w:val="BodyText"/>
      </w:pPr>
      <w:r>
        <w:rPr>
          <w:bCs/>
          <w:b/>
        </w:rPr>
        <w:t xml:space="preserve">Mejora de método propuesta</w:t>
      </w:r>
      <w:r>
        <w:t xml:space="preserve"> </w:t>
      </w:r>
      <w:r>
        <w:t xml:space="preserve">(no aplicada; para el backtest): cuando la empresa acaba de lanzar un producto y su guía para los 12 meses siguientes supera con mucho al pasado (aquí, 78 % frente a 22 %), la proyección mecánica puede quedar por debajo de las ventas de los próximos 12 meses. Se propone una alerta «ventas del escenario base por debajo de las ventas NTM» y probar en el backtest un suelo: el base no puede quedar por debajo de las ventas NTM de la guía. Aquí no cambiaría la señal: con las ventas del informe sigue saliendo Vender.</w:t>
      </w:r>
    </w:p>
    <w:bookmarkEnd w:id="33"/>
    <w:bookmarkStart w:id="34" w:name="fuentes"/>
    <w:p>
      <w:pPr>
        <w:pStyle w:val="Heading2"/>
      </w:pPr>
      <w:r>
        <w:t xml:space="preserve">Fuentes</w:t>
      </w:r>
    </w:p>
    <w:p>
      <w:pPr>
        <w:pStyle w:val="FirstParagraph"/>
      </w:pPr>
      <w:r>
        <w:t xml:space="preserve">[1] Corcept, resultados del 2T 2026 (29-jul-2026), 8-K ex. 99.1 (SEC): ingresos 256,1 M (+32 %), Korlym y genérico 208,6 M, Lifyorli 47,6 M, guía 2026 de 1.100-1.200 M, caja 544,6 M, PDUFA en Cushing el 17-dic-2026.</w:t>
      </w:r>
      <w:r>
        <w:t xml:space="preserve"> </w:t>
      </w:r>
      <w:r>
        <w:t xml:space="preserve">[2] Corcept, 10-Q del 2T 2026 (SEC): 108,1 M de acciones; farmacia especializada exclusiva Curant; Teva (no infracción confirmada, revisión denegada el 10-jul); acuerdos con Sun y Hikma; antimonopolio de Teva; demanda colectiva de accionistas.</w:t>
      </w:r>
      <w:r>
        <w:t xml:space="preserve"> </w:t>
      </w:r>
      <w:r>
        <w:t xml:space="preserve">[3] Corcept, 10-K de 2025 y resultados del 4T 2025 (SEC): ingresos 2025 761,4 M; primera guía 2026 de 900-1.000 M; recompras de 245,9 M; patentes de uso de Korlym 2028-2038 y de cáncer 2033-2042.</w:t>
      </w:r>
      <w:r>
        <w:t xml:space="preserve"> </w:t>
      </w:r>
      <w:r>
        <w:t xml:space="preserve">[4] Corcept, resultados del 4T 2024, 2T 2025, 3T 2025 y 1T 2026 (8-K, SEC): guías de 2025 (900-950, 850-900, 800-850 M) y de 2026 (950-1.050 M).</w:t>
      </w:r>
      <w:r>
        <w:t xml:space="preserve"> </w:t>
      </w:r>
      <w:r>
        <w:t xml:space="preserve">[5] Corcept, 8-K de 31-dic-2025, 22-ene-2026, 19-feb-2026, 25-mar-2026, 3-jun-2026, 17-jun-2026, 23-sep-2026 y 14-oct-2025 (SEC).</w:t>
      </w:r>
      <w:r>
        <w:t xml:space="preserve"> </w:t>
      </w:r>
      <w:r>
        <w:t xml:space="preserve">[6] SEC, Formularios 4 de marzo a octubre de 2026 (78).</w:t>
      </w:r>
      <w:r>
        <w:t xml:space="preserve"> </w:t>
      </w:r>
      <w:r>
        <w:t xml:space="preserve">[7] Yahoo Finance chart API (CORT, QQQ, SPY, IBB, XBI): cierres, medias de 200 sesiones, intradía del 14-oct.</w:t>
      </w:r>
      <w:r>
        <w:t xml:space="preserve"> </w:t>
      </w:r>
      <w:r>
        <w:t xml:space="preserve">[8] Nasdaq.com, histórico de CORT: cierre del 13-oct-2026 117,80 USD.</w:t>
      </w:r>
      <w:r>
        <w:t xml:space="preserve"> </w:t>
      </w:r>
      <w:r>
        <w:t xml:space="preserve">[9] StockAnalysis, previsiones y precios objetivo de CORT (14-oct-2026).</w:t>
      </w:r>
      <w:r>
        <w:t xml:space="preserve"> </w:t>
      </w:r>
      <w:r>
        <w:t xml:space="preserve">[10] StockAnalysis, estadísticas de CORT (14-oct-2026).</w:t>
      </w:r>
      <w:r>
        <w:t xml:space="preserve"> </w:t>
      </w:r>
      <w:r>
        <w:t xml:space="preserve">[11] CancerNetwork (18-sep-2026) y EMA: opinión positiva del CHMP para Lifyorli el 17-sep-2026.</w:t>
      </w:r>
      <w:r>
        <w:t xml:space="preserve"> </w:t>
      </w:r>
      <w:r>
        <w:t xml:space="preserve">[12] StockTwits, flujo de CORT (API pública, 14-oct-2026).</w:t>
      </w:r>
      <w:r>
        <w:t xml:space="preserve"> </w:t>
      </w:r>
      <w:r>
        <w:t xml:space="preserve">[13] SEC XBRL companyfacts (CIK 1088856).</w:t>
      </w:r>
      <w:r>
        <w:t xml:space="preserve"> </w:t>
      </w:r>
      <w:r>
        <w:t xml:space="preserve">[14] Zacks (sep-2026): subida del 167 % en el año; riesgo de dependencia de Korlym.</w:t>
      </w:r>
      <w:r>
        <w:t xml:space="preserve"> </w:t>
      </w:r>
      <w:r>
        <w:t xml:space="preserve">[15] Cálculo propio de EV, EBITDA NTM, serie histórica del múltiplo y DCF inverso (detalle en</w:t>
      </w:r>
      <w:r>
        <w:t xml:space="preserve"> </w:t>
      </w:r>
      <w:r>
        <w:rPr>
          <w:rStyle w:val="VerbatimChar"/>
        </w:rPr>
        <w:t xml:space="preserve">datos.json</w:t>
      </w:r>
      <w:r>
        <w:t xml:space="preserve">).</w:t>
      </w:r>
      <w:r>
        <w:t xml:space="preserve"> </w:t>
      </w:r>
      <w:r>
        <w:t xml:space="preserve">[16] StockAnalysis, estadísticas de Neurocrine, Halozyme, Exelixis y Catalyst (14-oct-2026).</w:t>
      </w:r>
      <w:r>
        <w:t xml:space="preserve"> </w:t>
      </w:r>
      <w:r>
        <w:t xml:space="preserve">[17] De memoria, sin verificar en esta sesión: rivales en Cushing (Isturisa, Recorlev) y en ovario (Elahere); salida del genérico de Teva en enero de 2024.</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2026-10-14T20:17:22Z</dcterms:created>
  <dcterms:modified xsi:type="dcterms:W3CDTF">2026-10-14T20:17:22Z</dcterms:modified>
</cp:coreProperties>
</file>

<file path=docProps/custom.xml><?xml version="1.0" encoding="utf-8"?>
<Properties xmlns="http://schemas.openxmlformats.org/officeDocument/2006/custom-properties" xmlns:vt="http://schemas.openxmlformats.org/officeDocument/2006/docPropsVTypes"/>
</file>