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lemonade-lmnd-análisis-growth-2026-10-14"/>
    <w:p>
      <w:pPr>
        <w:pStyle w:val="Heading1"/>
      </w:pPr>
      <w:r>
        <w:t xml:space="preserve">Lemonade (LMND): análisis growth, 2026-10-14</w:t>
      </w:r>
    </w:p>
    <w:p>
      <w:pPr>
        <w:pStyle w:val="FirstParagraph"/>
      </w:pPr>
      <w:r>
        <w:rPr>
          <w:bCs/>
          <w:b/>
        </w:rPr>
        <w:t xml:space="preserve">Señal: Mantener (no compra, en el límite)</w:t>
      </w:r>
      <w:r>
        <w:t xml:space="preserve"> </w:t>
      </w:r>
      <w:r>
        <w:t xml:space="preserve">· Puntuación 59,3/100 · Señales de cambio de tendencia 2/8 · Método v11 (vigente)</w:t>
      </w:r>
      <w:r>
        <w:t xml:space="preserve"> </w:t>
      </w:r>
      <w:r>
        <w:t xml:space="preserve">Precio 44,71 USD (cierre 13-oct) · Objetivo 12 m 49,5 USD (ponderada +10,7 %, base +14,3 %, bajista −43,3 %, alcista +57,1 %) · Compra hasta 47,1 USD (no aplica mientras la puntuación no llegue a 60)</w:t>
      </w:r>
      <w:r>
        <w:t xml:space="preserve"> </w:t>
      </w:r>
      <w:r>
        <w:t xml:space="preserve">Peso orientativo: no entra</w:t>
      </w:r>
    </w:p>
    <w:p>
      <w:pPr>
        <w:pStyle w:val="BodyText"/>
      </w:pPr>
      <w:r>
        <w:rPr>
          <w:iCs/>
          <w:i/>
        </w:rPr>
        <w:t xml:space="preserve">Referencia v9:</w:t>
      </w:r>
      <w:r>
        <w:t xml:space="preserve"> </w:t>
      </w:r>
      <w:r>
        <w:t xml:space="preserve">misma puntuación y señal (Mantener); ponderada +11,3 %, base +14,3 %, bajista −43,3 %, compra hasta 47,4 USD. Casi no cambia porque las ventas del informe (1.970 M en el escenario base) son prácticamente las de la regla mecánica (1.939 M). La candidata v12 da lo mismo que v11: Lemonade no ha comprado negocios.</w:t>
      </w:r>
    </w:p>
    <w:p>
      <w:pPr>
        <w:pStyle w:val="BodyText"/>
      </w:pPr>
      <w:r>
        <w:rPr>
          <w:bCs/>
          <w:b/>
        </w:rPr>
        <w:t xml:space="preserve">Precio actual:</w:t>
      </w:r>
      <w:r>
        <w:t xml:space="preserve"> </w:t>
      </w:r>
      <w:r>
        <w:t xml:space="preserve">43,82 USD, cierre del 14-oct a las 20:00 UTC (Yahoo y Nasdaq.com coinciden). Con el objetivo del informe fijo (49,5 USD), la ponderada es</w:t>
      </w:r>
      <w:r>
        <w:t xml:space="preserve"> </w:t>
      </w:r>
      <w:r>
        <w:rPr>
          <w:bCs/>
          <w:b/>
        </w:rPr>
        <w:t xml:space="preserve">+13,0 %</w:t>
      </w:r>
      <w:r>
        <w:t xml:space="preserve">. Sigue en Mantener: lo que falta es puntuación, no precio.</w:t>
      </w:r>
    </w:p>
    <w:p>
      <w:pPr>
        <w:pStyle w:val="BodyText"/>
      </w:pPr>
      <w:r>
        <w:rPr>
          <w:bCs/>
          <w:b/>
        </w:rPr>
        <w:t xml:space="preserve">Por qué es «en el límite».</w:t>
      </w:r>
      <w:r>
        <w:t xml:space="preserve"> </w:t>
      </w:r>
      <w:r>
        <w:t xml:space="preserve">Le faltan 0,7 puntos para 60. Un solo punto más en algo subjetivo la pasa a Comprar (baja convicción): contar el flujo de caja de 12 meses (+8 M) como «FCF positivo», o subir la nota de dirección o de tecnología. He dejado las notas prudentes por las razones del apartado 11. No es una compra que el método rechace con claridad, pero tampoco una que pase.</w:t>
      </w:r>
    </w:p>
    <w:p>
      <w:pPr>
        <w:pStyle w:val="BodyText"/>
      </w:pPr>
      <w:r>
        <w:rPr>
          <w:bCs/>
          <w:b/>
        </w:rPr>
        <w:t xml:space="preserve">Nota de método (aseguradora).</w:t>
      </w:r>
      <w:r>
        <w:t xml:space="preserve"> </w:t>
      </w:r>
      <w:r>
        <w:t xml:space="preserve">Como en Kinsale y Nu, el método growth no está hecho para una aseguradora. Los ajustes son estos:</w:t>
      </w:r>
      <w:r>
        <w:t xml:space="preserve"> </w:t>
      </w:r>
      <w:r>
        <w:t xml:space="preserve">-</w:t>
      </w:r>
      <w:r>
        <w:t xml:space="preserve"> </w:t>
      </w:r>
      <w:r>
        <w:rPr>
          <w:bCs/>
          <w:b/>
        </w:rPr>
        <w:t xml:space="preserve">«Ventas» = primas brutas devengadas</w:t>
      </w:r>
      <w:r>
        <w:t xml:space="preserve"> </w:t>
      </w:r>
      <w:r>
        <w:t xml:space="preserve">(gross earned premium, GEP): 1.203,5 M USD en 12 meses, un 30 % más. No uso los ingresos contables (975 M, +62 %) porque ese salto se debe a que Lemonade cede menos primas al reasegurador desde julio de 2025 (cedía ~55 %, ahora ~18 %), no a que venda más. Las</w:t>
      </w:r>
      <w:r>
        <w:t xml:space="preserve"> </w:t>
      </w:r>
      <w:r>
        <w:rPr>
          <w:bCs/>
          <w:b/>
        </w:rPr>
        <w:t xml:space="preserve">primas en vigor</w:t>
      </w:r>
      <w:r>
        <w:t xml:space="preserve"> </w:t>
      </w:r>
      <w:r>
        <w:t xml:space="preserve">(IFP, la prima anual de todas las pólizas vivas, 1.434 M, +32 %) son el indicador adelantado.</w:t>
      </w:r>
      <w:r>
        <w:t xml:space="preserve"> </w:t>
      </w:r>
      <w:r>
        <w:t xml:space="preserve">-</w:t>
      </w:r>
      <w:r>
        <w:t xml:space="preserve"> </w:t>
      </w:r>
      <w:r>
        <w:rPr>
          <w:bCs/>
          <w:b/>
        </w:rPr>
        <w:t xml:space="preserve">«Margen bruto»</w:t>
      </w:r>
      <w:r>
        <w:t xml:space="preserve"> </w:t>
      </w:r>
      <w:r>
        <w:t xml:space="preserve">= beneficio bruto contable entre primas brutas devengadas: 33,6 %.</w:t>
      </w:r>
      <w:r>
        <w:t xml:space="preserve"> </w:t>
      </w:r>
      <w:r>
        <w:t xml:space="preserve">-</w:t>
      </w:r>
      <w:r>
        <w:t xml:space="preserve"> </w:t>
      </w:r>
      <w:r>
        <w:rPr>
          <w:bCs/>
          <w:b/>
        </w:rPr>
        <w:t xml:space="preserve">Caja y deuda.</w:t>
      </w:r>
      <w:r>
        <w:t xml:space="preserve"> </w:t>
      </w:r>
      <w:r>
        <w:t xml:space="preserve">La cartera de 1.158 M respalda reservas y primas no devengadas: no es caja libre. Tomo como caja el exceso de capital: patrimonio menos intangibles menos el capital que exige el regulador (~330 M), unos 142 M netos. La deuda son 206 M de «agentes sintéticos», un préstamo que financia la captación de clientes.</w:t>
      </w:r>
      <w:r>
        <w:t xml:space="preserve"> </w:t>
      </w:r>
      <w:r>
        <w:t xml:space="preserve">-</w:t>
      </w:r>
      <w:r>
        <w:t xml:space="preserve"> </w:t>
      </w:r>
      <w:r>
        <w:rPr>
          <w:bCs/>
          <w:b/>
        </w:rPr>
        <w:t xml:space="preserve">Valoración por EV/primas</w:t>
      </w:r>
      <w:r>
        <w:t xml:space="preserve"> </w:t>
      </w:r>
      <w:r>
        <w:t xml:space="preserve">(EV/ventas) de los 12 meses siguientes, porque no gana dinero (pérdida neta de 138 M en 12 meses). Contraste:</w:t>
      </w:r>
      <w:r>
        <w:t xml:space="preserve"> </w:t>
      </w:r>
      <w:r>
        <w:rPr>
          <w:bCs/>
          <w:b/>
        </w:rPr>
        <w:t xml:space="preserve">P/VC de 6,9 veces</w:t>
      </w:r>
      <w:r>
        <w:t xml:space="preserve">, muy por encima de cualquier aseguradora.</w:t>
      </w:r>
    </w:p>
    <w:bookmarkStart w:id="20" w:name="la-tesis-en-cinco-líneas"/>
    <w:p>
      <w:pPr>
        <w:pStyle w:val="Heading2"/>
      </w:pPr>
      <w:r>
        <w:t xml:space="preserve">1. La tesis en cinco líneas</w:t>
      </w:r>
    </w:p>
    <w:p>
      <w:pPr>
        <w:numPr>
          <w:ilvl w:val="0"/>
          <w:numId w:val="1001"/>
        </w:numPr>
        <w:pStyle w:val="Compact"/>
      </w:pPr>
      <w:r>
        <w:t xml:space="preserve">Lemonade vende seguros de hogar, inquilino, mascotas, coche y vida por app y web, con la gestión de siniestros automatizada con IA. Sus primas en vigor crecen un 32 % y aceleran por undécimo trimestre seguido.</w:t>
      </w:r>
    </w:p>
    <w:p>
      <w:pPr>
        <w:numPr>
          <w:ilvl w:val="0"/>
          <w:numId w:val="1001"/>
        </w:numPr>
        <w:pStyle w:val="Compact"/>
      </w:pPr>
      <w:r>
        <w:t xml:space="preserve">El negocio ha dado la vuelta en la parte de seguro. La siniestralidad bruta de 12 meses ha bajado del 70 % al 59 % en un año, y el beneficio bruto casi se duplica. La pérdida de EBITDA ajustado cae a menos de la mitad, y la empresa guía su primer trimestre en positivo en el 4T26.</w:t>
      </w:r>
    </w:p>
    <w:p>
      <w:pPr>
        <w:numPr>
          <w:ilvl w:val="0"/>
          <w:numId w:val="1001"/>
        </w:numPr>
        <w:pStyle w:val="Compact"/>
      </w:pPr>
      <w:r>
        <w:t xml:space="preserve">Pero la bolsa la ha castigado: cae un 54 % desde el máximo de enero (96,6 USD) y un 23 % el día de resultados del 2T26. Motivos: la guía de primas en vigor quedó algo por debajo de lo esperado, sube el gasto en captación y cambia el director financiero.</w:t>
      </w:r>
    </w:p>
    <w:p>
      <w:pPr>
        <w:numPr>
          <w:ilvl w:val="0"/>
          <w:numId w:val="1001"/>
        </w:numPr>
        <w:pStyle w:val="Compact"/>
      </w:pPr>
      <w:r>
        <w:t xml:space="preserve">A 2,3 veces las primas de los 12 meses siguientes cotiza en su mediana de 3 años. Pero vale 6,9 veces su valor contable, y el precio descuenta que las primas crezcan ~21 % al año durante 10 años con un margen neto del 8 %. Es exigente para una aseguradora.</w:t>
      </w:r>
    </w:p>
    <w:p>
      <w:pPr>
        <w:numPr>
          <w:ilvl w:val="0"/>
          <w:numId w:val="1001"/>
        </w:numPr>
        <w:pStyle w:val="Compact"/>
      </w:pPr>
      <w:r>
        <w:t xml:space="preserve">Puntuación 59,3:</w:t>
      </w:r>
      <w:r>
        <w:t xml:space="preserve"> </w:t>
      </w:r>
      <w:r>
        <w:rPr>
          <w:bCs/>
          <w:b/>
        </w:rPr>
        <w:t xml:space="preserve">Mantener</w:t>
      </w:r>
      <w:r>
        <w:t xml:space="preserve">, a un punto de Comprar. La rentabilidad esperada (+13 % al precio de hoy) no llega a la de las cinco posiciones growth y el bajista es del −43 %. No sustituye a ninguna.</w:t>
      </w:r>
    </w:p>
    <w:bookmarkEnd w:id="20"/>
    <w:bookmarkStart w:id="21" w:name="negocio-y-tecnología"/>
    <w:p>
      <w:pPr>
        <w:pStyle w:val="Heading2"/>
      </w:pPr>
      <w:r>
        <w:t xml:space="preserve">2. Negocio y tecnología</w:t>
      </w:r>
    </w:p>
    <w:p>
      <w:pPr>
        <w:pStyle w:val="FirstParagraph"/>
      </w:pPr>
      <w:r>
        <w:t xml:space="preserve">Lemonade (Nueva York; fundada en 2015 por Daniel Schreiber y Shai Wininger, que siguen de consejero delegado y presidente; en bolsa desde 2020) es una aseguradora completa: asume el riesgo con sus propias compañías en EE. UU. y Europa. Vende directamente, sin agentes. 3,31 millones de clientes, con una prima media de 433 USD.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Línea (primas en vigor, jun-26)</w:t>
            </w:r>
          </w:p>
        </w:tc>
        <w:tc>
          <w:tcPr/>
          <w:p>
            <w:pPr>
              <w:pStyle w:val="Compact"/>
              <w:jc w:val="left"/>
            </w:pPr>
            <w:r>
              <w:t xml:space="preserve">M USD</w:t>
            </w:r>
          </w:p>
        </w:tc>
        <w:tc>
          <w:tcPr/>
          <w:p>
            <w:pPr>
              <w:pStyle w:val="Compact"/>
              <w:jc w:val="left"/>
            </w:pPr>
            <w:r>
              <w:t xml:space="preserve">Var. a/a</w:t>
            </w:r>
          </w:p>
        </w:tc>
        <w:tc>
          <w:tcPr/>
          <w:p>
            <w:pPr>
              <w:pStyle w:val="Compact"/>
              <w:jc w:val="left"/>
            </w:pPr>
            <w:r>
              <w:t xml:space="preserve">Siniestralidad bruta 2T26</w:t>
            </w:r>
          </w:p>
        </w:tc>
      </w:tr>
      <w:tr>
        <w:tc>
          <w:tcPr/>
          <w:p>
            <w:pPr>
              <w:pStyle w:val="Compact"/>
              <w:jc w:val="left"/>
            </w:pPr>
            <w:r>
              <w:t xml:space="preserve">Hogar e inquilinos</w:t>
            </w:r>
          </w:p>
        </w:tc>
        <w:tc>
          <w:tcPr/>
          <w:p>
            <w:pPr>
              <w:pStyle w:val="Compact"/>
              <w:jc w:val="left"/>
            </w:pPr>
            <w:r>
              <w:t xml:space="preserve">554</w:t>
            </w:r>
          </w:p>
        </w:tc>
        <w:tc>
          <w:tcPr/>
          <w:p>
            <w:pPr>
              <w:pStyle w:val="Compact"/>
              <w:jc w:val="left"/>
            </w:pPr>
            <w:r>
              <w:t xml:space="preserve">+6 %</w:t>
            </w:r>
          </w:p>
        </w:tc>
        <w:tc>
          <w:tcPr/>
          <w:p>
            <w:pPr>
              <w:pStyle w:val="Compact"/>
              <w:jc w:val="left"/>
            </w:pPr>
            <w:r>
              <w:t xml:space="preserve">44 %</w:t>
            </w:r>
          </w:p>
        </w:tc>
      </w:tr>
      <w:tr>
        <w:tc>
          <w:tcPr/>
          <w:p>
            <w:pPr>
              <w:pStyle w:val="Compact"/>
              <w:jc w:val="left"/>
            </w:pPr>
            <w:r>
              <w:t xml:space="preserve">Mascotas</w:t>
            </w:r>
          </w:p>
        </w:tc>
        <w:tc>
          <w:tcPr/>
          <w:p>
            <w:pPr>
              <w:pStyle w:val="Compact"/>
              <w:jc w:val="left"/>
            </w:pPr>
            <w:r>
              <w:t xml:space="preserve">543</w:t>
            </w:r>
          </w:p>
        </w:tc>
        <w:tc>
          <w:tcPr/>
          <w:p>
            <w:pPr>
              <w:pStyle w:val="Compact"/>
              <w:jc w:val="left"/>
            </w:pPr>
            <w:r>
              <w:t xml:space="preserve">+55 %</w:t>
            </w:r>
          </w:p>
        </w:tc>
        <w:tc>
          <w:tcPr/>
          <w:p>
            <w:pPr>
              <w:pStyle w:val="Compact"/>
              <w:jc w:val="left"/>
            </w:pPr>
            <w:r>
              <w:t xml:space="preserve">74 %</w:t>
            </w:r>
          </w:p>
        </w:tc>
      </w:tr>
      <w:tr>
        <w:tc>
          <w:tcPr/>
          <w:p>
            <w:pPr>
              <w:pStyle w:val="Compact"/>
              <w:jc w:val="left"/>
            </w:pPr>
            <w:r>
              <w:t xml:space="preserve">Coche</w:t>
            </w:r>
          </w:p>
        </w:tc>
        <w:tc>
          <w:tcPr/>
          <w:p>
            <w:pPr>
              <w:pStyle w:val="Compact"/>
              <w:jc w:val="left"/>
            </w:pPr>
            <w:r>
              <w:t xml:space="preserve">239</w:t>
            </w:r>
          </w:p>
        </w:tc>
        <w:tc>
          <w:tcPr/>
          <w:p>
            <w:pPr>
              <w:pStyle w:val="Compact"/>
              <w:jc w:val="left"/>
            </w:pPr>
            <w:r>
              <w:t xml:space="preserve">+59 %</w:t>
            </w:r>
          </w:p>
        </w:tc>
        <w:tc>
          <w:tcPr/>
          <w:p>
            <w:pPr>
              <w:pStyle w:val="Compact"/>
              <w:jc w:val="left"/>
            </w:pPr>
            <w:r>
              <w:t xml:space="preserve">61 %</w:t>
            </w:r>
          </w:p>
        </w:tc>
      </w:tr>
      <w:tr>
        <w:tc>
          <w:tcPr/>
          <w:p>
            <w:pPr>
              <w:pStyle w:val="Compact"/>
              <w:jc w:val="left"/>
            </w:pPr>
            <w:r>
              <w:t xml:space="preserve">Europa (todo)</w:t>
            </w:r>
          </w:p>
        </w:tc>
        <w:tc>
          <w:tcPr/>
          <w:p>
            <w:pPr>
              <w:pStyle w:val="Compact"/>
              <w:jc w:val="left"/>
            </w:pPr>
            <w:r>
              <w:t xml:space="preserve">74</w:t>
            </w:r>
          </w:p>
        </w:tc>
        <w:tc>
          <w:tcPr/>
          <w:p>
            <w:pPr>
              <w:pStyle w:val="Compact"/>
              <w:jc w:val="left"/>
            </w:pPr>
            <w:r>
              <w:t xml:space="preserve">+72 %</w:t>
            </w:r>
          </w:p>
        </w:tc>
        <w:tc>
          <w:tcPr/>
          <w:p>
            <w:pPr>
              <w:pStyle w:val="Compact"/>
              <w:jc w:val="left"/>
            </w:pPr>
            <w:r>
              <w:t xml:space="preserve">71 %</w:t>
            </w:r>
          </w:p>
        </w:tc>
      </w:tr>
      <w:tr>
        <w:tc>
          <w:tcPr/>
          <w:p>
            <w:pPr>
              <w:pStyle w:val="Compact"/>
              <w:jc w:val="left"/>
            </w:pPr>
            <w:r>
              <w:t xml:space="preserve">Otros (vida y otros)</w:t>
            </w:r>
          </w:p>
        </w:tc>
        <w:tc>
          <w:tcPr/>
          <w:p>
            <w:pPr>
              <w:pStyle w:val="Compact"/>
              <w:jc w:val="left"/>
            </w:pPr>
            <w:r>
              <w:t xml:space="preserve">24</w:t>
            </w:r>
          </w:p>
        </w:tc>
        <w:tc>
          <w:tcPr/>
          <w:p>
            <w:pPr>
              <w:pStyle w:val="Compact"/>
              <w:jc w:val="left"/>
            </w:pPr>
            <w:r>
              <w:t xml:space="preserve">+41 %</w:t>
            </w:r>
          </w:p>
        </w:tc>
        <w:tc>
          <w:tcPr/>
          <w:p>
            <w:pPr>
              <w:pStyle w:val="Compact"/>
              <w:jc w:val="left"/>
            </w:pPr>
            <w:r>
              <w:t xml:space="preserve">—</w:t>
            </w:r>
          </w:p>
        </w:tc>
      </w:tr>
      <w:tr>
        <w:tc>
          <w:tcPr/>
          <w:p>
            <w:pPr>
              <w:pStyle w:val="Compact"/>
              <w:jc w:val="left"/>
            </w:pPr>
            <w:r>
              <w:rPr>
                <w:bCs/>
                <w:b/>
              </w:rPr>
              <w:t xml:space="preserve">Total</w:t>
            </w:r>
          </w:p>
        </w:tc>
        <w:tc>
          <w:tcPr/>
          <w:p>
            <w:pPr>
              <w:pStyle w:val="Compact"/>
              <w:jc w:val="left"/>
            </w:pPr>
            <w:r>
              <w:rPr>
                <w:bCs/>
                <w:b/>
              </w:rPr>
              <w:t xml:space="preserve">1.434</w:t>
            </w:r>
          </w:p>
        </w:tc>
        <w:tc>
          <w:tcPr/>
          <w:p>
            <w:pPr>
              <w:pStyle w:val="Compact"/>
              <w:jc w:val="left"/>
            </w:pPr>
            <w:r>
              <w:rPr>
                <w:bCs/>
                <w:b/>
              </w:rPr>
              <w:t xml:space="preserve">+32 %</w:t>
            </w:r>
          </w:p>
        </w:tc>
        <w:tc>
          <w:tcPr/>
          <w:p>
            <w:pPr>
              <w:pStyle w:val="Compact"/>
              <w:jc w:val="left"/>
            </w:pPr>
            <w:r>
              <w:rPr>
                <w:bCs/>
                <w:b/>
              </w:rPr>
              <w:t xml:space="preserve">60 %</w:t>
            </w:r>
          </w:p>
        </w:tc>
      </w:tr>
    </w:tbl>
    <w:p>
      <w:pPr>
        <w:pStyle w:val="BodyText"/>
      </w:pPr>
      <w:r>
        <w:t xml:space="preserve">Fuente: [1], suplemento de seguros.</w:t>
      </w:r>
    </w:p>
    <w:p>
      <w:pPr>
        <w:pStyle w:val="BodyText"/>
      </w:pPr>
      <w:r>
        <w:rPr>
          <w:bCs/>
          <w:b/>
        </w:rPr>
        <w:t xml:space="preserve">Lo diferencial:</w:t>
      </w:r>
      <w:r>
        <w:t xml:space="preserve"> </w:t>
      </w:r>
      <w:r>
        <w:t xml:space="preserve">-</w:t>
      </w:r>
      <w:r>
        <w:t xml:space="preserve"> </w:t>
      </w:r>
      <w:r>
        <w:rPr>
          <w:bCs/>
          <w:b/>
        </w:rPr>
        <w:t xml:space="preserve">Coste de tramitar siniestros</w:t>
      </w:r>
      <w:r>
        <w:t xml:space="preserve"> </w:t>
      </w:r>
      <w:r>
        <w:t xml:space="preserve">(LAE): el 5 % de las primas frente al ~9 % de media del sector, y bajando (13 % en 2022). Muchos siniestros de mascotas e inquilinos se pagan al instante, sin intervención humana [1].</w:t>
      </w:r>
      <w:r>
        <w:t xml:space="preserve"> </w:t>
      </w:r>
      <w:r>
        <w:t xml:space="preserve">-</w:t>
      </w:r>
      <w:r>
        <w:t xml:space="preserve"> </w:t>
      </w:r>
      <w:r>
        <w:rPr>
          <w:bCs/>
          <w:b/>
        </w:rPr>
        <w:t xml:space="preserve">Captación con modelos propios</w:t>
      </w:r>
      <w:r>
        <w:t xml:space="preserve"> </w:t>
      </w:r>
      <w:r>
        <w:t xml:space="preserve">de valor de vida del cliente (LTV/CAC ~3 veces, según la empresa) y venta cruzada (inquilino → hogar, mascota → coche).</w:t>
      </w:r>
      <w:r>
        <w:t xml:space="preserve"> </w:t>
      </w:r>
      <w:r>
        <w:t xml:space="preserve">-</w:t>
      </w:r>
      <w:r>
        <w:t xml:space="preserve"> </w:t>
      </w:r>
      <w:r>
        <w:rPr>
          <w:bCs/>
          <w:b/>
        </w:rPr>
        <w:t xml:space="preserve">Reaseguro a la medida:</w:t>
      </w:r>
      <w:r>
        <w:t xml:space="preserve"> </w:t>
      </w:r>
      <w:r>
        <w:t xml:space="preserve">ahora cede menos (~18 %) y compra más protección contra catástrofes (hasta 40 M por evento y 100 M al año, con tormentas con nombre incluidas desde jul-26).</w:t>
      </w:r>
    </w:p>
    <w:p>
      <w:pPr>
        <w:pStyle w:val="BodyText"/>
      </w:pPr>
      <w:r>
        <w:rPr>
          <w:bCs/>
          <w:b/>
        </w:rPr>
        <w:t xml:space="preserve">Lo que no es nuevo:</w:t>
      </w:r>
      <w:r>
        <w:t xml:space="preserve"> </w:t>
      </w:r>
      <w:r>
        <w:t xml:space="preserve">el seguro sigue siendo un negocio de datos de siniestros, capital y precio. El crecimiento más rápido viene de mascotas y coche, que son las líneas con más siniestralidad.</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Trimestre</w:t>
            </w:r>
          </w:p>
        </w:tc>
        <w:tc>
          <w:tcPr/>
          <w:p>
            <w:pPr>
              <w:pStyle w:val="Compact"/>
              <w:jc w:val="left"/>
            </w:pPr>
            <w:r>
              <w:t xml:space="preserve">Primas en vigor (M)</w:t>
            </w:r>
          </w:p>
        </w:tc>
        <w:tc>
          <w:tcPr/>
          <w:p>
            <w:pPr>
              <w:pStyle w:val="Compact"/>
              <w:jc w:val="left"/>
            </w:pPr>
            <w:r>
              <w:t xml:space="preserve">Var. a/a</w:t>
            </w:r>
          </w:p>
        </w:tc>
        <w:tc>
          <w:tcPr/>
          <w:p>
            <w:pPr>
              <w:pStyle w:val="Compact"/>
              <w:jc w:val="left"/>
            </w:pPr>
            <w:r>
              <w:t xml:space="preserve">Primas brutas devengadas (M)</w:t>
            </w:r>
          </w:p>
        </w:tc>
        <w:tc>
          <w:tcPr/>
          <w:p>
            <w:pPr>
              <w:pStyle w:val="Compact"/>
              <w:jc w:val="left"/>
            </w:pPr>
            <w:r>
              <w:t xml:space="preserve">Var. a/a</w:t>
            </w:r>
          </w:p>
        </w:tc>
        <w:tc>
          <w:tcPr/>
          <w:p>
            <w:pPr>
              <w:pStyle w:val="Compact"/>
              <w:jc w:val="left"/>
            </w:pPr>
            <w:r>
              <w:t xml:space="preserve">Ingresos (M)</w:t>
            </w:r>
          </w:p>
        </w:tc>
        <w:tc>
          <w:tcPr/>
          <w:p>
            <w:pPr>
              <w:pStyle w:val="Compact"/>
              <w:jc w:val="left"/>
            </w:pPr>
            <w:r>
              <w:t xml:space="preserve">Siniestralidad bruta</w:t>
            </w:r>
          </w:p>
        </w:tc>
        <w:tc>
          <w:tcPr/>
          <w:p>
            <w:pPr>
              <w:pStyle w:val="Compact"/>
              <w:jc w:val="left"/>
            </w:pPr>
            <w:r>
              <w:t xml:space="preserve">EBITDA ajustado (M)</w:t>
            </w:r>
          </w:p>
        </w:tc>
      </w:tr>
      <w:tr>
        <w:tc>
          <w:tcPr/>
          <w:p>
            <w:pPr>
              <w:pStyle w:val="Compact"/>
              <w:jc w:val="left"/>
            </w:pPr>
            <w:r>
              <w:t xml:space="preserve">2T25</w:t>
            </w:r>
          </w:p>
        </w:tc>
        <w:tc>
          <w:tcPr/>
          <w:p>
            <w:pPr>
              <w:pStyle w:val="Compact"/>
              <w:jc w:val="left"/>
            </w:pPr>
            <w:r>
              <w:t xml:space="preserve">1.083,4</w:t>
            </w:r>
          </w:p>
        </w:tc>
        <w:tc>
          <w:tcPr/>
          <w:p>
            <w:pPr>
              <w:pStyle w:val="Compact"/>
              <w:jc w:val="left"/>
            </w:pPr>
            <w:r>
              <w:t xml:space="preserve">+29 %</w:t>
            </w:r>
          </w:p>
        </w:tc>
        <w:tc>
          <w:tcPr/>
          <w:p>
            <w:pPr>
              <w:pStyle w:val="Compact"/>
              <w:jc w:val="left"/>
            </w:pPr>
            <w:r>
              <w:t xml:space="preserve">252,3</w:t>
            </w:r>
          </w:p>
        </w:tc>
        <w:tc>
          <w:tcPr/>
          <w:p>
            <w:pPr>
              <w:pStyle w:val="Compact"/>
              <w:jc w:val="left"/>
            </w:pPr>
            <w:r>
              <w:t xml:space="preserve">+26,2 %</w:t>
            </w:r>
          </w:p>
        </w:tc>
        <w:tc>
          <w:tcPr/>
          <w:p>
            <w:pPr>
              <w:pStyle w:val="Compact"/>
              <w:jc w:val="left"/>
            </w:pPr>
            <w:r>
              <w:t xml:space="preserve">164,1</w:t>
            </w:r>
          </w:p>
        </w:tc>
        <w:tc>
          <w:tcPr/>
          <w:p>
            <w:pPr>
              <w:pStyle w:val="Compact"/>
              <w:jc w:val="left"/>
            </w:pPr>
            <w:r>
              <w:t xml:space="preserve">67 %</w:t>
            </w:r>
          </w:p>
        </w:tc>
        <w:tc>
          <w:tcPr/>
          <w:p>
            <w:pPr>
              <w:pStyle w:val="Compact"/>
              <w:jc w:val="left"/>
            </w:pPr>
            <w:r>
              <w:t xml:space="preserve">−40,9</w:t>
            </w:r>
          </w:p>
        </w:tc>
      </w:tr>
      <w:tr>
        <w:tc>
          <w:tcPr/>
          <w:p>
            <w:pPr>
              <w:pStyle w:val="Compact"/>
              <w:jc w:val="left"/>
            </w:pPr>
            <w:r>
              <w:t xml:space="preserve">3T25</w:t>
            </w:r>
          </w:p>
        </w:tc>
        <w:tc>
          <w:tcPr/>
          <w:p>
            <w:pPr>
              <w:pStyle w:val="Compact"/>
              <w:jc w:val="left"/>
            </w:pPr>
            <w:r>
              <w:t xml:space="preserve">1.157,9</w:t>
            </w:r>
          </w:p>
        </w:tc>
        <w:tc>
          <w:tcPr/>
          <w:p>
            <w:pPr>
              <w:pStyle w:val="Compact"/>
              <w:jc w:val="left"/>
            </w:pPr>
            <w:r>
              <w:t xml:space="preserve">+30 %</w:t>
            </w:r>
          </w:p>
        </w:tc>
        <w:tc>
          <w:tcPr/>
          <w:p>
            <w:pPr>
              <w:pStyle w:val="Compact"/>
              <w:jc w:val="left"/>
            </w:pPr>
            <w:r>
              <w:t xml:space="preserve">274,7</w:t>
            </w:r>
          </w:p>
        </w:tc>
        <w:tc>
          <w:tcPr/>
          <w:p>
            <w:pPr>
              <w:pStyle w:val="Compact"/>
              <w:jc w:val="left"/>
            </w:pPr>
            <w:r>
              <w:t xml:space="preserve">+28,9 %</w:t>
            </w:r>
          </w:p>
        </w:tc>
        <w:tc>
          <w:tcPr/>
          <w:p>
            <w:pPr>
              <w:pStyle w:val="Compact"/>
              <w:jc w:val="left"/>
            </w:pPr>
            <w:r>
              <w:t xml:space="preserve">194,5</w:t>
            </w:r>
          </w:p>
        </w:tc>
        <w:tc>
          <w:tcPr/>
          <w:p>
            <w:pPr>
              <w:pStyle w:val="Compact"/>
              <w:jc w:val="left"/>
            </w:pPr>
            <w:r>
              <w:t xml:space="preserve">62 %</w:t>
            </w:r>
          </w:p>
        </w:tc>
        <w:tc>
          <w:tcPr/>
          <w:p>
            <w:pPr>
              <w:pStyle w:val="Compact"/>
              <w:jc w:val="left"/>
            </w:pPr>
            <w:r>
              <w:t xml:space="preserve">−25,6</w:t>
            </w:r>
          </w:p>
        </w:tc>
      </w:tr>
      <w:tr>
        <w:tc>
          <w:tcPr/>
          <w:p>
            <w:pPr>
              <w:pStyle w:val="Compact"/>
              <w:jc w:val="left"/>
            </w:pPr>
            <w:r>
              <w:t xml:space="preserve">4T25</w:t>
            </w:r>
          </w:p>
        </w:tc>
        <w:tc>
          <w:tcPr/>
          <w:p>
            <w:pPr>
              <w:pStyle w:val="Compact"/>
              <w:jc w:val="left"/>
            </w:pPr>
            <w:r>
              <w:t xml:space="preserve">1.236,5</w:t>
            </w:r>
          </w:p>
        </w:tc>
        <w:tc>
          <w:tcPr/>
          <w:p>
            <w:pPr>
              <w:pStyle w:val="Compact"/>
              <w:jc w:val="left"/>
            </w:pPr>
            <w:r>
              <w:t xml:space="preserve">+31 %</w:t>
            </w:r>
          </w:p>
        </w:tc>
        <w:tc>
          <w:tcPr/>
          <w:p>
            <w:pPr>
              <w:pStyle w:val="Compact"/>
              <w:jc w:val="left"/>
            </w:pPr>
            <w:r>
              <w:t xml:space="preserve">290,2</w:t>
            </w:r>
          </w:p>
        </w:tc>
        <w:tc>
          <w:tcPr/>
          <w:p>
            <w:pPr>
              <w:pStyle w:val="Compact"/>
              <w:jc w:val="left"/>
            </w:pPr>
            <w:r>
              <w:t xml:space="preserve">+28,2 %</w:t>
            </w:r>
          </w:p>
        </w:tc>
        <w:tc>
          <w:tcPr/>
          <w:p>
            <w:pPr>
              <w:pStyle w:val="Compact"/>
              <w:jc w:val="left"/>
            </w:pPr>
            <w:r>
              <w:t xml:space="preserve">228,1</w:t>
            </w:r>
          </w:p>
        </w:tc>
        <w:tc>
          <w:tcPr/>
          <w:p>
            <w:pPr>
              <w:pStyle w:val="Compact"/>
              <w:jc w:val="left"/>
            </w:pPr>
            <w:r>
              <w:t xml:space="preserve">52 %</w:t>
            </w:r>
          </w:p>
        </w:tc>
        <w:tc>
          <w:tcPr/>
          <w:p>
            <w:pPr>
              <w:pStyle w:val="Compact"/>
              <w:jc w:val="left"/>
            </w:pPr>
            <w:r>
              <w:t xml:space="preserve">−4,6</w:t>
            </w:r>
          </w:p>
        </w:tc>
      </w:tr>
      <w:tr>
        <w:tc>
          <w:tcPr/>
          <w:p>
            <w:pPr>
              <w:pStyle w:val="Compact"/>
              <w:jc w:val="left"/>
            </w:pPr>
            <w:r>
              <w:t xml:space="preserve">1T26</w:t>
            </w:r>
          </w:p>
        </w:tc>
        <w:tc>
          <w:tcPr/>
          <w:p>
            <w:pPr>
              <w:pStyle w:val="Compact"/>
              <w:jc w:val="left"/>
            </w:pPr>
            <w:r>
              <w:t xml:space="preserve">1.333,2</w:t>
            </w:r>
          </w:p>
        </w:tc>
        <w:tc>
          <w:tcPr/>
          <w:p>
            <w:pPr>
              <w:pStyle w:val="Compact"/>
              <w:jc w:val="left"/>
            </w:pPr>
            <w:r>
              <w:t xml:space="preserve">+32 %</w:t>
            </w:r>
          </w:p>
        </w:tc>
        <w:tc>
          <w:tcPr/>
          <w:p>
            <w:pPr>
              <w:pStyle w:val="Compact"/>
              <w:jc w:val="left"/>
            </w:pPr>
            <w:r>
              <w:t xml:space="preserve">306,2</w:t>
            </w:r>
          </w:p>
        </w:tc>
        <w:tc>
          <w:tcPr/>
          <w:p>
            <w:pPr>
              <w:pStyle w:val="Compact"/>
              <w:jc w:val="left"/>
            </w:pPr>
            <w:r>
              <w:t xml:space="preserve">+31,1 %</w:t>
            </w:r>
          </w:p>
        </w:tc>
        <w:tc>
          <w:tcPr/>
          <w:p>
            <w:pPr>
              <w:pStyle w:val="Compact"/>
              <w:jc w:val="left"/>
            </w:pPr>
            <w:r>
              <w:t xml:space="preserve">258,0</w:t>
            </w:r>
          </w:p>
        </w:tc>
        <w:tc>
          <w:tcPr/>
          <w:p>
            <w:pPr>
              <w:pStyle w:val="Compact"/>
              <w:jc w:val="left"/>
            </w:pPr>
            <w:r>
              <w:t xml:space="preserve">62 %</w:t>
            </w:r>
          </w:p>
        </w:tc>
        <w:tc>
          <w:tcPr/>
          <w:p>
            <w:pPr>
              <w:pStyle w:val="Compact"/>
              <w:jc w:val="left"/>
            </w:pPr>
            <w:r>
              <w:t xml:space="preserve">−17,1</w:t>
            </w:r>
          </w:p>
        </w:tc>
      </w:tr>
      <w:tr>
        <w:tc>
          <w:tcPr/>
          <w:p>
            <w:pPr>
              <w:pStyle w:val="Compact"/>
              <w:jc w:val="left"/>
            </w:pPr>
            <w:r>
              <w:t xml:space="preserve">2T26</w:t>
            </w:r>
          </w:p>
        </w:tc>
        <w:tc>
          <w:tcPr/>
          <w:p>
            <w:pPr>
              <w:pStyle w:val="Compact"/>
              <w:jc w:val="left"/>
            </w:pPr>
            <w:r>
              <w:t xml:space="preserve">1.434,3</w:t>
            </w:r>
          </w:p>
        </w:tc>
        <w:tc>
          <w:tcPr/>
          <w:p>
            <w:pPr>
              <w:pStyle w:val="Compact"/>
              <w:jc w:val="left"/>
            </w:pPr>
            <w:r>
              <w:t xml:space="preserve">+32 %</w:t>
            </w:r>
          </w:p>
        </w:tc>
        <w:tc>
          <w:tcPr/>
          <w:p>
            <w:pPr>
              <w:pStyle w:val="Compact"/>
              <w:jc w:val="left"/>
            </w:pPr>
            <w:r>
              <w:t xml:space="preserve">332,4</w:t>
            </w:r>
          </w:p>
        </w:tc>
        <w:tc>
          <w:tcPr/>
          <w:p>
            <w:pPr>
              <w:pStyle w:val="Compact"/>
              <w:jc w:val="left"/>
            </w:pPr>
            <w:r>
              <w:t xml:space="preserve">+31,7 %</w:t>
            </w:r>
          </w:p>
        </w:tc>
        <w:tc>
          <w:tcPr/>
          <w:p>
            <w:pPr>
              <w:pStyle w:val="Compact"/>
              <w:jc w:val="left"/>
            </w:pPr>
            <w:r>
              <w:t xml:space="preserve">294,4</w:t>
            </w:r>
          </w:p>
        </w:tc>
        <w:tc>
          <w:tcPr/>
          <w:p>
            <w:pPr>
              <w:pStyle w:val="Compact"/>
              <w:jc w:val="left"/>
            </w:pPr>
            <w:r>
              <w:t xml:space="preserve">60 %</w:t>
            </w:r>
          </w:p>
        </w:tc>
        <w:tc>
          <w:tcPr/>
          <w:p>
            <w:pPr>
              <w:pStyle w:val="Compact"/>
              <w:jc w:val="left"/>
            </w:pPr>
            <w:r>
              <w:t xml:space="preserve">−18,7</w:t>
            </w:r>
          </w:p>
        </w:tc>
      </w:tr>
    </w:tbl>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Año</w:t>
            </w:r>
          </w:p>
        </w:tc>
        <w:tc>
          <w:tcPr/>
          <w:p>
            <w:pPr>
              <w:pStyle w:val="Compact"/>
              <w:jc w:val="left"/>
            </w:pPr>
            <w:r>
              <w:t xml:space="preserve">Primas brutas devengadas</w:t>
            </w:r>
          </w:p>
        </w:tc>
        <w:tc>
          <w:tcPr/>
          <w:p>
            <w:pPr>
              <w:pStyle w:val="Compact"/>
              <w:jc w:val="left"/>
            </w:pPr>
            <w:r>
              <w:t xml:space="preserve">Var.</w:t>
            </w:r>
          </w:p>
        </w:tc>
        <w:tc>
          <w:tcPr/>
          <w:p>
            <w:pPr>
              <w:pStyle w:val="Compact"/>
              <w:jc w:val="left"/>
            </w:pPr>
            <w:r>
              <w:t xml:space="preserve">Ingresos</w:t>
            </w:r>
          </w:p>
        </w:tc>
        <w:tc>
          <w:tcPr/>
          <w:p>
            <w:pPr>
              <w:pStyle w:val="Compact"/>
              <w:jc w:val="left"/>
            </w:pPr>
            <w:r>
              <w:t xml:space="preserve">Pérdida neta</w:t>
            </w:r>
          </w:p>
        </w:tc>
        <w:tc>
          <w:tcPr/>
          <w:p>
            <w:pPr>
              <w:pStyle w:val="Compact"/>
              <w:jc w:val="left"/>
            </w:pPr>
            <w:r>
              <w:t xml:space="preserve">EBITDA ajustado</w:t>
            </w:r>
          </w:p>
        </w:tc>
      </w:tr>
      <w:tr>
        <w:tc>
          <w:tcPr/>
          <w:p>
            <w:pPr>
              <w:pStyle w:val="Compact"/>
              <w:jc w:val="left"/>
            </w:pPr>
            <w:r>
              <w:t xml:space="preserve">2024</w:t>
            </w:r>
          </w:p>
        </w:tc>
        <w:tc>
          <w:tcPr/>
          <w:p>
            <w:pPr>
              <w:pStyle w:val="Compact"/>
              <w:jc w:val="left"/>
            </w:pPr>
            <w:r>
              <w:t xml:space="preserve">827,3</w:t>
            </w:r>
          </w:p>
        </w:tc>
        <w:tc>
          <w:tcPr/>
          <w:p>
            <w:pPr>
              <w:pStyle w:val="Compact"/>
              <w:jc w:val="left"/>
            </w:pPr>
            <w:r>
              <w:t xml:space="preserve">—</w:t>
            </w:r>
          </w:p>
        </w:tc>
        <w:tc>
          <w:tcPr/>
          <w:p>
            <w:pPr>
              <w:pStyle w:val="Compact"/>
              <w:jc w:val="left"/>
            </w:pPr>
            <w:r>
              <w:t xml:space="preserve">526,5</w:t>
            </w:r>
          </w:p>
        </w:tc>
        <w:tc>
          <w:tcPr/>
          <w:p>
            <w:pPr>
              <w:pStyle w:val="Compact"/>
              <w:jc w:val="left"/>
            </w:pPr>
            <w:r>
              <w:t xml:space="preserve">−202,2</w:t>
            </w:r>
          </w:p>
        </w:tc>
        <w:tc>
          <w:tcPr/>
          <w:p>
            <w:pPr>
              <w:pStyle w:val="Compact"/>
              <w:jc w:val="left"/>
            </w:pPr>
            <w:r>
              <w:t xml:space="preserve">−149,7</w:t>
            </w:r>
          </w:p>
        </w:tc>
      </w:tr>
      <w:tr>
        <w:tc>
          <w:tcPr/>
          <w:p>
            <w:pPr>
              <w:pStyle w:val="Compact"/>
              <w:jc w:val="left"/>
            </w:pPr>
            <w:r>
              <w:t xml:space="preserve">2025</w:t>
            </w:r>
          </w:p>
        </w:tc>
        <w:tc>
          <w:tcPr/>
          <w:p>
            <w:pPr>
              <w:pStyle w:val="Compact"/>
              <w:jc w:val="left"/>
            </w:pPr>
            <w:r>
              <w:t xml:space="preserve">1.050,8</w:t>
            </w:r>
          </w:p>
        </w:tc>
        <w:tc>
          <w:tcPr/>
          <w:p>
            <w:pPr>
              <w:pStyle w:val="Compact"/>
              <w:jc w:val="left"/>
            </w:pPr>
            <w:r>
              <w:t xml:space="preserve">+27 %</w:t>
            </w:r>
          </w:p>
        </w:tc>
        <w:tc>
          <w:tcPr/>
          <w:p>
            <w:pPr>
              <w:pStyle w:val="Compact"/>
              <w:jc w:val="left"/>
            </w:pPr>
            <w:r>
              <w:t xml:space="preserve">737,9</w:t>
            </w:r>
          </w:p>
        </w:tc>
        <w:tc>
          <w:tcPr/>
          <w:p>
            <w:pPr>
              <w:pStyle w:val="Compact"/>
              <w:jc w:val="left"/>
            </w:pPr>
            <w:r>
              <w:t xml:space="preserve">−165,5</w:t>
            </w:r>
          </w:p>
        </w:tc>
        <w:tc>
          <w:tcPr/>
          <w:p>
            <w:pPr>
              <w:pStyle w:val="Compact"/>
              <w:jc w:val="left"/>
            </w:pPr>
            <w:r>
              <w:t xml:space="preserve">−118,1</w:t>
            </w:r>
          </w:p>
        </w:tc>
      </w:tr>
      <w:tr>
        <w:tc>
          <w:tcPr/>
          <w:p>
            <w:pPr>
              <w:pStyle w:val="Compact"/>
              <w:jc w:val="left"/>
            </w:pPr>
            <w:r>
              <w:t xml:space="preserve">12 m a jun-26</w:t>
            </w:r>
          </w:p>
        </w:tc>
        <w:tc>
          <w:tcPr/>
          <w:p>
            <w:pPr>
              <w:pStyle w:val="Compact"/>
              <w:jc w:val="left"/>
            </w:pPr>
            <w:r>
              <w:t xml:space="preserve">1.203,5</w:t>
            </w:r>
          </w:p>
        </w:tc>
        <w:tc>
          <w:tcPr/>
          <w:p>
            <w:pPr>
              <w:pStyle w:val="Compact"/>
              <w:jc w:val="left"/>
            </w:pPr>
            <w:r>
              <w:t xml:space="preserve">+30 %</w:t>
            </w:r>
          </w:p>
        </w:tc>
        <w:tc>
          <w:tcPr/>
          <w:p>
            <w:pPr>
              <w:pStyle w:val="Compact"/>
              <w:jc w:val="left"/>
            </w:pPr>
            <w:r>
              <w:t xml:space="preserve">975,0</w:t>
            </w:r>
          </w:p>
        </w:tc>
        <w:tc>
          <w:tcPr/>
          <w:p>
            <w:pPr>
              <w:pStyle w:val="Compact"/>
              <w:jc w:val="left"/>
            </w:pPr>
            <w:r>
              <w:t xml:space="preserve">−138,4</w:t>
            </w:r>
          </w:p>
        </w:tc>
        <w:tc>
          <w:tcPr/>
          <w:p>
            <w:pPr>
              <w:pStyle w:val="Compact"/>
              <w:jc w:val="left"/>
            </w:pPr>
            <w:r>
              <w:t xml:space="preserve">−66,0</w:t>
            </w:r>
          </w:p>
        </w:tc>
      </w:tr>
      <w:tr>
        <w:tc>
          <w:tcPr/>
          <w:p>
            <w:pPr>
              <w:pStyle w:val="Compact"/>
              <w:jc w:val="left"/>
            </w:pPr>
            <w:r>
              <w:t xml:space="preserve">Guía 2026</w:t>
            </w:r>
          </w:p>
        </w:tc>
        <w:tc>
          <w:tcPr/>
          <w:p>
            <w:pPr>
              <w:pStyle w:val="Compact"/>
              <w:jc w:val="left"/>
            </w:pPr>
            <w:r>
              <w:t xml:space="preserve">1.374-1.378</w:t>
            </w:r>
          </w:p>
        </w:tc>
        <w:tc>
          <w:tcPr/>
          <w:p>
            <w:pPr>
              <w:pStyle w:val="Compact"/>
              <w:jc w:val="left"/>
            </w:pPr>
            <w:r>
              <w:t xml:space="preserve">+31 %</w:t>
            </w:r>
          </w:p>
        </w:tc>
        <w:tc>
          <w:tcPr/>
          <w:p>
            <w:pPr>
              <w:pStyle w:val="Compact"/>
              <w:jc w:val="left"/>
            </w:pPr>
            <w:r>
              <w:t xml:space="preserve">1.214-1.220</w:t>
            </w:r>
          </w:p>
        </w:tc>
        <w:tc>
          <w:tcPr/>
          <w:p>
            <w:pPr>
              <w:pStyle w:val="Compact"/>
              <w:jc w:val="left"/>
            </w:pPr>
            <w:r>
              <w:t xml:space="preserve">—</w:t>
            </w:r>
          </w:p>
        </w:tc>
        <w:tc>
          <w:tcPr/>
          <w:p>
            <w:pPr>
              <w:pStyle w:val="Compact"/>
              <w:jc w:val="left"/>
            </w:pPr>
            <w:r>
              <w:t xml:space="preserve">−51 a −47</w:t>
            </w:r>
          </w:p>
        </w:tc>
      </w:tr>
    </w:tbl>
    <w:p>
      <w:pPr>
        <w:pStyle w:val="BodyText"/>
      </w:pPr>
      <w:r>
        <w:t xml:space="preserve">Fuentes: [1][2]. Las cifras anuales de 2024 y 2025 salen de sumar los trimestres publicados.</w:t>
      </w:r>
    </w:p>
    <w:p>
      <w:pPr>
        <w:numPr>
          <w:ilvl w:val="0"/>
          <w:numId w:val="1002"/>
        </w:numPr>
        <w:pStyle w:val="Compact"/>
      </w:pPr>
      <w:r>
        <w:rPr>
          <w:bCs/>
          <w:b/>
        </w:rPr>
        <w:t xml:space="preserve">Aceleración:</w:t>
      </w:r>
      <w:r>
        <w:t xml:space="preserve"> </w:t>
      </w:r>
      <w:r>
        <w:t xml:space="preserve">+3,1 pp (31,7 % frente a una media del 28,6 % en los cuatro trimestres anteriores). CAGR propio a 2 años: 27,4 %.</w:t>
      </w:r>
    </w:p>
    <w:p>
      <w:pPr>
        <w:numPr>
          <w:ilvl w:val="0"/>
          <w:numId w:val="1002"/>
        </w:numPr>
        <w:pStyle w:val="Compact"/>
      </w:pPr>
      <w:r>
        <w:rPr>
          <w:bCs/>
          <w:b/>
        </w:rPr>
        <w:t xml:space="preserve">Retención anual en dólares:</w:t>
      </w:r>
      <w:r>
        <w:t xml:space="preserve"> </w:t>
      </w:r>
      <w:r>
        <w:t xml:space="preserve">85 %, estable (88 % en 2024). Es baja frente al software, normal en seguros personales con muchos inquilinos que se mudan.</w:t>
      </w:r>
    </w:p>
    <w:p>
      <w:pPr>
        <w:numPr>
          <w:ilvl w:val="0"/>
          <w:numId w:val="1002"/>
        </w:numPr>
        <w:pStyle w:val="Compact"/>
      </w:pPr>
      <w:r>
        <w:rPr>
          <w:bCs/>
          <w:b/>
        </w:rPr>
        <w:t xml:space="preserve">Guía:</w:t>
      </w:r>
      <w:r>
        <w:t xml:space="preserve"> </w:t>
      </w:r>
      <w:r>
        <w:t xml:space="preserve">primas brutas devengadas de 2026 entre 1.374 y 1.378 M. Para el segundo semestre implica un</w:t>
      </w:r>
      <w:r>
        <w:t xml:space="preserve"> </w:t>
      </w:r>
      <w:r>
        <w:rPr>
          <w:bCs/>
          <w:b/>
        </w:rPr>
        <w:t xml:space="preserve">+30,5 %</w:t>
      </w:r>
      <w:r>
        <w:t xml:space="preserve">. La empresa ha batido su guía trimestral de primas en los cuatro últimos trimestres, de media por 2,3 puntos de crecimiento, y sube la anual cada trimestre. Las primas en vigor guiadas para fin de año, 1.632-1.639 M, suponen un +32 %.</w:t>
      </w:r>
    </w:p>
    <w:p>
      <w:pPr>
        <w:numPr>
          <w:ilvl w:val="0"/>
          <w:numId w:val="1002"/>
        </w:numPr>
        <w:pStyle w:val="Compact"/>
      </w:pPr>
      <w:r>
        <w:rPr>
          <w:bCs/>
          <w:b/>
        </w:rPr>
        <w:t xml:space="preserve">Lo que preocupa:</w:t>
      </w:r>
      <w:r>
        <w:t xml:space="preserve"> </w:t>
      </w:r>
      <w:r>
        <w:t xml:space="preserve">el gasto en captación (64 M en el 2T26, +30 %) ha crecido más que las primas desde 2024, y vuelve a subir en el 3T26. La empresa lo atribuye a que en 2023 lo recortó a la mitad, y prevé que desde 2027 las primas crezcan más que el gasto.</w:t>
      </w:r>
    </w:p>
    <w:bookmarkEnd w:id="22"/>
    <w:bookmarkStart w:id="23" w:name="mercado-y-competencia"/>
    <w:p>
      <w:pPr>
        <w:pStyle w:val="Heading2"/>
      </w:pPr>
      <w:r>
        <w:t xml:space="preserve">4. Mercado y competencia</w:t>
      </w:r>
    </w:p>
    <w:p>
      <w:pPr>
        <w:numPr>
          <w:ilvl w:val="0"/>
          <w:numId w:val="1003"/>
        </w:numPr>
        <w:pStyle w:val="Compact"/>
      </w:pPr>
      <w:r>
        <w:rPr>
          <w:bCs/>
          <w:b/>
        </w:rPr>
        <w:t xml:space="preserve">Mercado:</w:t>
      </w:r>
      <w:r>
        <w:t xml:space="preserve"> </w:t>
      </w:r>
      <w:r>
        <w:t xml:space="preserve">los seguros personales de daños en EE. UU. suman ~500.000 M USD de primas al año (de memoria, aproximado), sobre todo coche (~330.000) y hogar (~150.000). Tomo como</w:t>
      </w:r>
      <w:r>
        <w:t xml:space="preserve"> </w:t>
      </w:r>
      <w:r>
        <w:rPr>
          <w:bCs/>
          <w:b/>
        </w:rPr>
        <w:t xml:space="preserve">alcanzable ~100.000 M</w:t>
      </w:r>
      <w:r>
        <w:t xml:space="preserve">: la parte de clientes jóvenes y digitales que contratan directamente, más mascotas y Europa (estimación propia). La penetración es del ~1,2 %: hay recorrido de sobra.</w:t>
      </w:r>
    </w:p>
    <w:p>
      <w:pPr>
        <w:numPr>
          <w:ilvl w:val="0"/>
          <w:numId w:val="1003"/>
        </w:numPr>
        <w:pStyle w:val="Compact"/>
      </w:pPr>
      <w:r>
        <w:rPr>
          <w:bCs/>
          <w:b/>
        </w:rPr>
        <w:t xml:space="preserve">Rivales:</w:t>
      </w:r>
    </w:p>
    <w:p>
      <w:pPr>
        <w:numPr>
          <w:ilvl w:val="1"/>
          <w:numId w:val="1004"/>
        </w:numPr>
        <w:pStyle w:val="Compact"/>
      </w:pPr>
      <w:r>
        <w:t xml:space="preserve">Gigantes con más datos y más escala: Progressive (~84.000 M de primas netas), State Farm, Allstate y GEICO.</w:t>
      </w:r>
    </w:p>
    <w:p>
      <w:pPr>
        <w:numPr>
          <w:ilvl w:val="1"/>
          <w:numId w:val="1004"/>
        </w:numPr>
        <w:pStyle w:val="Compact"/>
      </w:pPr>
      <w:r>
        <w:t xml:space="preserve">Otras insurtech, más pequeñas y baratas en bolsa: Root (coche), Hippo (hogar), Trupanion (mascotas).</w:t>
      </w:r>
    </w:p>
    <w:p>
      <w:pPr>
        <w:numPr>
          <w:ilvl w:val="1"/>
          <w:numId w:val="1004"/>
        </w:numPr>
        <w:pStyle w:val="Compact"/>
      </w:pPr>
      <w:r>
        <w:t xml:space="preserve">En mascotas, aseguradoras con marca de tienda (Chewy era socio de Lemonade hasta 2025).</w:t>
      </w:r>
    </w:p>
    <w:p>
      <w:pPr>
        <w:numPr>
          <w:ilvl w:val="0"/>
          <w:numId w:val="1003"/>
        </w:numPr>
        <w:pStyle w:val="Compact"/>
      </w:pPr>
      <w:r>
        <w:rPr>
          <w:bCs/>
          <w:b/>
        </w:rPr>
        <w:t xml:space="preserve">Por qué gana cuota:</w:t>
      </w:r>
      <w:r>
        <w:t xml:space="preserve"> </w:t>
      </w:r>
      <w:r>
        <w:t xml:space="preserve">precio y experiencia (app, pago instantáneo) para un público joven que empieza por el seguro de inquilino.</w:t>
      </w:r>
      <w:r>
        <w:t xml:space="preserve"> </w:t>
      </w:r>
      <w:r>
        <w:rPr>
          <w:bCs/>
          <w:b/>
        </w:rPr>
        <w:t xml:space="preserve">Por qué podría no ganar:</w:t>
      </w:r>
    </w:p>
    <w:p>
      <w:pPr>
        <w:numPr>
          <w:ilvl w:val="1"/>
          <w:numId w:val="1005"/>
        </w:numPr>
        <w:pStyle w:val="Compact"/>
      </w:pPr>
      <w:r>
        <w:t xml:space="preserve">En coche, el negocio más grande, Progressive y GEICO tienen décadas de datos de conducción y costes muy bajos.</w:t>
      </w:r>
    </w:p>
    <w:p>
      <w:pPr>
        <w:numPr>
          <w:ilvl w:val="1"/>
          <w:numId w:val="1005"/>
        </w:numPr>
        <w:pStyle w:val="Compact"/>
      </w:pPr>
      <w:r>
        <w:t xml:space="preserve">En hogar, la clave es la exposición a catástrofes, no la tecnología. Lemonade ha cerrado zonas de riesgo y no renueva pólizas, de ahí quejas en foros.</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 Revisiones al alza</w:t>
            </w:r>
          </w:p>
        </w:tc>
        <w:tc>
          <w:tcPr/>
          <w:p>
            <w:pPr>
              <w:pStyle w:val="Compact"/>
              <w:jc w:val="left"/>
            </w:pPr>
            <w:r>
              <w:t xml:space="preserve">No</w:t>
            </w:r>
          </w:p>
        </w:tc>
        <w:tc>
          <w:tcPr/>
          <w:p>
            <w:pPr>
              <w:pStyle w:val="Compact"/>
              <w:jc w:val="left"/>
            </w:pPr>
            <w:r>
              <w:t xml:space="preserve">Bajan los objetivos tras el 2T26: Piper Sandler de 75 a 51 USD, Morgan Stanley de 65 a 56. Consenso Mantener, objetivo medio ~60</w:t>
            </w:r>
          </w:p>
        </w:tc>
        <w:tc>
          <w:tcPr/>
          <w:p>
            <w:pPr>
              <w:pStyle w:val="Compact"/>
              <w:jc w:val="left"/>
            </w:pPr>
            <w:r>
              <w:t xml:space="preserve">[5][6]</w:t>
            </w:r>
          </w:p>
        </w:tc>
      </w:tr>
      <w:tr>
        <w:tc>
          <w:tcPr/>
          <w:p>
            <w:pPr>
              <w:pStyle w:val="Compact"/>
              <w:jc w:val="left"/>
            </w:pPr>
            <w:r>
              <w:t xml:space="preserve">2. Precio sobre la media de 200 sesiones</w:t>
            </w:r>
          </w:p>
        </w:tc>
        <w:tc>
          <w:tcPr/>
          <w:p>
            <w:pPr>
              <w:pStyle w:val="Compact"/>
              <w:jc w:val="left"/>
            </w:pPr>
            <w:r>
              <w:t xml:space="preserve">No</w:t>
            </w:r>
          </w:p>
        </w:tc>
        <w:tc>
          <w:tcPr/>
          <w:p>
            <w:pPr>
              <w:pStyle w:val="Compact"/>
              <w:jc w:val="left"/>
            </w:pPr>
            <w:r>
              <w:t xml:space="preserve">44,71 frente a 60,56, y la media baja</w:t>
            </w:r>
          </w:p>
        </w:tc>
        <w:tc>
          <w:tcPr/>
          <w:p>
            <w:pPr>
              <w:pStyle w:val="Compact"/>
              <w:jc w:val="left"/>
            </w:pPr>
            <w:r>
              <w:t xml:space="preserve">[3]</w:t>
            </w:r>
          </w:p>
        </w:tc>
      </w:tr>
      <w:tr>
        <w:tc>
          <w:tcPr/>
          <w:p>
            <w:pPr>
              <w:pStyle w:val="Compact"/>
              <w:jc w:val="left"/>
            </w:pPr>
            <w:r>
              <w:t xml:space="preserve">3. Fuerza relativa a 6 meses</w:t>
            </w:r>
          </w:p>
        </w:tc>
        <w:tc>
          <w:tcPr/>
          <w:p>
            <w:pPr>
              <w:pStyle w:val="Compact"/>
              <w:jc w:val="left"/>
            </w:pPr>
            <w:r>
              <w:t xml:space="preserve">No</w:t>
            </w:r>
          </w:p>
        </w:tc>
        <w:tc>
          <w:tcPr/>
          <w:p>
            <w:pPr>
              <w:pStyle w:val="Compact"/>
              <w:jc w:val="left"/>
            </w:pPr>
            <w:r>
              <w:t xml:space="preserve">−28,4 % frente al +18,3 % del Nasdaq-100</w:t>
            </w:r>
          </w:p>
        </w:tc>
        <w:tc>
          <w:tcPr/>
          <w:p>
            <w:pPr>
              <w:pStyle w:val="Compact"/>
              <w:jc w:val="left"/>
            </w:pPr>
            <w:r>
              <w:t xml:space="preserve">[3]</w:t>
            </w:r>
          </w:p>
        </w:tc>
      </w:tr>
      <w:tr>
        <w:tc>
          <w:tcPr/>
          <w:p>
            <w:pPr>
              <w:pStyle w:val="Compact"/>
              <w:jc w:val="left"/>
            </w:pPr>
            <w:r>
              <w:t xml:space="preserve">4. Mejora del múltiplo ≥ 20 %</w:t>
            </w:r>
          </w:p>
        </w:tc>
        <w:tc>
          <w:tcPr/>
          <w:p>
            <w:pPr>
              <w:pStyle w:val="Compact"/>
              <w:jc w:val="left"/>
            </w:pPr>
            <w:r>
              <w:t xml:space="preserve">No</w:t>
            </w:r>
          </w:p>
        </w:tc>
        <w:tc>
          <w:tcPr/>
          <w:p>
            <w:pPr>
              <w:pStyle w:val="Compact"/>
              <w:jc w:val="left"/>
            </w:pPr>
            <w:r>
              <w:t xml:space="preserve">El precio está en su mínimo de 12 meses: el múltiplo también</w:t>
            </w:r>
          </w:p>
        </w:tc>
        <w:tc>
          <w:tcPr/>
          <w:p>
            <w:pPr>
              <w:pStyle w:val="Compact"/>
              <w:jc w:val="left"/>
            </w:pPr>
            <w:r>
              <w:t xml:space="preserve">[3]</w:t>
            </w:r>
          </w:p>
        </w:tc>
      </w:tr>
      <w:tr>
        <w:tc>
          <w:tcPr/>
          <w:p>
            <w:pPr>
              <w:pStyle w:val="Compact"/>
              <w:jc w:val="left"/>
            </w:pPr>
            <w:r>
              <w:t xml:space="preserve">5. Inflexión operativa</w:t>
            </w:r>
          </w:p>
        </w:tc>
        <w:tc>
          <w:tcPr/>
          <w:p>
            <w:pPr>
              <w:pStyle w:val="Compact"/>
              <w:jc w:val="left"/>
            </w:pPr>
            <w:r>
              <w:rPr>
                <w:bCs/>
                <w:b/>
              </w:rPr>
              <w:t xml:space="preserve">Sí</w:t>
            </w:r>
          </w:p>
        </w:tc>
        <w:tc>
          <w:tcPr/>
          <w:p>
            <w:pPr>
              <w:pStyle w:val="Compact"/>
              <w:jc w:val="left"/>
            </w:pPr>
            <w:r>
              <w:t xml:space="preserve">Margen EBITDA ajustado sobre primas de −16,2 % a −5,6 % (+10,6 pp); FCF de 12 meses en positivo</w:t>
            </w:r>
          </w:p>
        </w:tc>
        <w:tc>
          <w:tcPr/>
          <w:p>
            <w:pPr>
              <w:pStyle w:val="Compact"/>
              <w:jc w:val="left"/>
            </w:pPr>
            <w:r>
              <w:t xml:space="preserve">[1][2]</w:t>
            </w:r>
          </w:p>
        </w:tc>
      </w:tr>
      <w:tr>
        <w:tc>
          <w:tcPr/>
          <w:p>
            <w:pPr>
              <w:pStyle w:val="Compact"/>
              <w:jc w:val="left"/>
            </w:pPr>
            <w:r>
              <w:t xml:space="preserve">6. Sentimiento mejorando</w:t>
            </w:r>
          </w:p>
        </w:tc>
        <w:tc>
          <w:tcPr/>
          <w:p>
            <w:pPr>
              <w:pStyle w:val="Compact"/>
              <w:jc w:val="left"/>
            </w:pPr>
            <w:r>
              <w:t xml:space="preserve">No</w:t>
            </w:r>
          </w:p>
        </w:tc>
        <w:tc>
          <w:tcPr/>
          <w:p>
            <w:pPr>
              <w:pStyle w:val="Compact"/>
              <w:jc w:val="left"/>
            </w:pPr>
            <w:r>
              <w:t xml:space="preserve">−23 % el día de resultados; posiciones cortas del 13-16 %</w:t>
            </w:r>
          </w:p>
        </w:tc>
        <w:tc>
          <w:tcPr/>
          <w:p>
            <w:pPr>
              <w:pStyle w:val="Compact"/>
              <w:jc w:val="left"/>
            </w:pPr>
            <w:r>
              <w:t xml:space="preserve">[7][9]</w:t>
            </w:r>
          </w:p>
        </w:tc>
      </w:tr>
      <w:tr>
        <w:tc>
          <w:tcPr/>
          <w:p>
            <w:pPr>
              <w:pStyle w:val="Compact"/>
              <w:jc w:val="left"/>
            </w:pPr>
            <w:r>
              <w:t xml:space="preserve">7. Compras de directivos o inversores de referencia</w:t>
            </w:r>
          </w:p>
        </w:tc>
        <w:tc>
          <w:tcPr/>
          <w:p>
            <w:pPr>
              <w:pStyle w:val="Compact"/>
              <w:jc w:val="left"/>
            </w:pPr>
            <w:r>
              <w:t xml:space="preserve">No</w:t>
            </w:r>
          </w:p>
        </w:tc>
        <w:tc>
          <w:tcPr/>
          <w:p>
            <w:pPr>
              <w:pStyle w:val="Compact"/>
              <w:jc w:val="left"/>
            </w:pPr>
            <w:r>
              <w:t xml:space="preserve">Solo ventas (consejero delegado en enero a ~95 USD, director financiero en julio a ~79)</w:t>
            </w:r>
          </w:p>
        </w:tc>
        <w:tc>
          <w:tcPr/>
          <w:p>
            <w:pPr>
              <w:pStyle w:val="Compact"/>
              <w:jc w:val="left"/>
            </w:pPr>
            <w:r>
              <w:t xml:space="preserve">[4]</w:t>
            </w:r>
          </w:p>
        </w:tc>
      </w:tr>
      <w:tr>
        <w:tc>
          <w:tcPr/>
          <w:p>
            <w:pPr>
              <w:pStyle w:val="Compact"/>
              <w:jc w:val="left"/>
            </w:pPr>
            <w:r>
              <w:t xml:space="preserve">8. Catalizador nuevo en 6 meses</w:t>
            </w:r>
          </w:p>
        </w:tc>
        <w:tc>
          <w:tcPr/>
          <w:p>
            <w:pPr>
              <w:pStyle w:val="Compact"/>
              <w:jc w:val="left"/>
            </w:pPr>
            <w:r>
              <w:rPr>
                <w:bCs/>
                <w:b/>
              </w:rPr>
              <w:t xml:space="preserve">Sí</w:t>
            </w:r>
          </w:p>
        </w:tc>
        <w:tc>
          <w:tcPr/>
          <w:p>
            <w:pPr>
              <w:pStyle w:val="Compact"/>
              <w:jc w:val="left"/>
            </w:pPr>
            <w:r>
              <w:t xml:space="preserve">Día del inversor el 17-nov y primer trimestre con EBITDA ajustado positivo (4T26)</w:t>
            </w:r>
          </w:p>
        </w:tc>
        <w:tc>
          <w:tcPr/>
          <w:p>
            <w:pPr>
              <w:pStyle w:val="Compact"/>
              <w:jc w:val="left"/>
            </w:pPr>
            <w:r>
              <w:t xml:space="preserve">[1]</w:t>
            </w:r>
          </w:p>
        </w:tc>
      </w:tr>
    </w:tbl>
    <w:p>
      <w:pPr>
        <w:pStyle w:val="BodyText"/>
      </w:pPr>
      <w:r>
        <w:rPr>
          <w:bCs/>
          <w:b/>
        </w:rPr>
        <w:t xml:space="preserve">Euforia: no.</w:t>
      </w:r>
      <w:r>
        <w:t xml:space="preserve"> </w:t>
      </w:r>
      <w:r>
        <w:t xml:space="preserve">Baja un 11 % en 12 meses y un 28 % en 6.</w:t>
      </w:r>
    </w:p>
    <w:bookmarkEnd w:id="24"/>
    <w:bookmarkStart w:id="25" w:name="X6a3ced9ea5ed5bb9ac58f5e7c1bb09ad4718b77"/>
    <w:p>
      <w:pPr>
        <w:pStyle w:val="Heading2"/>
      </w:pPr>
      <w:r>
        <w:t xml:space="preserve">6. Economía unitaria y camino a la rentabilidad</w:t>
      </w:r>
    </w:p>
    <w:p>
      <w:pPr>
        <w:numPr>
          <w:ilvl w:val="0"/>
          <w:numId w:val="1006"/>
        </w:numPr>
        <w:pStyle w:val="Compact"/>
      </w:pPr>
      <w:r>
        <w:rPr>
          <w:bCs/>
          <w:b/>
        </w:rPr>
        <w:t xml:space="preserve">Margen bruto:</w:t>
      </w:r>
      <w:r>
        <w:t xml:space="preserve"> </w:t>
      </w:r>
      <w:r>
        <w:t xml:space="preserve">33,6 % de las primas brutas en 12 meses (26 % en el 2T25 y 34 % en el 2T26, beneficio bruto ajustado sobre primas). Sube por la siniestralidad (de 70 % a 59 % en 12 meses), el menor coste de siniestros y la menor cesión al reasegurador.</w:t>
      </w:r>
    </w:p>
    <w:p>
      <w:pPr>
        <w:numPr>
          <w:ilvl w:val="0"/>
          <w:numId w:val="1006"/>
        </w:numPr>
        <w:pStyle w:val="Compact"/>
      </w:pPr>
      <w:r>
        <w:rPr>
          <w:bCs/>
          <w:b/>
        </w:rPr>
        <w:t xml:space="preserve">Siniestralidad bruta:</w:t>
      </w:r>
      <w:r>
        <w:t xml:space="preserve"> </w:t>
      </w:r>
      <w:r>
        <w:t xml:space="preserve">60 % en el 2T26. Sin catástrofes, 58 %. Incluye 7 puntos de</w:t>
      </w:r>
      <w:r>
        <w:t xml:space="preserve"> </w:t>
      </w:r>
      <w:r>
        <w:rPr>
          <w:bCs/>
          <w:b/>
        </w:rPr>
        <w:t xml:space="preserve">liberación de reservas de años anteriores</w:t>
      </w:r>
      <w:r>
        <w:t xml:space="preserve">: sin ella habría sido 67 %. La empresa dice que la siniestralidad de 12 meses está dentro de su rango objetivo (el 60-75 % es de memoria); lleva cuatro trimestres por debajo del 63 %.</w:t>
      </w:r>
    </w:p>
    <w:p>
      <w:pPr>
        <w:numPr>
          <w:ilvl w:val="0"/>
          <w:numId w:val="1006"/>
        </w:numPr>
        <w:pStyle w:val="Compact"/>
      </w:pPr>
      <w:r>
        <w:rPr>
          <w:bCs/>
          <w:b/>
        </w:rPr>
        <w:t xml:space="preserve">Regla del 40:</w:t>
      </w:r>
      <w:r>
        <w:t xml:space="preserve"> </w:t>
      </w:r>
      <w:r>
        <w:t xml:space="preserve">30,8 (crecimiento del 30 % más un margen de FCF del 0,7 %).</w:t>
      </w:r>
    </w:p>
    <w:p>
      <w:pPr>
        <w:numPr>
          <w:ilvl w:val="0"/>
          <w:numId w:val="1006"/>
        </w:numPr>
        <w:pStyle w:val="Compact"/>
      </w:pPr>
      <w:r>
        <w:rPr>
          <w:bCs/>
          <w:b/>
        </w:rPr>
        <w:t xml:space="preserve">FCF:</w:t>
      </w:r>
      <w:r>
        <w:t xml:space="preserve"> </w:t>
      </w:r>
      <w:r>
        <w:t xml:space="preserve">+8 M en 12 meses, pero −12 M en el primer semestre de 2026. Además, ayuda que la empresa cobre las primas por adelantado mientras crece (las primas no devengadas subieron 85 M en el semestre). El</w:t>
      </w:r>
      <w:r>
        <w:t xml:space="preserve"> </w:t>
      </w:r>
      <w:r>
        <w:rPr>
          <w:bCs/>
          <w:b/>
        </w:rPr>
        <w:t xml:space="preserve">«FCF ajustado»</w:t>
      </w:r>
      <w:r>
        <w:t xml:space="preserve"> </w:t>
      </w:r>
      <w:r>
        <w:t xml:space="preserve">que publica la empresa (+36 M en el semestre) suma los préstamos de agentes sintéticos: no lo uso.</w:t>
      </w:r>
    </w:p>
    <w:p>
      <w:pPr>
        <w:numPr>
          <w:ilvl w:val="0"/>
          <w:numId w:val="1006"/>
        </w:numPr>
        <w:pStyle w:val="Compact"/>
      </w:pPr>
      <w:r>
        <w:rPr>
          <w:bCs/>
          <w:b/>
        </w:rPr>
        <w:t xml:space="preserve">Camino:</w:t>
      </w:r>
      <w:r>
        <w:t xml:space="preserve"> </w:t>
      </w:r>
      <w:r>
        <w:t xml:space="preserve">EBITDA ajustado positivo en el 4T26 (guía ~8 M) y en todo 2027. La pérdida neta seguirá siendo mayor por los pagos en acciones (95 M en 2026) y los intereses (~26 M al año). Clasificado como «equilibrio en ≤ 12 meses».</w:t>
      </w:r>
    </w:p>
    <w:bookmarkEnd w:id="25"/>
    <w:bookmarkStart w:id="26" w:name="caja-deuda-y-dilución"/>
    <w:p>
      <w:pPr>
        <w:pStyle w:val="Heading2"/>
      </w:pPr>
      <w:r>
        <w:t xml:space="preserve">7. Caja, deuda y dilución</w:t>
      </w:r>
    </w:p>
    <w:p>
      <w:pPr>
        <w:numPr>
          <w:ilvl w:val="0"/>
          <w:numId w:val="1007"/>
        </w:numPr>
        <w:pStyle w:val="Compact"/>
      </w:pPr>
      <w:r>
        <w:rPr>
          <w:bCs/>
          <w:b/>
        </w:rPr>
        <w:t xml:space="preserve">Caja e inversiones:</w:t>
      </w:r>
      <w:r>
        <w:t xml:space="preserve"> </w:t>
      </w:r>
      <w:r>
        <w:t xml:space="preserve">1.158 M (jun-26). El regulador exige mantener ~330 M en las filiales aseguradoras. El patrimonio es de 499,5 M, y baja con las pérdidas (533,6 M en dic-25). El exceso de capital libre es pequeño: unos 142 M netos de deuda, según mi estimación.</w:t>
      </w:r>
    </w:p>
    <w:p>
      <w:pPr>
        <w:numPr>
          <w:ilvl w:val="0"/>
          <w:numId w:val="1007"/>
        </w:numPr>
        <w:pStyle w:val="Compact"/>
      </w:pPr>
      <w:r>
        <w:rPr>
          <w:bCs/>
          <w:b/>
        </w:rPr>
        <w:t xml:space="preserve">Deuda:</w:t>
      </w:r>
      <w:r>
        <w:t xml:space="preserve"> </w:t>
      </w:r>
      <w:r>
        <w:t xml:space="preserve">206 M de agentes sintéticos (hoy con General Atlantic, de memoria; coste ~16 %, deducido de que el nuevo es 600 pb más barato). Desde enero de 2027 se refinancian con Hannover Re, hasta 250 M al ~9,8 %. Se devuelve con las comisiones futuras de los clientes captados.</w:t>
      </w:r>
    </w:p>
    <w:p>
      <w:pPr>
        <w:numPr>
          <w:ilvl w:val="0"/>
          <w:numId w:val="1007"/>
        </w:numPr>
        <w:pStyle w:val="Compact"/>
      </w:pPr>
      <w:r>
        <w:rPr>
          <w:bCs/>
          <w:b/>
        </w:rPr>
        <w:t xml:space="preserve">Capital para crecer:</w:t>
      </w:r>
      <w:r>
        <w:t xml:space="preserve"> </w:t>
      </w:r>
      <w:r>
        <w:t xml:space="preserve">con las primas creciendo un 30 % al año, el capital regulatorio exigido sube ~100 M al año. Con pérdidas netas todavía de ~100 M,</w:t>
      </w:r>
      <w:r>
        <w:t xml:space="preserve"> </w:t>
      </w:r>
      <w:r>
        <w:rPr>
          <w:bCs/>
          <w:b/>
        </w:rPr>
        <w:t xml:space="preserve">puede hacer falta ampliar capital o más reaseguro</w:t>
      </w:r>
      <w:r>
        <w:t xml:space="preserve"> </w:t>
      </w:r>
      <w:r>
        <w:t xml:space="preserve">antes de ganar dinero. Es el riesgo financiero principal.</w:t>
      </w:r>
    </w:p>
    <w:p>
      <w:pPr>
        <w:numPr>
          <w:ilvl w:val="0"/>
          <w:numId w:val="1007"/>
        </w:numPr>
        <w:pStyle w:val="Compact"/>
      </w:pPr>
      <w:r>
        <w:rPr>
          <w:bCs/>
          <w:b/>
        </w:rPr>
        <w:t xml:space="preserve">Dilución:</w:t>
      </w:r>
      <w:r>
        <w:t xml:space="preserve"> </w:t>
      </w:r>
      <w:r>
        <w:t xml:space="preserve">las acciones medias crecen un 4,8 % al año. Hay 12,1 M de acciones potenciales (6,8 M en opciones, el resto en acciones restringidas), entre ellas 2 M para los fundadores con objetivos de cotización (marzo de 2026). Uso 82 M de acciones diluidas (77,3 M en circulación).</w:t>
      </w:r>
    </w:p>
    <w:p>
      <w:pPr>
        <w:numPr>
          <w:ilvl w:val="0"/>
          <w:numId w:val="1007"/>
        </w:numPr>
        <w:pStyle w:val="Compact"/>
      </w:pPr>
      <w:r>
        <w:rPr>
          <w:bCs/>
          <w:b/>
        </w:rPr>
        <w:t xml:space="preserve">Pagos en acciones:</w:t>
      </w:r>
      <w:r>
        <w:t xml:space="preserve"> </w:t>
      </w:r>
      <w:r>
        <w:t xml:space="preserve">6,8 % de las primas (8,3 % de los ingresos). Por debajo del 15 % de la alerta, pero suben (95 M guiados en 2026, frente a 61 M en 2025).</w:t>
      </w:r>
    </w:p>
    <w:bookmarkEnd w:id="26"/>
    <w:bookmarkStart w:id="27" w:name="dirección-y-ejecución"/>
    <w:p>
      <w:pPr>
        <w:pStyle w:val="Heading2"/>
      </w:pPr>
      <w:r>
        <w:t xml:space="preserve">8. Dirección y ejecución</w:t>
      </w:r>
    </w:p>
    <w:p>
      <w:pPr>
        <w:numPr>
          <w:ilvl w:val="0"/>
          <w:numId w:val="1008"/>
        </w:numPr>
        <w:pStyle w:val="Compact"/>
      </w:pPr>
      <w:r>
        <w:rPr>
          <w:bCs/>
          <w:b/>
        </w:rPr>
        <w:t xml:space="preserve">Historial (4/5):</w:t>
      </w:r>
      <w:r>
        <w:t xml:space="preserve"> </w:t>
      </w:r>
      <w:r>
        <w:t xml:space="preserve">bate la guía trimestral de primas en los cuatro últimos trimestres y sube la anual cada vez. Lleva desde 2022 diciendo que el EBITDA ajustado sería positivo a finales de 2026, y va en camino. Piper Sandler recuerda que, antes de 2023, falló objetivos de pérdidas.</w:t>
      </w:r>
    </w:p>
    <w:p>
      <w:pPr>
        <w:numPr>
          <w:ilvl w:val="0"/>
          <w:numId w:val="1008"/>
        </w:numPr>
        <w:pStyle w:val="Compact"/>
      </w:pPr>
      <w:r>
        <w:rPr>
          <w:bCs/>
          <w:b/>
        </w:rPr>
        <w:t xml:space="preserve">Dirección (3/5):</w:t>
      </w:r>
    </w:p>
    <w:p>
      <w:pPr>
        <w:numPr>
          <w:ilvl w:val="1"/>
          <w:numId w:val="1009"/>
        </w:numPr>
        <w:pStyle w:val="Compact"/>
      </w:pPr>
      <w:r>
        <w:t xml:space="preserve">A favor: los fundadores siguen al mando y con participación.</w:t>
      </w:r>
    </w:p>
    <w:p>
      <w:pPr>
        <w:numPr>
          <w:ilvl w:val="1"/>
          <w:numId w:val="1009"/>
        </w:numPr>
        <w:pStyle w:val="Compact"/>
      </w:pPr>
      <w:r>
        <w:t xml:space="preserve">En contra: las grandes concesiones de acciones de marzo de 2026 (1 M de acciones cada uno), las ventas de directivos cerca de máximos (Schreiber a ~95 USD en enero, Bixby a ~79 en julio) y el relevo del director financiero (Tim Bixby pasa al consejo en enero de 2027; entra Nick Stead).</w:t>
      </w:r>
    </w:p>
    <w:bookmarkEnd w:id="27"/>
    <w:bookmarkStart w:id="28" w:name="valoración"/>
    <w:p>
      <w:pPr>
        <w:pStyle w:val="Heading2"/>
      </w:pPr>
      <w:r>
        <w:t xml:space="preserve">9. Valoración</w:t>
      </w:r>
    </w:p>
    <w:p>
      <w:pPr>
        <w:pStyle w:val="FirstParagraph"/>
      </w:pPr>
      <w:r>
        <w:t xml:space="preserve">EV (con 82 M de acciones y la caja y la deuda del apartado 7): ~3.520 M USD.</w:t>
      </w:r>
      <w:r>
        <w:t xml:space="preserve"> </w:t>
      </w:r>
      <w:r>
        <w:rPr>
          <w:bCs/>
          <w:b/>
        </w:rPr>
        <w:t xml:space="preserve">EV/primas de los 12 meses siguientes: 2,3 veces</w:t>
      </w:r>
      <w:r>
        <w:t xml:space="preserve">; EV / beneficio bruto de los 12 meses siguientes: 6,7 veces (el método permite hasta 35). Mediana de 3 años ~2,4 veces y mínimo ~1,0 (2023), con cálculo propio aproximado sobre primas y precios trimestrales. Comparables: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Comparable</w:t>
            </w:r>
          </w:p>
        </w:tc>
        <w:tc>
          <w:tcPr/>
          <w:p>
            <w:pPr>
              <w:pStyle w:val="Compact"/>
              <w:jc w:val="left"/>
            </w:pPr>
            <w:r>
              <w:t xml:space="preserve">Múltiplo</w:t>
            </w:r>
          </w:p>
        </w:tc>
        <w:tc>
          <w:tcPr/>
          <w:p>
            <w:pPr>
              <w:pStyle w:val="Compact"/>
              <w:jc w:val="left"/>
            </w:pPr>
            <w:r>
              <w:t xml:space="preserve">Nota</w:t>
            </w:r>
          </w:p>
        </w:tc>
      </w:tr>
      <w:tr>
        <w:tc>
          <w:tcPr/>
          <w:p>
            <w:pPr>
              <w:pStyle w:val="Compact"/>
              <w:jc w:val="left"/>
            </w:pPr>
            <w:r>
              <w:t xml:space="preserve">Root</w:t>
            </w:r>
          </w:p>
        </w:tc>
        <w:tc>
          <w:tcPr/>
          <w:p>
            <w:pPr>
              <w:pStyle w:val="Compact"/>
              <w:jc w:val="left"/>
            </w:pPr>
            <w:r>
              <w:t xml:space="preserve">~0,5x ingresos</w:t>
            </w:r>
          </w:p>
        </w:tc>
        <w:tc>
          <w:tcPr/>
          <w:p>
            <w:pPr>
              <w:pStyle w:val="Compact"/>
              <w:jc w:val="left"/>
            </w:pPr>
            <w:r>
              <w:t xml:space="preserve">Acciones de memoria</w:t>
            </w:r>
          </w:p>
        </w:tc>
      </w:tr>
      <w:tr>
        <w:tc>
          <w:tcPr/>
          <w:p>
            <w:pPr>
              <w:pStyle w:val="Compact"/>
              <w:jc w:val="left"/>
            </w:pPr>
            <w:r>
              <w:t xml:space="preserve">Hippo</w:t>
            </w:r>
          </w:p>
        </w:tc>
        <w:tc>
          <w:tcPr/>
          <w:p>
            <w:pPr>
              <w:pStyle w:val="Compact"/>
              <w:jc w:val="left"/>
            </w:pPr>
            <w:r>
              <w:t xml:space="preserve">~0,8x primas directas</w:t>
            </w:r>
          </w:p>
        </w:tc>
        <w:tc>
          <w:tcPr/>
          <w:p>
            <w:pPr>
              <w:pStyle w:val="Compact"/>
            </w:pPr>
          </w:p>
        </w:tc>
      </w:tr>
      <w:tr>
        <w:tc>
          <w:tcPr/>
          <w:p>
            <w:pPr>
              <w:pStyle w:val="Compact"/>
              <w:jc w:val="left"/>
            </w:pPr>
            <w:r>
              <w:t xml:space="preserve">Trupanion</w:t>
            </w:r>
          </w:p>
        </w:tc>
        <w:tc>
          <w:tcPr/>
          <w:p>
            <w:pPr>
              <w:pStyle w:val="Compact"/>
              <w:jc w:val="left"/>
            </w:pPr>
            <w:r>
              <w:t xml:space="preserve">~0,8x ingresos</w:t>
            </w:r>
          </w:p>
        </w:tc>
        <w:tc>
          <w:tcPr/>
          <w:p>
            <w:pPr>
              <w:pStyle w:val="Compact"/>
            </w:pPr>
          </w:p>
        </w:tc>
      </w:tr>
      <w:tr>
        <w:tc>
          <w:tcPr/>
          <w:p>
            <w:pPr>
              <w:pStyle w:val="Compact"/>
              <w:jc w:val="left"/>
            </w:pPr>
            <w:r>
              <w:t xml:space="preserve">Progressive</w:t>
            </w:r>
          </w:p>
        </w:tc>
        <w:tc>
          <w:tcPr/>
          <w:p>
            <w:pPr>
              <w:pStyle w:val="Compact"/>
              <w:jc w:val="left"/>
            </w:pPr>
            <w:r>
              <w:t xml:space="preserve">~1,5x primas netas</w:t>
            </w:r>
          </w:p>
        </w:tc>
        <w:tc>
          <w:tcPr/>
          <w:p>
            <w:pPr>
              <w:pStyle w:val="Compact"/>
            </w:pPr>
          </w:p>
        </w:tc>
      </w:tr>
      <w:tr>
        <w:tc>
          <w:tcPr/>
          <w:p>
            <w:pPr>
              <w:pStyle w:val="Compact"/>
              <w:jc w:val="left"/>
            </w:pPr>
            <w:r>
              <w:t xml:space="preserve">Palomar</w:t>
            </w:r>
          </w:p>
        </w:tc>
        <w:tc>
          <w:tcPr/>
          <w:p>
            <w:pPr>
              <w:pStyle w:val="Compact"/>
              <w:jc w:val="left"/>
            </w:pPr>
            <w:r>
              <w:t xml:space="preserve">~3,8x</w:t>
            </w:r>
          </w:p>
        </w:tc>
        <w:tc>
          <w:tcPr/>
          <w:p>
            <w:pPr>
              <w:pStyle w:val="Compact"/>
              <w:jc w:val="left"/>
            </w:pPr>
            <w:r>
              <w:t xml:space="preserve">Especialidad muy rentable</w:t>
            </w:r>
          </w:p>
        </w:tc>
      </w:tr>
      <w:tr>
        <w:tc>
          <w:tcPr/>
          <w:p>
            <w:pPr>
              <w:pStyle w:val="Compact"/>
              <w:jc w:val="left"/>
            </w:pPr>
            <w:r>
              <w:rPr>
                <w:bCs/>
                <w:b/>
              </w:rPr>
              <w:t xml:space="preserve">Mediana del grupo digital</w:t>
            </w:r>
          </w:p>
        </w:tc>
        <w:tc>
          <w:tcPr/>
          <w:p>
            <w:pPr>
              <w:pStyle w:val="Compact"/>
              <w:jc w:val="left"/>
            </w:pPr>
            <w:r>
              <w:rPr>
                <w:bCs/>
                <w:b/>
              </w:rPr>
              <w:t xml:space="preserve">~0,8x</w:t>
            </w:r>
          </w:p>
        </w:tc>
        <w:tc>
          <w:tcPr/>
          <w:p>
            <w:pPr>
              <w:pStyle w:val="Compact"/>
            </w:pPr>
          </w:p>
        </w:tc>
      </w:tr>
    </w:tbl>
    <w:p>
      <w:pPr>
        <w:pStyle w:val="BodyText"/>
      </w:pPr>
      <w:r>
        <w:rPr>
          <w:bCs/>
          <w:b/>
        </w:rPr>
        <w:t xml:space="preserve">Lemonade cotiza con prima sobre todas las insurtech:</w:t>
      </w:r>
      <w:r>
        <w:t xml:space="preserve"> </w:t>
      </w:r>
      <w:r>
        <w:t xml:space="preserve">el mercado le paga el crecimiento y la mejora de la siniestralidad.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Primas brutas a jun-28 (M)</w:t>
            </w:r>
          </w:p>
        </w:tc>
        <w:tc>
          <w:tcPr/>
          <w:p>
            <w:pPr>
              <w:pStyle w:val="Compact"/>
              <w:jc w:val="left"/>
            </w:pPr>
            <w:r>
              <w:t xml:space="preserve">EV/primas</w:t>
            </w:r>
          </w:p>
        </w:tc>
        <w:tc>
          <w:tcPr/>
          <w:p>
            <w:pPr>
              <w:pStyle w:val="Compact"/>
              <w:jc w:val="left"/>
            </w:pPr>
            <w:r>
              <w:t xml:space="preserve">Precio</w:t>
            </w:r>
          </w:p>
        </w:tc>
        <w:tc>
          <w:tcPr/>
          <w:p>
            <w:pPr>
              <w:pStyle w:val="Compact"/>
              <w:jc w:val="left"/>
            </w:pPr>
            <w:r>
              <w:t xml:space="preserve">Rentabilidad</w:t>
            </w:r>
          </w:p>
        </w:tc>
        <w:tc>
          <w:tcPr/>
          <w:p>
            <w:pPr>
              <w:pStyle w:val="Compact"/>
              <w:jc w:val="left"/>
            </w:pPr>
            <w:r>
              <w:t xml:space="preserve">Prob.</w:t>
            </w:r>
          </w:p>
        </w:tc>
      </w:tr>
      <w:tr>
        <w:tc>
          <w:tcPr/>
          <w:p>
            <w:pPr>
              <w:pStyle w:val="Compact"/>
              <w:jc w:val="left"/>
            </w:pPr>
            <w:r>
              <w:t xml:space="preserve">Bajista (el crecimiento se frena a la mitad: +15 % y +12 %)</w:t>
            </w:r>
          </w:p>
        </w:tc>
        <w:tc>
          <w:tcPr/>
          <w:p>
            <w:pPr>
              <w:pStyle w:val="Compact"/>
              <w:jc w:val="left"/>
            </w:pPr>
            <w:r>
              <w:t xml:space="preserve">1.550</w:t>
            </w:r>
          </w:p>
        </w:tc>
        <w:tc>
          <w:tcPr/>
          <w:p>
            <w:pPr>
              <w:pStyle w:val="Compact"/>
              <w:jc w:val="left"/>
            </w:pPr>
            <w:r>
              <w:t xml:space="preserve">1,3x</w:t>
            </w:r>
          </w:p>
        </w:tc>
        <w:tc>
          <w:tcPr/>
          <w:p>
            <w:pPr>
              <w:pStyle w:val="Compact"/>
              <w:jc w:val="left"/>
            </w:pPr>
            <w:r>
              <w:t xml:space="preserve">25,4</w:t>
            </w:r>
          </w:p>
        </w:tc>
        <w:tc>
          <w:tcPr/>
          <w:p>
            <w:pPr>
              <w:pStyle w:val="Compact"/>
              <w:jc w:val="left"/>
            </w:pPr>
            <w:r>
              <w:t xml:space="preserve">−43,3 %</w:t>
            </w:r>
          </w:p>
        </w:tc>
        <w:tc>
          <w:tcPr/>
          <w:p>
            <w:pPr>
              <w:pStyle w:val="Compact"/>
              <w:jc w:val="left"/>
            </w:pPr>
            <w:r>
              <w:t xml:space="preserve">25 %</w:t>
            </w:r>
          </w:p>
        </w:tc>
      </w:tr>
      <w:tr>
        <w:tc>
          <w:tcPr/>
          <w:p>
            <w:pPr>
              <w:pStyle w:val="Compact"/>
              <w:jc w:val="left"/>
            </w:pPr>
            <w:r>
              <w:t xml:space="preserve">Base (+29 % y +25 %, en línea con la guía y el consenso)</w:t>
            </w:r>
          </w:p>
        </w:tc>
        <w:tc>
          <w:tcPr/>
          <w:p>
            <w:pPr>
              <w:pStyle w:val="Compact"/>
              <w:jc w:val="left"/>
            </w:pPr>
            <w:r>
              <w:t xml:space="preserve">1.939</w:t>
            </w:r>
          </w:p>
        </w:tc>
        <w:tc>
          <w:tcPr/>
          <w:p>
            <w:pPr>
              <w:pStyle w:val="Compact"/>
              <w:jc w:val="left"/>
            </w:pPr>
            <w:r>
              <w:t xml:space="preserve">2,2x</w:t>
            </w:r>
          </w:p>
        </w:tc>
        <w:tc>
          <w:tcPr/>
          <w:p>
            <w:pPr>
              <w:pStyle w:val="Compact"/>
              <w:jc w:val="left"/>
            </w:pPr>
            <w:r>
              <w:t xml:space="preserve">51,1</w:t>
            </w:r>
          </w:p>
        </w:tc>
        <w:tc>
          <w:tcPr/>
          <w:p>
            <w:pPr>
              <w:pStyle w:val="Compact"/>
              <w:jc w:val="left"/>
            </w:pPr>
            <w:r>
              <w:t xml:space="preserve">+14,3 %</w:t>
            </w:r>
          </w:p>
        </w:tc>
        <w:tc>
          <w:tcPr/>
          <w:p>
            <w:pPr>
              <w:pStyle w:val="Compact"/>
              <w:jc w:val="left"/>
            </w:pPr>
            <w:r>
              <w:t xml:space="preserve">50 %</w:t>
            </w:r>
          </w:p>
        </w:tc>
      </w:tr>
      <w:tr>
        <w:tc>
          <w:tcPr/>
          <w:p>
            <w:pPr>
              <w:pStyle w:val="Compact"/>
              <w:jc w:val="left"/>
            </w:pPr>
            <w:r>
              <w:t xml:space="preserve">Alcista (mantiene +30 % y la siniestralidad baja; vuelve al múltiplo de 2025-26)</w:t>
            </w:r>
          </w:p>
        </w:tc>
        <w:tc>
          <w:tcPr/>
          <w:p>
            <w:pPr>
              <w:pStyle w:val="Compact"/>
              <w:jc w:val="left"/>
            </w:pPr>
            <w:r>
              <w:t xml:space="preserve">2.070</w:t>
            </w:r>
          </w:p>
        </w:tc>
        <w:tc>
          <w:tcPr/>
          <w:p>
            <w:pPr>
              <w:pStyle w:val="Compact"/>
              <w:jc w:val="left"/>
            </w:pPr>
            <w:r>
              <w:t xml:space="preserve">2,8x</w:t>
            </w:r>
          </w:p>
        </w:tc>
        <w:tc>
          <w:tcPr/>
          <w:p>
            <w:pPr>
              <w:pStyle w:val="Compact"/>
              <w:jc w:val="left"/>
            </w:pPr>
            <w:r>
              <w:t xml:space="preserve">70,3</w:t>
            </w:r>
          </w:p>
        </w:tc>
        <w:tc>
          <w:tcPr/>
          <w:p>
            <w:pPr>
              <w:pStyle w:val="Compact"/>
              <w:jc w:val="left"/>
            </w:pPr>
            <w:r>
              <w:t xml:space="preserve">+57,1 %</w:t>
            </w:r>
          </w:p>
        </w:tc>
        <w:tc>
          <w:tcPr/>
          <w:p>
            <w:pPr>
              <w:pStyle w:val="Compact"/>
              <w:jc w:val="left"/>
            </w:pPr>
            <w:r>
              <w:t xml:space="preserve">25 %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49,5</w:t>
            </w:r>
          </w:p>
        </w:tc>
        <w:tc>
          <w:tcPr/>
          <w:p>
            <w:pPr>
              <w:pStyle w:val="Compact"/>
              <w:jc w:val="left"/>
            </w:pPr>
            <w:r>
              <w:rPr>
                <w:bCs/>
                <w:b/>
              </w:rPr>
              <w:t xml:space="preserve">+10,7 %</w:t>
            </w:r>
          </w:p>
        </w:tc>
        <w:tc>
          <w:tcPr/>
          <w:p>
            <w:pPr>
              <w:pStyle w:val="Compact"/>
            </w:pPr>
          </w:p>
        </w:tc>
      </w:tr>
    </w:tbl>
    <w:p>
      <w:pPr>
        <w:pStyle w:val="BodyText"/>
      </w:pPr>
      <w:r>
        <w:t xml:space="preserve">Acciones a 12 meses: 82 M × 1,048. Con v11 las ventas de cada escenario son las menores entre la regla mecánica (1.550 / 1.939 / 2.107) y las del informe (1.700 / 1.970 / 2.070).</w:t>
      </w:r>
    </w:p>
    <w:p>
      <w:pPr>
        <w:numPr>
          <w:ilvl w:val="0"/>
          <w:numId w:val="1010"/>
        </w:numPr>
        <w:pStyle w:val="Compact"/>
      </w:pPr>
      <w:r>
        <w:rPr>
          <w:bCs/>
          <w:b/>
        </w:rPr>
        <w:t xml:space="preserve">Consenso:</w:t>
      </w:r>
      <w:r>
        <w:t xml:space="preserve"> </w:t>
      </w:r>
      <w:r>
        <w:t xml:space="preserve">recomendación media Mantener y objetivo medio ~60 USD (Investing.com, 10-ago, rango 37-92). Los objetivos más recientes son más bajos: Piper 51, Morgan Stanley 56, KBW 48 [5][6]. Para 2027, el consenso de ingresos es de ~1.590 M (suma de trimestres, solo 2 analistas). Pasado a primas brutas con la cesión actual, son unos</w:t>
      </w:r>
      <w:r>
        <w:t xml:space="preserve"> </w:t>
      </w:r>
      <w:r>
        <w:rPr>
          <w:bCs/>
          <w:b/>
        </w:rPr>
        <w:t xml:space="preserve">1.770 M en 2027 y ~1.990 M en la ventana jul-27/jun-28</w:t>
      </w:r>
      <w:r>
        <w:t xml:space="preserve">, cifra derivada por mí. Mi base, 1.939, queda un 3 % por debajo.</w:t>
      </w:r>
    </w:p>
    <w:p>
      <w:pPr>
        <w:numPr>
          <w:ilvl w:val="0"/>
          <w:numId w:val="1010"/>
        </w:numPr>
        <w:pStyle w:val="Compact"/>
      </w:pPr>
      <w:r>
        <w:rPr>
          <w:bCs/>
          <w:b/>
        </w:rPr>
        <w:t xml:space="preserve">P/VC: 6,9 veces</w:t>
      </w:r>
      <w:r>
        <w:t xml:space="preserve"> </w:t>
      </w:r>
      <w:r>
        <w:t xml:space="preserve">el valor contable (3.456 M de capitalización frente a 499,5 M). Una aseguradora rentable que crece cotiza a 2-4 veces (Kinsale 3,8 con un ROE del 24 %). Para justificar 6,9 veces, Lemonade tendría que llegar a ROE del 25 % o más y seguir creciendo mucho tiempo.</w:t>
      </w:r>
    </w:p>
    <w:p>
      <w:pPr>
        <w:numPr>
          <w:ilvl w:val="0"/>
          <w:numId w:val="1010"/>
        </w:numPr>
        <w:pStyle w:val="Compact"/>
      </w:pPr>
      <w:r>
        <w:rPr>
          <w:bCs/>
          <w:b/>
        </w:rPr>
        <w:t xml:space="preserve">DCF inverso</w:t>
      </w:r>
      <w:r>
        <w:t xml:space="preserve"> </w:t>
      </w:r>
      <w:r>
        <w:t xml:space="preserve">(supuestos propios: margen neto maduro del 8 % de las primas, PER final de 15 y descuento del 11 %): el precio descuenta unas</w:t>
      </w:r>
      <w:r>
        <w:t xml:space="preserve"> </w:t>
      </w:r>
      <w:r>
        <w:rPr>
          <w:bCs/>
          <w:b/>
        </w:rPr>
        <w:t xml:space="preserve">primas que crezcan ~21 % al año durante 10 años</w:t>
      </w:r>
      <w:r>
        <w:t xml:space="preserve">, hasta ~8.300 M. Es posible: la empresa habla de una aspiración de 10.000 M de primas (prensa, Morgan Stanley, de memoria la fecha). Pero deja poco margen si el coche o el hogar fallan.</w:t>
      </w:r>
    </w:p>
    <w:bookmarkEnd w:id="28"/>
    <w:bookmarkStart w:id="29" w:name="foros-y-sentimiento"/>
    <w:p>
      <w:pPr>
        <w:pStyle w:val="Heading2"/>
      </w:pPr>
      <w:r>
        <w:t xml:space="preserve">10. Foros y sentimiento</w:t>
      </w:r>
    </w:p>
    <w:p>
      <w:pPr>
        <w:numPr>
          <w:ilvl w:val="0"/>
          <w:numId w:val="1011"/>
        </w:numPr>
        <w:pStyle w:val="Compact"/>
      </w:pPr>
      <w:r>
        <w:rPr>
          <w:bCs/>
          <w:b/>
        </w:rPr>
        <w:t xml:space="preserve">Prensa y analistas:</w:t>
      </w:r>
      <w:r>
        <w:t xml:space="preserve"> </w:t>
      </w:r>
      <w:r>
        <w:t xml:space="preserve">«buen trimestre, mala reacción». El 2T26 batió en primas e ingresos, pero la caída fue del 20-23 %. Se citaron la guía de primas en vigor algo por debajo del consenso, más gasto en captación en el 3T, la falta de mejora en la guía de EBITDA ajustado, el relevo del director financiero y un mal día del mercado [7]. Antes ya cayó un 10-12 % tras el 4T25, con resultados récord [7].</w:t>
      </w:r>
    </w:p>
    <w:p>
      <w:pPr>
        <w:numPr>
          <w:ilvl w:val="0"/>
          <w:numId w:val="1011"/>
        </w:numPr>
        <w:pStyle w:val="Compact"/>
      </w:pPr>
      <w:r>
        <w:rPr>
          <w:bCs/>
          <w:b/>
        </w:rPr>
        <w:t xml:space="preserve">StockTwits:</w:t>
      </w:r>
      <w:r>
        <w:t xml:space="preserve"> </w:t>
      </w:r>
      <w:r>
        <w:t xml:space="preserve">encuesta «¿compras la caída?» con respuestas negativas. Un perito de seguros se queja de que le cancelaron la póliza de hogar [8].</w:t>
      </w:r>
    </w:p>
    <w:p>
      <w:pPr>
        <w:numPr>
          <w:ilvl w:val="0"/>
          <w:numId w:val="1011"/>
        </w:numPr>
        <w:pStyle w:val="Compact"/>
      </w:pPr>
      <w:r>
        <w:rPr>
          <w:bCs/>
          <w:b/>
        </w:rPr>
        <w:t xml:space="preserve">Foros europeos (Inderes, Finlandia):</w:t>
      </w:r>
      <w:r>
        <w:t xml:space="preserve"> </w:t>
      </w:r>
      <w:r>
        <w:t xml:space="preserve">optimistas de cara al día del inversor (17-nov), que algunos ven como posible sorpresa al alza. La dilución sale como preocupación [8].</w:t>
      </w:r>
    </w:p>
    <w:p>
      <w:pPr>
        <w:numPr>
          <w:ilvl w:val="0"/>
          <w:numId w:val="1011"/>
        </w:numPr>
        <w:pStyle w:val="Compact"/>
      </w:pPr>
      <w:r>
        <w:rPr>
          <w:bCs/>
          <w:b/>
        </w:rPr>
        <w:t xml:space="preserve">Reddit, Seeking Alpha y Rankia:</w:t>
      </w:r>
      <w:r>
        <w:t xml:space="preserve"> </w:t>
      </w:r>
      <w:r>
        <w:t xml:space="preserve">las búsquedas no devolvieron hilos recientes con contenido citable. El tono que se ve en agregadores es de valor muy volátil (beta ~2,2), en el que se apuesta a favor o en contra.</w:t>
      </w:r>
    </w:p>
    <w:p>
      <w:pPr>
        <w:numPr>
          <w:ilvl w:val="0"/>
          <w:numId w:val="1011"/>
        </w:numPr>
        <w:pStyle w:val="Compact"/>
      </w:pPr>
      <w:r>
        <w:rPr>
          <w:bCs/>
          <w:b/>
        </w:rPr>
        <w:t xml:space="preserve">Posiciones cortas:</w:t>
      </w:r>
      <w:r>
        <w:t xml:space="preserve"> </w:t>
      </w:r>
      <w:r>
        <w:t xml:space="preserve">13-16 % del capital flotante (10-11 M de acciones; FINRA, ago-26) [9]. Mantienen el escepticismo, pero pueden provocar subidas bruscas con buenas noticias.</w:t>
      </w:r>
    </w:p>
    <w:p>
      <w:pPr>
        <w:numPr>
          <w:ilvl w:val="0"/>
          <w:numId w:val="1011"/>
        </w:numPr>
        <w:pStyle w:val="Compact"/>
      </w:pPr>
      <w:r>
        <w:rPr>
          <w:bCs/>
          <w:b/>
        </w:rPr>
        <w:t xml:space="preserve">Contraste con los datos:</w:t>
      </w:r>
      <w:r>
        <w:t xml:space="preserve"> </w:t>
      </w:r>
      <w:r>
        <w:t xml:space="preserve">el pesimismo</w:t>
      </w:r>
      <w:r>
        <w:t xml:space="preserve"> </w:t>
      </w:r>
      <w:r>
        <w:rPr>
          <w:bCs/>
          <w:b/>
        </w:rPr>
        <w:t xml:space="preserve">no</w:t>
      </w:r>
      <w:r>
        <w:t xml:space="preserve"> </w:t>
      </w:r>
      <w:r>
        <w:t xml:space="preserve">encaja con la tendencia del negocio (siniestralidad, beneficio bruto y pérdidas mejoran). Sí encaja con dos cosas: el precio de partida era muy alto (6-10 veces el valor contable en enero) y hay riesgo de ampliación de capital. Ningún dato de foros entra en las cifras.</w:t>
      </w:r>
    </w:p>
    <w:bookmarkEnd w:id="29"/>
    <w:bookmarkStart w:id="30" w:name="riesgos-y-qué-rompería-la-tesis"/>
    <w:p>
      <w:pPr>
        <w:pStyle w:val="Heading2"/>
      </w:pPr>
      <w:r>
        <w:t xml:space="preserve">11. Riesgos y qué rompería la tesis</w:t>
      </w:r>
    </w:p>
    <w:p>
      <w:pPr>
        <w:pStyle w:val="FirstParagraph"/>
      </w:pPr>
      <w:r>
        <w:rPr>
          <w:bCs/>
          <w:b/>
        </w:rPr>
        <w:t xml:space="preserve">Alertas de robustez del motor (v11): ninguna.</w:t>
      </w:r>
      <w:r>
        <w:t xml:space="preserve"> </w:t>
      </w:r>
      <w:r>
        <w:t xml:space="preserve">La proyección mecánica (1.939 M) y la del informe (1.970 M) coinciden y quedan cerca del consenso derivado (1.990 M). Hay guía anual, el exceso sobre la guía es pequeño (2,3 pp), el múltiplo de hoy está en su mediana de 3 años y los pagos en acciones son del 6,8 % de las primas.</w:t>
      </w:r>
    </w:p>
    <w:p>
      <w:pPr>
        <w:pStyle w:val="BodyText"/>
      </w:pPr>
      <w:r>
        <w:rPr>
          <w:bCs/>
          <w:b/>
        </w:rPr>
        <w:t xml:space="preserve">Pruebas de robustez</w:t>
      </w:r>
      <w:r>
        <w:t xml:space="preserve"> </w:t>
      </w:r>
      <w:r>
        <w:t xml:space="preserve">(</w:t>
      </w:r>
      <w:r>
        <w:rPr>
          <w:rStyle w:val="VerbatimChar"/>
        </w:rPr>
        <w:t xml:space="preserve">herramientas/robustez-growth.mjs --precios</w:t>
      </w:r>
      <w:r>
        <w:t xml:space="preserve">, 14-oct): veredicto</w:t>
      </w:r>
      <w:r>
        <w:t xml:space="preserve"> </w:t>
      </w:r>
      <w:r>
        <w:rPr>
          <w:bCs/>
          <w:b/>
        </w:rPr>
        <w:t xml:space="preserve">SÓLIDA, Mantener</w:t>
      </w:r>
      <w:r>
        <w:t xml:space="preserve">. Todas las variantes dan Mantener: v7 (+11,3 %), las ventas del informe (+12,9 %), pesos 35/50/15 (+0,6 %) y el precio de hoy con el objetivo fijo (+13,0 %). Avisos:</w:t>
      </w:r>
      <w:r>
        <w:t xml:space="preserve"> </w:t>
      </w:r>
      <w:r>
        <w:t xml:space="preserve">-</w:t>
      </w:r>
      <w:r>
        <w:t xml:space="preserve"> </w:t>
      </w:r>
      <w:r>
        <w:rPr>
          <w:bCs/>
          <w:b/>
        </w:rPr>
        <w:t xml:space="preserve">G2</w:t>
      </w:r>
      <w:r>
        <w:t xml:space="preserve">, el objetivo se mueve con el precio (elasticidad 0,95, porque el múltiplo base es el de hoy). Se deja fijo el del informe (49,5 USD) y el límite es 47,1 USD.</w:t>
      </w:r>
      <w:r>
        <w:t xml:space="preserve"> </w:t>
      </w:r>
      <w:r>
        <w:t xml:space="preserve">-</w:t>
      </w:r>
      <w:r>
        <w:t xml:space="preserve"> </w:t>
      </w:r>
      <w:r>
        <w:rPr>
          <w:bCs/>
          <w:b/>
        </w:rPr>
        <w:t xml:space="preserve">G6</w:t>
      </w:r>
      <w:r>
        <w:t xml:space="preserve">, bajista del −43 %: si algún día entra, que sea con peso pequeño y en tramos.</w:t>
      </w:r>
    </w:p>
    <w:p>
      <w:pPr>
        <w:pStyle w:val="BodyText"/>
      </w:pPr>
      <w:r>
        <w:rPr>
          <w:bCs/>
          <w:b/>
        </w:rPr>
        <w:t xml:space="preserve">Lo que la prueba no mide y yo añado: la señal depende de un punto.</w:t>
      </w:r>
      <w:r>
        <w:t xml:space="preserve"> </w:t>
      </w:r>
      <w:r>
        <w:t xml:space="preserve">Variantes probadas con v9, una por una: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Cambio</w:t>
            </w:r>
          </w:p>
        </w:tc>
        <w:tc>
          <w:tcPr/>
          <w:p>
            <w:pPr>
              <w:pStyle w:val="Compact"/>
              <w:jc w:val="left"/>
            </w:pPr>
            <w:r>
              <w:t xml:space="preserve">Puntuación</w:t>
            </w:r>
          </w:p>
        </w:tc>
        <w:tc>
          <w:tcPr/>
          <w:p>
            <w:pPr>
              <w:pStyle w:val="Compact"/>
              <w:jc w:val="left"/>
            </w:pPr>
            <w:r>
              <w:t xml:space="preserve">Señal</w:t>
            </w:r>
          </w:p>
        </w:tc>
      </w:tr>
      <w:tr>
        <w:tc>
          <w:tcPr/>
          <w:p>
            <w:pPr>
              <w:pStyle w:val="Compact"/>
              <w:jc w:val="left"/>
            </w:pPr>
            <w:r>
              <w:t xml:space="preserve">Ninguno (lo de este informe)</w:t>
            </w:r>
          </w:p>
        </w:tc>
        <w:tc>
          <w:tcPr/>
          <w:p>
            <w:pPr>
              <w:pStyle w:val="Compact"/>
              <w:jc w:val="left"/>
            </w:pPr>
            <w:r>
              <w:t xml:space="preserve">59,3</w:t>
            </w:r>
          </w:p>
        </w:tc>
        <w:tc>
          <w:tcPr/>
          <w:p>
            <w:pPr>
              <w:pStyle w:val="Compact"/>
              <w:jc w:val="left"/>
            </w:pPr>
            <w:r>
              <w:t xml:space="preserve">Mantener</w:t>
            </w:r>
          </w:p>
        </w:tc>
      </w:tr>
      <w:tr>
        <w:tc>
          <w:tcPr/>
          <w:p>
            <w:pPr>
              <w:pStyle w:val="Compact"/>
              <w:jc w:val="left"/>
            </w:pPr>
            <w:r>
              <w:t xml:space="preserve">Rentabilidad «FCF positivo» (+8 M en 12 meses)</w:t>
            </w:r>
          </w:p>
        </w:tc>
        <w:tc>
          <w:tcPr/>
          <w:p>
            <w:pPr>
              <w:pStyle w:val="Compact"/>
              <w:jc w:val="left"/>
            </w:pPr>
            <w:r>
              <w:t xml:space="preserve">60,3</w:t>
            </w:r>
          </w:p>
        </w:tc>
        <w:tc>
          <w:tcPr/>
          <w:p>
            <w:pPr>
              <w:pStyle w:val="Compact"/>
              <w:jc w:val="left"/>
            </w:pPr>
            <w:r>
              <w:t xml:space="preserve">Comprar (baja)</w:t>
            </w:r>
          </w:p>
        </w:tc>
      </w:tr>
      <w:tr>
        <w:tc>
          <w:tcPr/>
          <w:p>
            <w:pPr>
              <w:pStyle w:val="Compact"/>
              <w:jc w:val="left"/>
            </w:pPr>
            <w:r>
              <w:t xml:space="preserve">Dirección 4 en lugar de 3</w:t>
            </w:r>
          </w:p>
        </w:tc>
        <w:tc>
          <w:tcPr/>
          <w:p>
            <w:pPr>
              <w:pStyle w:val="Compact"/>
              <w:jc w:val="left"/>
            </w:pPr>
            <w:r>
              <w:t xml:space="preserve">60,3</w:t>
            </w:r>
          </w:p>
        </w:tc>
        <w:tc>
          <w:tcPr/>
          <w:p>
            <w:pPr>
              <w:pStyle w:val="Compact"/>
              <w:jc w:val="left"/>
            </w:pPr>
            <w:r>
              <w:t xml:space="preserve">Comprar (baja)</w:t>
            </w:r>
          </w:p>
        </w:tc>
      </w:tr>
      <w:tr>
        <w:tc>
          <w:tcPr/>
          <w:p>
            <w:pPr>
              <w:pStyle w:val="Compact"/>
              <w:jc w:val="left"/>
            </w:pPr>
            <w:r>
              <w:t xml:space="preserve">Tecnología 5 en lugar de 4</w:t>
            </w:r>
          </w:p>
        </w:tc>
        <w:tc>
          <w:tcPr/>
          <w:p>
            <w:pPr>
              <w:pStyle w:val="Compact"/>
              <w:jc w:val="left"/>
            </w:pPr>
            <w:r>
              <w:t xml:space="preserve">60,7</w:t>
            </w:r>
          </w:p>
        </w:tc>
        <w:tc>
          <w:tcPr/>
          <w:p>
            <w:pPr>
              <w:pStyle w:val="Compact"/>
              <w:jc w:val="left"/>
            </w:pPr>
            <w:r>
              <w:t xml:space="preserve">Comprar (baja)</w:t>
            </w:r>
          </w:p>
        </w:tc>
      </w:tr>
      <w:tr>
        <w:tc>
          <w:tcPr/>
          <w:p>
            <w:pPr>
              <w:pStyle w:val="Compact"/>
              <w:jc w:val="left"/>
            </w:pPr>
            <w:r>
              <w:t xml:space="preserve">Tecnología 3</w:t>
            </w:r>
          </w:p>
        </w:tc>
        <w:tc>
          <w:tcPr/>
          <w:p>
            <w:pPr>
              <w:pStyle w:val="Compact"/>
              <w:jc w:val="left"/>
            </w:pPr>
            <w:r>
              <w:t xml:space="preserve">58,0</w:t>
            </w:r>
          </w:p>
        </w:tc>
        <w:tc>
          <w:tcPr/>
          <w:p>
            <w:pPr>
              <w:pStyle w:val="Compact"/>
              <w:jc w:val="left"/>
            </w:pPr>
            <w:r>
              <w:t xml:space="preserve">Mantener</w:t>
            </w:r>
          </w:p>
        </w:tc>
      </w:tr>
      <w:tr>
        <w:tc>
          <w:tcPr/>
          <w:p>
            <w:pPr>
              <w:pStyle w:val="Compact"/>
              <w:jc w:val="left"/>
            </w:pPr>
            <w:r>
              <w:t xml:space="preserve">Mercado alcanzable de 50.000 M</w:t>
            </w:r>
          </w:p>
        </w:tc>
        <w:tc>
          <w:tcPr/>
          <w:p>
            <w:pPr>
              <w:pStyle w:val="Compact"/>
              <w:jc w:val="left"/>
            </w:pPr>
            <w:r>
              <w:t xml:space="preserve">58,0</w:t>
            </w:r>
          </w:p>
        </w:tc>
        <w:tc>
          <w:tcPr/>
          <w:p>
            <w:pPr>
              <w:pStyle w:val="Compact"/>
              <w:jc w:val="left"/>
            </w:pPr>
            <w:r>
              <w:t xml:space="preserve">Mantener</w:t>
            </w:r>
          </w:p>
        </w:tc>
      </w:tr>
    </w:tbl>
    <w:p>
      <w:pPr>
        <w:pStyle w:val="BodyText"/>
      </w:pPr>
      <w:r>
        <w:rPr>
          <w:bCs/>
          <w:b/>
        </w:rPr>
        <w:t xml:space="preserve">Por qué me quedo con las notas prudentes:</w:t>
      </w:r>
      <w:r>
        <w:t xml:space="preserve"> </w:t>
      </w:r>
      <w:r>
        <w:t xml:space="preserve">- El FCF positivo es de +8 M, sale negativo en el semestre y depende de cobrar primas por adelantado mientras crece.</w:t>
      </w:r>
      <w:r>
        <w:t xml:space="preserve"> </w:t>
      </w:r>
      <w:r>
        <w:t xml:space="preserve">- La dirección acaba de darse concesiones grandes y vende acciones.</w:t>
      </w:r>
      <w:r>
        <w:t xml:space="preserve"> </w:t>
      </w:r>
      <w:r>
        <w:t xml:space="preserve">- La ventaja de la IA es real, pero replicable (abajo).</w:t>
      </w:r>
    </w:p>
    <w:p>
      <w:pPr>
        <w:pStyle w:val="BodyText"/>
      </w:pPr>
      <w:r>
        <w:t xml:space="preserve">Con las acciones en circulación (77,3 M) en vez de 82 M, la ponderada sube a +18 %, pero la puntuación no cambia.</w:t>
      </w:r>
    </w:p>
    <w:p>
      <w:pPr>
        <w:pStyle w:val="BodyText"/>
      </w:pPr>
      <w:r>
        <w:rPr>
          <w:bCs/>
          <w:b/>
        </w:rPr>
        <w:t xml:space="preserve">Riesgos de negocio:</w:t>
      </w:r>
      <w:r>
        <w:t xml:space="preserve"> </w:t>
      </w:r>
      <w:r>
        <w:t xml:space="preserve">-</w:t>
      </w:r>
      <w:r>
        <w:t xml:space="preserve"> </w:t>
      </w:r>
      <w:r>
        <w:rPr>
          <w:bCs/>
          <w:b/>
        </w:rPr>
        <w:t xml:space="preserve">Capital y dilución:</w:t>
      </w:r>
      <w:r>
        <w:t xml:space="preserve"> </w:t>
      </w:r>
      <w:r>
        <w:t xml:space="preserve">pérdidas y crecimiento consumen capital regulatorio. Una ampliación de capital a estos precios diluiría. Señal de venta: ampliación de más del 10 % sin mejora de márgenes.</w:t>
      </w:r>
      <w:r>
        <w:t xml:space="preserve"> </w:t>
      </w:r>
      <w:r>
        <w:t xml:space="preserve">-</w:t>
      </w:r>
      <w:r>
        <w:t xml:space="preserve"> </w:t>
      </w:r>
      <w:r>
        <w:rPr>
          <w:bCs/>
          <w:b/>
        </w:rPr>
        <w:t xml:space="preserve">Reservas:</w:t>
      </w:r>
      <w:r>
        <w:t xml:space="preserve"> </w:t>
      </w:r>
      <w:r>
        <w:t xml:space="preserve">7 puntos de la siniestralidad del 2T26 vienen de liberar reservas de años anteriores. Si se repite poco, la siniestralidad subyacente es del ~67 %. Señal de venta: desarrollo desfavorable de reservas, o siniestralidad bruta de 12 meses por encima del 70 %.</w:t>
      </w:r>
      <w:r>
        <w:t xml:space="preserve"> </w:t>
      </w:r>
      <w:r>
        <w:t xml:space="preserve">-</w:t>
      </w:r>
      <w:r>
        <w:t xml:space="preserve"> </w:t>
      </w:r>
      <w:r>
        <w:rPr>
          <w:bCs/>
          <w:b/>
        </w:rPr>
        <w:t xml:space="preserve">Catástrofes:</w:t>
      </w:r>
      <w:r>
        <w:t xml:space="preserve"> </w:t>
      </w:r>
      <w:r>
        <w:t xml:space="preserve">hogar en zonas de incendios y tormentas (incendios de California en 2025). La cobertura de catástrofes limita la pérdida a ~40 M por evento.</w:t>
      </w:r>
      <w:r>
        <w:t xml:space="preserve"> </w:t>
      </w:r>
      <w:r>
        <w:t xml:space="preserve">-</w:t>
      </w:r>
      <w:r>
        <w:t xml:space="preserve"> </w:t>
      </w:r>
      <w:r>
        <w:rPr>
          <w:bCs/>
          <w:b/>
        </w:rPr>
        <w:t xml:space="preserve">Coche:</w:t>
      </w:r>
      <w:r>
        <w:t xml:space="preserve"> </w:t>
      </w:r>
      <w:r>
        <w:t xml:space="preserve">la línea que más crece (+59 %) es la más difícil (siniestralidad del 74-82 % en trimestres normales).</w:t>
      </w:r>
      <w:r>
        <w:t xml:space="preserve"> </w:t>
      </w:r>
      <w:r>
        <w:t xml:space="preserve">-</w:t>
      </w:r>
      <w:r>
        <w:t xml:space="preserve"> </w:t>
      </w:r>
      <w:r>
        <w:rPr>
          <w:bCs/>
          <w:b/>
        </w:rPr>
        <w:t xml:space="preserve">Gasto en captación:</w:t>
      </w:r>
      <w:r>
        <w:t xml:space="preserve"> </w:t>
      </w:r>
      <w:r>
        <w:t xml:space="preserve">si crece más que las primas en 2027, la promesa de apalancamiento operativo no se cumple.</w:t>
      </w:r>
      <w:r>
        <w:t xml:space="preserve"> </w:t>
      </w:r>
      <w:r>
        <w:t xml:space="preserve">-</w:t>
      </w:r>
      <w:r>
        <w:t xml:space="preserve"> </w:t>
      </w:r>
      <w:r>
        <w:rPr>
          <w:bCs/>
          <w:b/>
        </w:rPr>
        <w:t xml:space="preserve">Regulación:</w:t>
      </w:r>
      <w:r>
        <w:t xml:space="preserve"> </w:t>
      </w:r>
      <w:r>
        <w:t xml:space="preserve">tarifas y no renovaciones en hogar dependen de cada estado. Hay normas sobre el uso de IA en precios y siniestros (boletín modelo de la NAIC). En 2021 tuvo una polémica por el análisis de vídeos de siniestros con IA (de memoria).</w:t>
      </w:r>
    </w:p>
    <w:p>
      <w:pPr>
        <w:pStyle w:val="BodyText"/>
      </w:pPr>
      <w:r>
        <w:rPr>
          <w:bCs/>
          <w:b/>
        </w:rPr>
        <w:t xml:space="preserve">Riesgo de IA: medio.</w:t>
      </w:r>
      <w:r>
        <w:t xml:space="preserve"> </w:t>
      </w:r>
      <w:r>
        <w:t xml:space="preserve">Es a la vez su ventaja y la de sus rivales:</w:t>
      </w:r>
      <w:r>
        <w:t xml:space="preserve"> </w:t>
      </w:r>
      <w:r>
        <w:t xml:space="preserve">-</w:t>
      </w:r>
      <w:r>
        <w:t xml:space="preserve"> </w:t>
      </w:r>
      <w:r>
        <w:rPr>
          <w:bCs/>
          <w:b/>
        </w:rPr>
        <w:t xml:space="preserve">A favor (su ventaja):</w:t>
      </w:r>
      <w:r>
        <w:t xml:space="preserve"> </w:t>
      </w:r>
      <w:r>
        <w:t xml:space="preserve">es nativa digital. Su coste de siniestros (5 % de las primas) está a la mitad del sector (~9 %) y baja cada trimestre. La IA le permite crecer sin contratar al mismo ritmo, que es la base del apalancamiento operativo que promete.</w:t>
      </w:r>
      <w:r>
        <w:t xml:space="preserve"> </w:t>
      </w:r>
      <w:r>
        <w:t xml:space="preserve">-</w:t>
      </w:r>
      <w:r>
        <w:t xml:space="preserve"> </w:t>
      </w:r>
      <w:r>
        <w:rPr>
          <w:bCs/>
          <w:b/>
        </w:rPr>
        <w:t xml:space="preserve">En contra, porque los rivales la usan también:</w:t>
      </w:r>
      <w:r>
        <w:t xml:space="preserve"> </w:t>
      </w:r>
      <w:r>
        <w:t xml:space="preserve">1. Progressive, Allstate o State Farm automatizan siniestros con IA generativa. Si su coste baja del 9 % al 6 %, la ventaja de Lemonade se reduce a la mitad.</w:t>
      </w:r>
      <w:r>
        <w:t xml:space="preserve"> </w:t>
      </w:r>
      <w:r>
        <w:t xml:space="preserve">2. En seguros, lo que decide es la precisión del precio, y eso depende de los datos de siniestros. Los gigantes tienen décadas más de datos, sobre todo en coche.</w:t>
      </w:r>
      <w:r>
        <w:t xml:space="preserve"> </w:t>
      </w:r>
      <w:r>
        <w:t xml:space="preserve">3. Los asistentes de IA que comparan pólizas (agentes que contratan en nombre del cliente) quitan valor a la marca y a la app, que es el canal de Lemonade. Empujan a competir solo por precio, donde gana la escala.</w:t>
      </w:r>
      <w:r>
        <w:t xml:space="preserve"> </w:t>
      </w:r>
      <w:r>
        <w:t xml:space="preserve">-</w:t>
      </w:r>
      <w:r>
        <w:t xml:space="preserve"> </w:t>
      </w:r>
      <w:r>
        <w:rPr>
          <w:bCs/>
          <w:b/>
        </w:rPr>
        <w:t xml:space="preserve">Balance:</w:t>
      </w:r>
      <w:r>
        <w:t xml:space="preserve"> </w:t>
      </w:r>
      <w:r>
        <w:t xml:space="preserve">la IA no amenaza su existencia, pero sí la prima de valoración. El mercado le paga 6,9 veces el valor contable por una ventaja tecnológica que puede ser temporal.</w:t>
      </w:r>
    </w:p>
    <w:p>
      <w:pPr>
        <w:pStyle w:val="BodyText"/>
      </w:pPr>
      <w:r>
        <w:rPr>
          <w:bCs/>
          <w:b/>
        </w:rPr>
        <w:t xml:space="preserve">Qué rompería la tesis (señales de venta concretas):</w:t>
      </w:r>
      <w:r>
        <w:t xml:space="preserve"> </w:t>
      </w:r>
      <w:r>
        <w:t xml:space="preserve">- Que el EBITDA ajustado no salga positivo en el 4T26 ni en 2027.</w:t>
      </w:r>
      <w:r>
        <w:t xml:space="preserve"> </w:t>
      </w:r>
      <w:r>
        <w:t xml:space="preserve">- Que las primas en vigor crezcan menos del 25 % dos trimestres seguidos.</w:t>
      </w:r>
      <w:r>
        <w:t xml:space="preserve"> </w:t>
      </w:r>
      <w:r>
        <w:t xml:space="preserve">- Una ampliación de capital grande.</w:t>
      </w:r>
      <w:r>
        <w:t xml:space="preserve"> </w:t>
      </w:r>
      <w:r>
        <w:t xml:space="preserve">- Desarrollo desfavorable de reservas.</w:t>
      </w:r>
    </w:p>
    <w:bookmarkEnd w:id="30"/>
    <w:bookmarkStart w:id="31" w:name="catalizadores-con-fecha"/>
    <w:p>
      <w:pPr>
        <w:pStyle w:val="Heading2"/>
      </w:pPr>
      <w:r>
        <w:t xml:space="preserve">12. Catalizadores con fecha</w:t>
      </w:r>
    </w:p>
    <w:p>
      <w:pPr>
        <w:numPr>
          <w:ilvl w:val="0"/>
          <w:numId w:val="1012"/>
        </w:numPr>
        <w:pStyle w:val="Compact"/>
      </w:pPr>
      <w:r>
        <w:rPr>
          <w:bCs/>
          <w:b/>
        </w:rPr>
        <w:t xml:space="preserve">Principios de noviembre de 2026</w:t>
      </w:r>
      <w:r>
        <w:t xml:space="preserve"> </w:t>
      </w:r>
      <w:r>
        <w:t xml:space="preserve">(fecha sin anunciar; el 3T25 se publicó el 5-nov): resultados del 3T26. Guía: primas en vigor de 1.537-1.540 M y EBITDA ajustado de −23 a −20 M. Mirar la siniestralidad sin reservas, el gasto en captación y el coche.</w:t>
      </w:r>
    </w:p>
    <w:p>
      <w:pPr>
        <w:numPr>
          <w:ilvl w:val="0"/>
          <w:numId w:val="1012"/>
        </w:numPr>
        <w:pStyle w:val="Compact"/>
      </w:pPr>
      <w:r>
        <w:rPr>
          <w:bCs/>
          <w:b/>
        </w:rPr>
        <w:t xml:space="preserve">17-nov-2026:</w:t>
      </w:r>
      <w:r>
        <w:t xml:space="preserve"> </w:t>
      </w:r>
      <w:r>
        <w:t xml:space="preserve">día del inversor en Nueva York (estrategia, crecimiento a medio plazo, IA). Puede traer objetivos nuevos.</w:t>
      </w:r>
    </w:p>
    <w:p>
      <w:pPr>
        <w:numPr>
          <w:ilvl w:val="0"/>
          <w:numId w:val="1012"/>
        </w:numPr>
        <w:pStyle w:val="Compact"/>
      </w:pPr>
      <w:r>
        <w:rPr>
          <w:bCs/>
          <w:b/>
        </w:rPr>
        <w:t xml:space="preserve">Ene-2027:</w:t>
      </w:r>
      <w:r>
        <w:t xml:space="preserve"> </w:t>
      </w:r>
      <w:r>
        <w:t xml:space="preserve">entra el nuevo director financiero y la nueva financiación de Hannover Re.</w:t>
      </w:r>
    </w:p>
    <w:p>
      <w:pPr>
        <w:numPr>
          <w:ilvl w:val="0"/>
          <w:numId w:val="1012"/>
        </w:numPr>
        <w:pStyle w:val="Compact"/>
      </w:pPr>
      <w:r>
        <w:rPr>
          <w:bCs/>
          <w:b/>
        </w:rPr>
        <w:t xml:space="preserve">Feb-2027:</w:t>
      </w:r>
      <w:r>
        <w:t xml:space="preserve"> </w:t>
      </w:r>
      <w:r>
        <w:t xml:space="preserve">resultados del 4T26, el primer trimestre con EBITDA ajustado positivo si se cumple la guía (~8 M), y guía de 2027.</w:t>
      </w:r>
    </w:p>
    <w:bookmarkEnd w:id="31"/>
    <w:bookmarkStart w:id="32" w:name="encaje-en-cartera"/>
    <w:p>
      <w:pPr>
        <w:pStyle w:val="Heading2"/>
      </w:pPr>
      <w:r>
        <w:t xml:space="preserve">13. Encaje en cartera</w:t>
      </w:r>
    </w:p>
    <w:p>
      <w:pPr>
        <w:numPr>
          <w:ilvl w:val="0"/>
          <w:numId w:val="1013"/>
        </w:numPr>
        <w:pStyle w:val="Compact"/>
      </w:pPr>
      <w:r>
        <w:rPr>
          <w:bCs/>
          <w:b/>
        </w:rPr>
        <w:t xml:space="preserve">Bolsillo growth lleno</w:t>
      </w:r>
      <w:r>
        <w:t xml:space="preserve"> </w:t>
      </w:r>
      <w:r>
        <w:t xml:space="preserve">(~20 %): Nu (+19 % al precio actual con v11), Axon (+36 %), Shopify (+18 %), Snowflake (+13 %) y Samsara (+15 %). Liquidez ≈27 EUR: solo cabe sustituir. Alphabet se vende mañana y no cuenta como exposición a IA.</w:t>
      </w:r>
    </w:p>
    <w:p>
      <w:pPr>
        <w:numPr>
          <w:ilvl w:val="0"/>
          <w:numId w:val="1013"/>
        </w:numPr>
        <w:pStyle w:val="Compact"/>
      </w:pPr>
      <w:r>
        <w:rPr>
          <w:bCs/>
          <w:b/>
        </w:rPr>
        <w:t xml:space="preserve">Lemonade no entra.</w:t>
      </w:r>
      <w:r>
        <w:t xml:space="preserve"> </w:t>
      </w:r>
      <w:r>
        <w:t xml:space="preserve">Da Mantener (puntuación 59,3). Al precio de hoy, su rentabilidad esperada es del +13 %, como la de Snowflake, pero con un bajista del −43 % y un posible riesgo de ampliación de capital.</w:t>
      </w:r>
      <w:r>
        <w:t xml:space="preserve"> </w:t>
      </w:r>
      <w:r>
        <w:rPr>
          <w:bCs/>
          <w:b/>
        </w:rPr>
        <w:t xml:space="preserve">No sustituye a ninguna</w:t>
      </w:r>
      <w:r>
        <w:t xml:space="preserve"> </w:t>
      </w:r>
      <w:r>
        <w:t xml:space="preserve">de las cinco: no hay margen ni convicción para rotar.</w:t>
      </w:r>
    </w:p>
    <w:p>
      <w:pPr>
        <w:numPr>
          <w:ilvl w:val="0"/>
          <w:numId w:val="1013"/>
        </w:numPr>
        <w:pStyle w:val="Compact"/>
      </w:pPr>
      <w:r>
        <w:rPr>
          <w:bCs/>
          <w:b/>
        </w:rPr>
        <w:t xml:space="preserve">Suplentes:</w:t>
      </w:r>
      <w:r>
        <w:t xml:space="preserve"> </w:t>
      </w:r>
      <w:r>
        <w:t xml:space="preserve">no entra en la lista (MongoDB, Toast, Zscaler, dLocal, Dexcom, argenx, Datadog, Saab, Natera), que son todas Comprar. Si tras el 3T26 o el día del inversor pasara a Comprar, con baja convicción y +13 % iría por detrás de Toast y Dexcom: tienen rentabilidad parecida y un bajista mucho menor.</w:t>
      </w:r>
    </w:p>
    <w:p>
      <w:pPr>
        <w:numPr>
          <w:ilvl w:val="0"/>
          <w:numId w:val="1013"/>
        </w:numPr>
        <w:pStyle w:val="Compact"/>
      </w:pPr>
      <w:r>
        <w:rPr>
          <w:bCs/>
          <w:b/>
        </w:rPr>
        <w:t xml:space="preserve">Diversificación:</w:t>
      </w:r>
      <w:r>
        <w:t xml:space="preserve"> </w:t>
      </w:r>
      <w:r>
        <w:t xml:space="preserve">el bolsillo ya tiene un financiero (Nu). Una aseguradora aportaría poca correlación con el software, pero no compensa el riesgo de capital.</w:t>
      </w:r>
    </w:p>
    <w:p>
      <w:pPr>
        <w:numPr>
          <w:ilvl w:val="0"/>
          <w:numId w:val="1013"/>
        </w:numPr>
        <w:pStyle w:val="Compact"/>
      </w:pPr>
      <w:r>
        <w:rPr>
          <w:bCs/>
          <w:b/>
        </w:rPr>
        <w:t xml:space="preserve">Qué vigilar:</w:t>
      </w:r>
      <w:r>
        <w:t xml:space="preserve"> </w:t>
      </w:r>
      <w:r>
        <w:t xml:space="preserve">revisar con los resultados del 3T26 y el día del inversor (17-nov). Pasaría a Comprar si se dan las dos cosas: el FCF y el EBITDA ajustado del 3T mejoran de forma clara (puntuación ≥ 60) y el precio sigue por debajo de 47,1 USD.</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w:t>
            </w:r>
          </w:p>
        </w:tc>
        <w:tc>
          <w:tcPr/>
          <w:p>
            <w:pPr>
              <w:pStyle w:val="Compact"/>
              <w:jc w:val="left"/>
            </w:pPr>
            <w:r>
              <w:t xml:space="preserve">Comentario</w:t>
            </w:r>
          </w:p>
        </w:tc>
      </w:tr>
      <w:tr>
        <w:tc>
          <w:tcPr/>
          <w:p>
            <w:pPr>
              <w:pStyle w:val="Compact"/>
              <w:jc w:val="left"/>
            </w:pPr>
            <w:r>
              <w:t xml:space="preserve">A. Crecimiento</w:t>
            </w:r>
          </w:p>
        </w:tc>
        <w:tc>
          <w:tcPr/>
          <w:p>
            <w:pPr>
              <w:pStyle w:val="Compact"/>
              <w:jc w:val="left"/>
            </w:pPr>
            <w:r>
              <w:t xml:space="preserve">18,3</w:t>
            </w:r>
          </w:p>
        </w:tc>
        <w:tc>
          <w:tcPr/>
          <w:p>
            <w:pPr>
              <w:pStyle w:val="Compact"/>
              <w:jc w:val="left"/>
            </w:pPr>
            <w:r>
              <w:t xml:space="preserve">25</w:t>
            </w:r>
          </w:p>
        </w:tc>
        <w:tc>
          <w:tcPr/>
          <w:p>
            <w:pPr>
              <w:pStyle w:val="Compact"/>
              <w:jc w:val="left"/>
            </w:pPr>
            <w:r>
              <w:t xml:space="preserve">Primas brutas +30 % en 12 m, CAGR 27,4 %, aceleración +3,1 pp</w:t>
            </w:r>
          </w:p>
        </w:tc>
      </w:tr>
      <w:tr>
        <w:tc>
          <w:tcPr/>
          <w:p>
            <w:pPr>
              <w:pStyle w:val="Compact"/>
              <w:jc w:val="left"/>
            </w:pPr>
            <w:r>
              <w:t xml:space="preserve">B. Mercado y tecnología</w:t>
            </w:r>
          </w:p>
        </w:tc>
        <w:tc>
          <w:tcPr/>
          <w:p>
            <w:pPr>
              <w:pStyle w:val="Compact"/>
              <w:jc w:val="left"/>
            </w:pPr>
            <w:r>
              <w:t xml:space="preserve">16</w:t>
            </w:r>
          </w:p>
        </w:tc>
        <w:tc>
          <w:tcPr/>
          <w:p>
            <w:pPr>
              <w:pStyle w:val="Compact"/>
              <w:jc w:val="left"/>
            </w:pPr>
            <w:r>
              <w:t xml:space="preserve">20</w:t>
            </w:r>
          </w:p>
        </w:tc>
        <w:tc>
          <w:tcPr/>
          <w:p>
            <w:pPr>
              <w:pStyle w:val="Compact"/>
              <w:jc w:val="left"/>
            </w:pPr>
            <w:r>
              <w:t xml:space="preserve">Penetración 1,2 %, tecnología 4 (IA en siniestros), posición 3</w:t>
            </w:r>
          </w:p>
        </w:tc>
      </w:tr>
      <w:tr>
        <w:tc>
          <w:tcPr/>
          <w:p>
            <w:pPr>
              <w:pStyle w:val="Compact"/>
              <w:jc w:val="left"/>
            </w:pPr>
            <w:r>
              <w:t xml:space="preserve">C. Cambio de tendencia</w:t>
            </w:r>
          </w:p>
        </w:tc>
        <w:tc>
          <w:tcPr/>
          <w:p>
            <w:pPr>
              <w:pStyle w:val="Compact"/>
              <w:jc w:val="left"/>
            </w:pPr>
            <w:r>
              <w:t xml:space="preserve">5</w:t>
            </w:r>
          </w:p>
        </w:tc>
        <w:tc>
          <w:tcPr/>
          <w:p>
            <w:pPr>
              <w:pStyle w:val="Compact"/>
              <w:jc w:val="left"/>
            </w:pPr>
            <w:r>
              <w:t xml:space="preserve">20</w:t>
            </w:r>
          </w:p>
        </w:tc>
        <w:tc>
          <w:tcPr/>
          <w:p>
            <w:pPr>
              <w:pStyle w:val="Compact"/>
              <w:jc w:val="left"/>
            </w:pPr>
            <w:r>
              <w:t xml:space="preserve">2 de 8 señales (inflexión operativa, catalizador)</w:t>
            </w:r>
          </w:p>
        </w:tc>
      </w:tr>
      <w:tr>
        <w:tc>
          <w:tcPr/>
          <w:p>
            <w:pPr>
              <w:pStyle w:val="Compact"/>
              <w:jc w:val="left"/>
            </w:pPr>
            <w:r>
              <w:t xml:space="preserve">D. Economía unitaria</w:t>
            </w:r>
          </w:p>
        </w:tc>
        <w:tc>
          <w:tcPr/>
          <w:p>
            <w:pPr>
              <w:pStyle w:val="Compact"/>
              <w:jc w:val="left"/>
            </w:pPr>
            <w:r>
              <w:t xml:space="preserve">7</w:t>
            </w:r>
          </w:p>
        </w:tc>
        <w:tc>
          <w:tcPr/>
          <w:p>
            <w:pPr>
              <w:pStyle w:val="Compact"/>
              <w:jc w:val="left"/>
            </w:pPr>
            <w:r>
              <w:t xml:space="preserve">15</w:t>
            </w:r>
          </w:p>
        </w:tc>
        <w:tc>
          <w:tcPr/>
          <w:p>
            <w:pPr>
              <w:pStyle w:val="Compact"/>
              <w:jc w:val="left"/>
            </w:pPr>
            <w:r>
              <w:t xml:space="preserve">Margen bruto 33,6 %, regla del 40 = 30,8, equilibrio en ≤ 12 meses</w:t>
            </w:r>
          </w:p>
        </w:tc>
      </w:tr>
      <w:tr>
        <w:tc>
          <w:tcPr/>
          <w:p>
            <w:pPr>
              <w:pStyle w:val="Compact"/>
              <w:jc w:val="left"/>
            </w:pPr>
            <w:r>
              <w:t xml:space="preserve">E. Caja y dilución</w:t>
            </w:r>
          </w:p>
        </w:tc>
        <w:tc>
          <w:tcPr/>
          <w:p>
            <w:pPr>
              <w:pStyle w:val="Compact"/>
              <w:jc w:val="left"/>
            </w:pPr>
            <w:r>
              <w:t xml:space="preserve">6</w:t>
            </w:r>
          </w:p>
        </w:tc>
        <w:tc>
          <w:tcPr/>
          <w:p>
            <w:pPr>
              <w:pStyle w:val="Compact"/>
              <w:jc w:val="left"/>
            </w:pPr>
            <w:r>
              <w:t xml:space="preserve">10</w:t>
            </w:r>
          </w:p>
        </w:tc>
        <w:tc>
          <w:tcPr/>
          <w:p>
            <w:pPr>
              <w:pStyle w:val="Compact"/>
              <w:jc w:val="left"/>
            </w:pPr>
            <w:r>
              <w:t xml:space="preserve">FCF ligeramente positivo; dilución del 4,8 % al año</w:t>
            </w:r>
          </w:p>
        </w:tc>
      </w:tr>
      <w:tr>
        <w:tc>
          <w:tcPr/>
          <w:p>
            <w:pPr>
              <w:pStyle w:val="Compact"/>
              <w:jc w:val="left"/>
            </w:pPr>
            <w:r>
              <w:t xml:space="preserve">F. Ejecución y dirección</w:t>
            </w:r>
          </w:p>
        </w:tc>
        <w:tc>
          <w:tcPr/>
          <w:p>
            <w:pPr>
              <w:pStyle w:val="Compact"/>
              <w:jc w:val="left"/>
            </w:pPr>
            <w:r>
              <w:t xml:space="preserve">7</w:t>
            </w:r>
          </w:p>
        </w:tc>
        <w:tc>
          <w:tcPr/>
          <w:p>
            <w:pPr>
              <w:pStyle w:val="Compact"/>
              <w:jc w:val="left"/>
            </w:pPr>
            <w:r>
              <w:t xml:space="preserve">10</w:t>
            </w:r>
          </w:p>
        </w:tc>
        <w:tc>
          <w:tcPr/>
          <w:p>
            <w:pPr>
              <w:pStyle w:val="Compact"/>
              <w:jc w:val="left"/>
            </w:pPr>
            <w:r>
              <w:t xml:space="preserve">Historial 4, dirección 3</w:t>
            </w:r>
          </w:p>
        </w:tc>
      </w:tr>
      <w:tr>
        <w:tc>
          <w:tcPr/>
          <w:p>
            <w:pPr>
              <w:pStyle w:val="Compact"/>
              <w:jc w:val="left"/>
            </w:pPr>
            <w:r>
              <w:rPr>
                <w:bCs/>
                <w:b/>
              </w:rPr>
              <w:t xml:space="preserve">Total</w:t>
            </w:r>
          </w:p>
        </w:tc>
        <w:tc>
          <w:tcPr/>
          <w:p>
            <w:pPr>
              <w:pStyle w:val="Compact"/>
              <w:jc w:val="left"/>
            </w:pPr>
            <w:r>
              <w:rPr>
                <w:bCs/>
                <w:b/>
              </w:rPr>
              <w:t xml:space="preserve">59,3</w:t>
            </w:r>
          </w:p>
        </w:tc>
        <w:tc>
          <w:tcPr/>
          <w:p>
            <w:pPr>
              <w:pStyle w:val="Compact"/>
              <w:jc w:val="left"/>
            </w:pPr>
            <w:r>
              <w:t xml:space="preserve">100</w:t>
            </w:r>
          </w:p>
        </w:tc>
        <w:tc>
          <w:tcPr/>
          <w:p>
            <w:pPr>
              <w:pStyle w:val="Compact"/>
              <w:jc w:val="left"/>
            </w:pPr>
            <w:r>
              <w:t xml:space="preserve">Mantener (v9, v11 y v12)</w:t>
            </w:r>
          </w:p>
        </w:tc>
      </w:tr>
    </w:tbl>
    <w:bookmarkEnd w:id="33"/>
    <w:bookmarkStart w:id="34" w:name="fuentes"/>
    <w:p>
      <w:pPr>
        <w:pStyle w:val="Heading2"/>
      </w:pPr>
      <w:r>
        <w:t xml:space="preserve">Fuentes</w:t>
      </w:r>
    </w:p>
    <w:p>
      <w:pPr>
        <w:numPr>
          <w:ilvl w:val="0"/>
          <w:numId w:val="1014"/>
        </w:numPr>
        <w:pStyle w:val="Compact"/>
      </w:pPr>
      <w:r>
        <w:t xml:space="preserve">Lemonade, carta a los accionistas del 2T26 (8-K, ex. 99.1, 29-jul-2026), SEC: https://www.sec.gov/Archives/edgar/data/1691421/000169142126000047/lmndshareholderletterq22.htm</w:t>
      </w:r>
    </w:p>
    <w:p>
      <w:pPr>
        <w:numPr>
          <w:ilvl w:val="0"/>
          <w:numId w:val="1014"/>
        </w:numPr>
        <w:pStyle w:val="Compact"/>
      </w:pPr>
      <w:r>
        <w:t xml:space="preserve">Lemonade, cartas del 1T26 (29-abr-2026), 4T25 (19-feb-2026), 3T25 (5-nov-2025), 2T25, 1T25 y 4T24 (8-K, SEC); 3T24 (30-oct-2024) para el histórico de primas. SEC XBRL companyfacts, CIK 1691421.</w:t>
      </w:r>
    </w:p>
    <w:p>
      <w:pPr>
        <w:numPr>
          <w:ilvl w:val="0"/>
          <w:numId w:val="1014"/>
        </w:numPr>
        <w:pStyle w:val="Compact"/>
      </w:pPr>
      <w:r>
        <w:t xml:space="preserve">Precios: Yahoo Finance chart API (LMND, QQQ, SPY) y Nasdaq.com (histórico e intradía), 14-oct-2026.</w:t>
      </w:r>
    </w:p>
    <w:p>
      <w:pPr>
        <w:numPr>
          <w:ilvl w:val="0"/>
          <w:numId w:val="1014"/>
        </w:numPr>
        <w:pStyle w:val="Compact"/>
      </w:pPr>
      <w:r>
        <w:t xml:space="preserve">Formularios 4 de la SEC de Lemonade (oct-25 a sep-26).</w:t>
      </w:r>
    </w:p>
    <w:p>
      <w:pPr>
        <w:numPr>
          <w:ilvl w:val="0"/>
          <w:numId w:val="1014"/>
        </w:numPr>
        <w:pStyle w:val="Compact"/>
      </w:pPr>
      <w:r>
        <w:t xml:space="preserve">MarketBeat: Piper Sandler baja el objetivo a 51 USD (30-jul-2026). StreetInsider, historial de recomendaciones.</w:t>
      </w:r>
    </w:p>
    <w:p>
      <w:pPr>
        <w:numPr>
          <w:ilvl w:val="0"/>
          <w:numId w:val="1014"/>
        </w:numPr>
        <w:pStyle w:val="Compact"/>
      </w:pPr>
      <w:r>
        <w:t xml:space="preserve">Investing.com, consenso (objetivo medio 60,22 USD, rango 37-92, 10-ago-2026). Tickflow (ingresos de 2027 por trimestres, 2 analistas, 31-jul-2026). Google Finance (3 comprar, 4 mantener, 1 vender).</w:t>
      </w:r>
    </w:p>
    <w:p>
      <w:pPr>
        <w:numPr>
          <w:ilvl w:val="0"/>
          <w:numId w:val="1014"/>
        </w:numPr>
        <w:pStyle w:val="Compact"/>
      </w:pPr>
      <w:r>
        <w:t xml:space="preserve">Motley Fool, «Why Lemonade stock is crashing today» (29-jul-2026). Insurance Business, «Lemonade posts 79% revenue growth in Q2 2026 as CFO succession plan unveiled». Webull y Tickeron. TIKR sobre la caída tras el 4T25.</w:t>
      </w:r>
    </w:p>
    <w:p>
      <w:pPr>
        <w:numPr>
          <w:ilvl w:val="0"/>
          <w:numId w:val="1014"/>
        </w:numPr>
        <w:pStyle w:val="Compact"/>
      </w:pPr>
      <w:r>
        <w:t xml:space="preserve">StockTwits (29-jul-2026); foro Inderes «Lemonade – vakuutusalan disruptio» (may-2026); Gotrade; Yahoo Finance.</w:t>
      </w:r>
    </w:p>
    <w:p>
      <w:pPr>
        <w:numPr>
          <w:ilvl w:val="0"/>
          <w:numId w:val="1014"/>
        </w:numPr>
        <w:pStyle w:val="Compact"/>
      </w:pPr>
      <w:r>
        <w:t xml:space="preserve">Posiciones cortas: Benzinga (16,1 %), Equibles (13,5 %, ago-2026), Curved Trading / FINRA (10 M de acciones, 14-ago-2026).</w:t>
      </w:r>
    </w:p>
    <w:p>
      <w:pPr>
        <w:numPr>
          <w:ilvl w:val="0"/>
          <w:numId w:val="1014"/>
        </w:numPr>
        <w:pStyle w:val="Compact"/>
      </w:pPr>
      <w:r>
        <w:t xml:space="preserve">Comparables: SEC XBRL (Root, Hippo, Trupanion, Progressive y Palomar; 12 meses a jun-26) y Yahoo (precio del 14-oct).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2026-10-14T20:15:15Z</dcterms:created>
  <dcterms:modified xsi:type="dcterms:W3CDTF">2026-10-14T20:15:15Z</dcterms:modified>
</cp:coreProperties>
</file>

<file path=docProps/custom.xml><?xml version="1.0" encoding="utf-8"?>
<Properties xmlns="http://schemas.openxmlformats.org/officeDocument/2006/custom-properties" xmlns:vt="http://schemas.openxmlformats.org/officeDocument/2006/docPropsVTypes"/>
</file>