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0cf61c8af3ccd21904751f26536bb81bbef5457"/>
    <w:p>
      <w:pPr>
        <w:pStyle w:val="Heading1"/>
      </w:pPr>
      <w:r>
        <w:t xml:space="preserve">Oscar Health (OSCR): análisis growth, 2026-10-14</w:t>
      </w:r>
    </w:p>
    <w:p>
      <w:pPr>
        <w:pStyle w:val="FirstParagraph"/>
      </w:pPr>
      <w:r>
        <w:rPr>
          <w:bCs/>
          <w:b/>
        </w:rPr>
        <w:t xml:space="preserve">Señal: Vender (no comprar)</w:t>
      </w:r>
      <w:r>
        <w:t xml:space="preserve"> </w:t>
      </w:r>
      <w:r>
        <w:t xml:space="preserve">· Puntuación 72,5/100 · Señales de cambio de tendencia 7/8</w:t>
      </w:r>
      <w:r>
        <w:t xml:space="preserve"> </w:t>
      </w:r>
      <w:r>
        <w:t xml:space="preserve">Precio 33,79 USD (cierre del 13-oct) · Objetivo 12 m 22,0 USD · Ponderada −34,8 % · Base −27,7 % · Bajista −62,5 % · Alcista +5,9 % · Compra hasta 21,0 USD</w:t>
      </w:r>
      <w:r>
        <w:t xml:space="preserve"> </w:t>
      </w:r>
      <w:r>
        <w:t xml:space="preserve">Método v11 (vigente). Como referencia, con v9: Mantener, ponderada −5,3 %, compra hasta 30,5 USD.</w:t>
      </w:r>
      <w:r>
        <w:t xml:space="preserve"> </w:t>
      </w:r>
      <w:r>
        <w:t xml:space="preserve">Al precio actual (34,33 USD, 14-oct 20:00 UTC, cierre de la sesión) y con el objetivo fijo: ponderada −35,9 %.</w:t>
      </w:r>
      <w:r>
        <w:t xml:space="preserve"> </w:t>
      </w:r>
      <w:r>
        <w:t xml:space="preserve">Robustez: frágil en la cifra, pero la señal robusta es Vender.</w:t>
      </w:r>
      <w:r>
        <w:t xml:space="preserve"> </w:t>
      </w:r>
      <w:r>
        <w:t xml:space="preserve">Peso orientativo: no entra.</w:t>
      </w:r>
    </w:p>
    <w:p>
      <w:pPr>
        <w:pStyle w:val="BodyText"/>
      </w:pPr>
      <w:r>
        <w:rPr>
          <w:bCs/>
          <w:b/>
        </w:rPr>
        <w:t xml:space="preserve">Resumen en llano.</w:t>
      </w:r>
      <w:r>
        <w:t xml:space="preserve"> </w:t>
      </w:r>
      <w:r>
        <w:t xml:space="preserve">Oscar es una aseguradora de salud para particulares en EE. UU. (los planes de la ley ACA). En 2026 ha dado un salto: ingresa un 61 % más y vuelve a ganar dinero tras perder 443 millones en 2025, porque Aetna dejó el mercado y Oscar subió precios a tiempo. La bolsa ya lo ha visto: la acción ha subido un 118 % en seis meses. El problema es lo que viene: los analistas esperan que los ingresos crezcan solo un 11 % en 2027, y la acción cotiza al múltiplo de ventas más alto de sus últimos tres años. Con el método, el precio razonable a 12 meses es 22 dólares, un 35 % por debajo. Además, los directivos están vendiendo acciones y el 90 % de lo que cobra lo paga el Gobierno federal como subvención, así que depende mucho de la política.</w:t>
      </w:r>
    </w:p>
    <w:bookmarkStart w:id="20" w:name="la-tesis-en-cinco-líneas"/>
    <w:p>
      <w:pPr>
        <w:pStyle w:val="Heading2"/>
      </w:pPr>
      <w:r>
        <w:t xml:space="preserve">1. La tesis en cinco líneas</w:t>
      </w:r>
    </w:p>
    <w:p>
      <w:pPr>
        <w:numPr>
          <w:ilvl w:val="0"/>
          <w:numId w:val="1001"/>
        </w:numPr>
        <w:pStyle w:val="Compact"/>
      </w:pPr>
      <w:r>
        <w:t xml:space="preserve">2026 es el año del cambio: unos 3 millones de asegurados (2 millones hace un año), siniestralidad del 75 % en el primer semestre y beneficio operativo de 1.093 millones.</w:t>
      </w:r>
    </w:p>
    <w:p>
      <w:pPr>
        <w:numPr>
          <w:ilvl w:val="0"/>
          <w:numId w:val="1001"/>
        </w:numPr>
        <w:pStyle w:val="Compact"/>
      </w:pPr>
      <w:r>
        <w:t xml:space="preserve">Ese salto viene sobre todo de hechos que no se repiten: la salida de Aetna en 2026 y unas subidas de tarifa con las que Oscar acertó cuando terminaron las subvenciones ampliadas.</w:t>
      </w:r>
    </w:p>
    <w:p>
      <w:pPr>
        <w:numPr>
          <w:ilvl w:val="0"/>
          <w:numId w:val="1001"/>
        </w:numPr>
        <w:pStyle w:val="Compact"/>
      </w:pPr>
      <w:r>
        <w:t xml:space="preserve">En 2027 el crecimiento frena: el consenso espera un 11 % (la dirección habla de más del 20 % anual hasta 2029, sin guía formal hasta febrero).</w:t>
      </w:r>
    </w:p>
    <w:p>
      <w:pPr>
        <w:numPr>
          <w:ilvl w:val="0"/>
          <w:numId w:val="1001"/>
        </w:numPr>
        <w:pStyle w:val="Compact"/>
      </w:pPr>
      <w:r>
        <w:t xml:space="preserve">El precio ya incluye la mejora: el múltiplo de ventas es el más alto de tres años, y casi tres veces el de Centene.</w:t>
      </w:r>
    </w:p>
    <w:p>
      <w:pPr>
        <w:numPr>
          <w:ilvl w:val="0"/>
          <w:numId w:val="1001"/>
        </w:numPr>
        <w:pStyle w:val="Compact"/>
      </w:pPr>
      <w:r>
        <w:t xml:space="preserve">Se mantienen los riesgos de siempre: política de subvenciones, ajuste de riesgos, revisiones de elegibilidad de la CMS y directivos que venden. Para comprarla, el precio tendría que bajar de 21 dólares.</w:t>
      </w:r>
    </w:p>
    <w:bookmarkEnd w:id="20"/>
    <w:bookmarkStart w:id="21" w:name="negocio-y-tecnología"/>
    <w:p>
      <w:pPr>
        <w:pStyle w:val="Heading2"/>
      </w:pPr>
      <w:r>
        <w:t xml:space="preserve">2. Negocio y tecnología</w:t>
      </w:r>
    </w:p>
    <w:p>
      <w:pPr>
        <w:numPr>
          <w:ilvl w:val="0"/>
          <w:numId w:val="1002"/>
        </w:numPr>
        <w:pStyle w:val="Compact"/>
      </w:pPr>
      <w:r>
        <w:rPr>
          <w:bCs/>
          <w:b/>
        </w:rPr>
        <w:t xml:space="preserve">Qué vende:</w:t>
      </w:r>
      <w:r>
        <w:t xml:space="preserve"> </w:t>
      </w:r>
      <w:r>
        <w:t xml:space="preserve">seguros de salud individuales y familiares en los mercados de la ACA (Obamacare), en unos 20 estados, y también planes «Choice» (ICHRA), en los que la empresa da dinero al empleado para que contrate su propio seguro. Desde 2025 dejó los planes para pequeñas empresas y la alianza con Cigna [1][3].</w:t>
      </w:r>
    </w:p>
    <w:p>
      <w:pPr>
        <w:numPr>
          <w:ilvl w:val="0"/>
          <w:numId w:val="1002"/>
        </w:numPr>
        <w:pStyle w:val="Compact"/>
      </w:pPr>
      <w:r>
        <w:rPr>
          <w:bCs/>
          <w:b/>
        </w:rPr>
        <w:t xml:space="preserve">Quién paga:</w:t>
      </w:r>
      <w:r>
        <w:t xml:space="preserve"> </w:t>
      </w:r>
      <w:r>
        <w:t xml:space="preserve">el 90 % de las primas directas del 2T26 las pagó la CMS (el Gobierno federal) como subvención a la prima (APTC) [2].</w:t>
      </w:r>
    </w:p>
    <w:p>
      <w:pPr>
        <w:numPr>
          <w:ilvl w:val="0"/>
          <w:numId w:val="1002"/>
        </w:numPr>
        <w:pStyle w:val="Compact"/>
      </w:pPr>
      <w:r>
        <w:rPr>
          <w:bCs/>
          <w:b/>
        </w:rPr>
        <w:t xml:space="preserve">Qué tiene de nuevo:</w:t>
      </w:r>
      <w:r>
        <w:t xml:space="preserve"> </w:t>
      </w:r>
      <w:r>
        <w:t xml:space="preserve">una plataforma propia de seguros (cobros, siniestros, atención al cliente) y un uso intenso de la IA. En el Investor Day dijo que casi dos tercios del código ya lo escriben agentes de IA, que su asistente «Oswell» resuelve al momento el 30-40 % de los mensajes y que las autorizaciones previas automáticas se aprueban casi todas. También tiene Lucie, un mercado de seguros para corredores que viene de la compra de INSXCloud en 2025 [6]. La tecnología ayuda a gastar menos en administración (gastos generales del 14,2 % de los ingresos en el 2T26, frente al 18,7 % un año antes), pero el negocio sigue siendo un seguro: lo deciden el precio, la red de médicos y el ajuste de riesgos.</w:t>
      </w:r>
    </w:p>
    <w:p>
      <w:pPr>
        <w:numPr>
          <w:ilvl w:val="0"/>
          <w:numId w:val="1002"/>
        </w:numPr>
        <w:pStyle w:val="Compact"/>
      </w:pPr>
      <w:r>
        <w:rPr>
          <w:bCs/>
          <w:b/>
        </w:rPr>
        <w:t xml:space="preserve">Cómo leer las cuentas de una aseguradora:</w:t>
      </w:r>
      <w:r>
        <w:t xml:space="preserve"> </w:t>
      </w:r>
      <w:r>
        <w:t xml:space="preserve">las «ventas» son las primas (ya restado el ajuste de riesgos). El «margen bruto» es lo que queda después de pagar los siniestros, es decir, 1 menos la siniestralidad (MLR): un 18,5 % con la guía de 2026.</w:t>
      </w:r>
    </w:p>
    <w:bookmarkEnd w:id="21"/>
    <w:bookmarkStart w:id="22" w:name="crecimiento"/>
    <w:p>
      <w:pPr>
        <w:pStyle w:val="Heading2"/>
      </w:pPr>
      <w:r>
        <w:t xml:space="preserve">3. Crecimiento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Trimestre</w:t>
            </w:r>
          </w:p>
        </w:tc>
        <w:tc>
          <w:tcPr/>
          <w:p>
            <w:pPr>
              <w:pStyle w:val="Compact"/>
              <w:jc w:val="left"/>
            </w:pPr>
            <w:r>
              <w:t xml:space="preserve">Ingresos (M USD)</w:t>
            </w:r>
          </w:p>
        </w:tc>
        <w:tc>
          <w:tcPr/>
          <w:p>
            <w:pPr>
              <w:pStyle w:val="Compact"/>
              <w:jc w:val="left"/>
            </w:pPr>
            <w:r>
              <w:t xml:space="preserve">Crecimiento</w:t>
            </w:r>
          </w:p>
        </w:tc>
        <w:tc>
          <w:tcPr/>
          <w:p>
            <w:pPr>
              <w:pStyle w:val="Compact"/>
              <w:jc w:val="left"/>
            </w:pPr>
            <w:r>
              <w:t xml:space="preserve">Siniestralidad (MLR)</w:t>
            </w:r>
          </w:p>
        </w:tc>
        <w:tc>
          <w:tcPr/>
          <w:p>
            <w:pPr>
              <w:pStyle w:val="Compact"/>
              <w:jc w:val="left"/>
            </w:pPr>
            <w:r>
              <w:t xml:space="preserve">Beneficio operativo (M)</w:t>
            </w:r>
          </w:p>
        </w:tc>
        <w:tc>
          <w:tcPr/>
          <w:p>
            <w:pPr>
              <w:pStyle w:val="Compact"/>
              <w:jc w:val="left"/>
            </w:pPr>
            <w:r>
              <w:t xml:space="preserve">Asegurados</w:t>
            </w:r>
          </w:p>
        </w:tc>
      </w:tr>
      <w:tr>
        <w:tc>
          <w:tcPr/>
          <w:p>
            <w:pPr>
              <w:pStyle w:val="Compact"/>
              <w:jc w:val="left"/>
            </w:pPr>
            <w:r>
              <w:t xml:space="preserve">3T24</w:t>
            </w:r>
          </w:p>
        </w:tc>
        <w:tc>
          <w:tcPr/>
          <w:p>
            <w:pPr>
              <w:pStyle w:val="Compact"/>
              <w:jc w:val="left"/>
            </w:pPr>
            <w:r>
              <w:t xml:space="preserve">2.423</w:t>
            </w:r>
          </w:p>
        </w:tc>
        <w:tc>
          <w:tcPr/>
          <w:p>
            <w:pPr>
              <w:pStyle w:val="Compact"/>
              <w:jc w:val="left"/>
            </w:pPr>
            <w:r>
              <w:t xml:space="preserve">+68 %</w:t>
            </w:r>
          </w:p>
        </w:tc>
        <w:tc>
          <w:tcPr/>
          <w:p>
            <w:pPr>
              <w:pStyle w:val="Compact"/>
              <w:jc w:val="left"/>
            </w:pPr>
            <w:r>
              <w:t xml:space="preserve">84,6 %</w:t>
            </w:r>
          </w:p>
        </w:tc>
        <w:tc>
          <w:tcPr/>
          <w:p>
            <w:pPr>
              <w:pStyle w:val="Compact"/>
              <w:jc w:val="left"/>
            </w:pPr>
            <w:r>
              <w:t xml:space="preserve">−48</w:t>
            </w:r>
          </w:p>
        </w:tc>
        <w:tc>
          <w:tcPr/>
          <w:p>
            <w:pPr>
              <w:pStyle w:val="Compact"/>
              <w:jc w:val="left"/>
            </w:pPr>
            <w:r>
              <w:t xml:space="preserve">1,60 M</w:t>
            </w:r>
          </w:p>
        </w:tc>
      </w:tr>
      <w:tr>
        <w:tc>
          <w:tcPr/>
          <w:p>
            <w:pPr>
              <w:pStyle w:val="Compact"/>
              <w:jc w:val="left"/>
            </w:pPr>
            <w:r>
              <w:t xml:space="preserve">4T24</w:t>
            </w:r>
          </w:p>
        </w:tc>
        <w:tc>
          <w:tcPr/>
          <w:p>
            <w:pPr>
              <w:pStyle w:val="Compact"/>
              <w:jc w:val="left"/>
            </w:pPr>
            <w:r>
              <w:t xml:space="preserve">2.392</w:t>
            </w:r>
          </w:p>
        </w:tc>
        <w:tc>
          <w:tcPr/>
          <w:p>
            <w:pPr>
              <w:pStyle w:val="Compact"/>
              <w:jc w:val="left"/>
            </w:pPr>
            <w:r>
              <w:t xml:space="preserve">+67 %</w:t>
            </w:r>
          </w:p>
        </w:tc>
        <w:tc>
          <w:tcPr/>
          <w:p>
            <w:pPr>
              <w:pStyle w:val="Compact"/>
              <w:jc w:val="left"/>
            </w:pPr>
            <w:r>
              <w:t xml:space="preserve">88,1 %</w:t>
            </w:r>
          </w:p>
        </w:tc>
        <w:tc>
          <w:tcPr/>
          <w:p>
            <w:pPr>
              <w:pStyle w:val="Compact"/>
              <w:jc w:val="left"/>
            </w:pPr>
            <w:r>
              <w:t xml:space="preserve">−148</w:t>
            </w:r>
          </w:p>
        </w:tc>
        <w:tc>
          <w:tcPr/>
          <w:p>
            <w:pPr>
              <w:pStyle w:val="Compact"/>
              <w:jc w:val="left"/>
            </w:pPr>
            <w:r>
              <w:t xml:space="preserve">1,68 M</w:t>
            </w:r>
          </w:p>
        </w:tc>
      </w:tr>
      <w:tr>
        <w:tc>
          <w:tcPr/>
          <w:p>
            <w:pPr>
              <w:pStyle w:val="Compact"/>
              <w:jc w:val="left"/>
            </w:pPr>
            <w:r>
              <w:t xml:space="preserve">1T25</w:t>
            </w:r>
          </w:p>
        </w:tc>
        <w:tc>
          <w:tcPr/>
          <w:p>
            <w:pPr>
              <w:pStyle w:val="Compact"/>
              <w:jc w:val="left"/>
            </w:pPr>
            <w:r>
              <w:t xml:space="preserve">3.046</w:t>
            </w:r>
          </w:p>
        </w:tc>
        <w:tc>
          <w:tcPr/>
          <w:p>
            <w:pPr>
              <w:pStyle w:val="Compact"/>
              <w:jc w:val="left"/>
            </w:pPr>
            <w:r>
              <w:t xml:space="preserve">+42 %</w:t>
            </w:r>
          </w:p>
        </w:tc>
        <w:tc>
          <w:tcPr/>
          <w:p>
            <w:pPr>
              <w:pStyle w:val="Compact"/>
              <w:jc w:val="left"/>
            </w:pPr>
            <w:r>
              <w:t xml:space="preserve">75,4 %</w:t>
            </w:r>
          </w:p>
        </w:tc>
        <w:tc>
          <w:tcPr/>
          <w:p>
            <w:pPr>
              <w:pStyle w:val="Compact"/>
              <w:jc w:val="left"/>
            </w:pPr>
            <w:r>
              <w:t xml:space="preserve">297</w:t>
            </w:r>
          </w:p>
        </w:tc>
        <w:tc>
          <w:tcPr/>
          <w:p>
            <w:pPr>
              <w:pStyle w:val="Compact"/>
              <w:jc w:val="left"/>
            </w:pPr>
            <w:r>
              <w:t xml:space="preserve">2,02 M</w:t>
            </w:r>
          </w:p>
        </w:tc>
      </w:tr>
      <w:tr>
        <w:tc>
          <w:tcPr/>
          <w:p>
            <w:pPr>
              <w:pStyle w:val="Compact"/>
              <w:jc w:val="left"/>
            </w:pPr>
            <w:r>
              <w:t xml:space="preserve">2T25</w:t>
            </w:r>
          </w:p>
        </w:tc>
        <w:tc>
          <w:tcPr/>
          <w:p>
            <w:pPr>
              <w:pStyle w:val="Compact"/>
              <w:jc w:val="left"/>
            </w:pPr>
            <w:r>
              <w:t xml:space="preserve">2.864</w:t>
            </w:r>
          </w:p>
        </w:tc>
        <w:tc>
          <w:tcPr/>
          <w:p>
            <w:pPr>
              <w:pStyle w:val="Compact"/>
              <w:jc w:val="left"/>
            </w:pPr>
            <w:r>
              <w:t xml:space="preserve">+29 %</w:t>
            </w:r>
          </w:p>
        </w:tc>
        <w:tc>
          <w:tcPr/>
          <w:p>
            <w:pPr>
              <w:pStyle w:val="Compact"/>
              <w:jc w:val="left"/>
            </w:pPr>
            <w:r>
              <w:t xml:space="preserve">91,1 %</w:t>
            </w:r>
          </w:p>
        </w:tc>
        <w:tc>
          <w:tcPr/>
          <w:p>
            <w:pPr>
              <w:pStyle w:val="Compact"/>
              <w:jc w:val="left"/>
            </w:pPr>
            <w:r>
              <w:t xml:space="preserve">−230</w:t>
            </w:r>
          </w:p>
        </w:tc>
        <w:tc>
          <w:tcPr/>
          <w:p>
            <w:pPr>
              <w:pStyle w:val="Compact"/>
              <w:jc w:val="left"/>
            </w:pPr>
            <w:r>
              <w:t xml:space="preserve">2,03 M</w:t>
            </w:r>
          </w:p>
        </w:tc>
      </w:tr>
      <w:tr>
        <w:tc>
          <w:tcPr/>
          <w:p>
            <w:pPr>
              <w:pStyle w:val="Compact"/>
              <w:jc w:val="left"/>
            </w:pPr>
            <w:r>
              <w:t xml:space="preserve">3T25</w:t>
            </w:r>
          </w:p>
        </w:tc>
        <w:tc>
          <w:tcPr/>
          <w:p>
            <w:pPr>
              <w:pStyle w:val="Compact"/>
              <w:jc w:val="left"/>
            </w:pPr>
            <w:r>
              <w:t xml:space="preserve">2.986</w:t>
            </w:r>
          </w:p>
        </w:tc>
        <w:tc>
          <w:tcPr/>
          <w:p>
            <w:pPr>
              <w:pStyle w:val="Compact"/>
              <w:jc w:val="left"/>
            </w:pPr>
            <w:r>
              <w:t xml:space="preserve">+23 %</w:t>
            </w:r>
          </w:p>
        </w:tc>
        <w:tc>
          <w:tcPr/>
          <w:p>
            <w:pPr>
              <w:pStyle w:val="Compact"/>
              <w:jc w:val="left"/>
            </w:pPr>
            <w:r>
              <w:t xml:space="preserve">88,5 %</w:t>
            </w:r>
          </w:p>
        </w:tc>
        <w:tc>
          <w:tcPr/>
          <w:p>
            <w:pPr>
              <w:pStyle w:val="Compact"/>
              <w:jc w:val="left"/>
            </w:pPr>
            <w:r>
              <w:t xml:space="preserve">−129</w:t>
            </w:r>
          </w:p>
        </w:tc>
        <w:tc>
          <w:tcPr/>
          <w:p>
            <w:pPr>
              <w:pStyle w:val="Compact"/>
              <w:jc w:val="left"/>
            </w:pPr>
            <w:r>
              <w:t xml:space="preserve">2,11 M</w:t>
            </w:r>
          </w:p>
        </w:tc>
      </w:tr>
      <w:tr>
        <w:tc>
          <w:tcPr/>
          <w:p>
            <w:pPr>
              <w:pStyle w:val="Compact"/>
              <w:jc w:val="left"/>
            </w:pPr>
            <w:r>
              <w:t xml:space="preserve">4T25</w:t>
            </w:r>
          </w:p>
        </w:tc>
        <w:tc>
          <w:tcPr/>
          <w:p>
            <w:pPr>
              <w:pStyle w:val="Compact"/>
              <w:jc w:val="left"/>
            </w:pPr>
            <w:r>
              <w:t xml:space="preserve">2.805</w:t>
            </w:r>
          </w:p>
        </w:tc>
        <w:tc>
          <w:tcPr/>
          <w:p>
            <w:pPr>
              <w:pStyle w:val="Compact"/>
              <w:jc w:val="left"/>
            </w:pPr>
            <w:r>
              <w:t xml:space="preserve">+17 %</w:t>
            </w:r>
          </w:p>
        </w:tc>
        <w:tc>
          <w:tcPr/>
          <w:p>
            <w:pPr>
              <w:pStyle w:val="Compact"/>
              <w:jc w:val="left"/>
            </w:pPr>
            <w:r>
              <w:t xml:space="preserve">95,4 %</w:t>
            </w:r>
          </w:p>
        </w:tc>
        <w:tc>
          <w:tcPr/>
          <w:p>
            <w:pPr>
              <w:pStyle w:val="Compact"/>
              <w:jc w:val="left"/>
            </w:pPr>
            <w:r>
              <w:t xml:space="preserve">−334</w:t>
            </w:r>
          </w:p>
        </w:tc>
        <w:tc>
          <w:tcPr/>
          <w:p>
            <w:pPr>
              <w:pStyle w:val="Compact"/>
              <w:jc w:val="left"/>
            </w:pPr>
            <w:r>
              <w:t xml:space="preserve">2,04 M</w:t>
            </w:r>
          </w:p>
        </w:tc>
      </w:tr>
      <w:tr>
        <w:tc>
          <w:tcPr/>
          <w:p>
            <w:pPr>
              <w:pStyle w:val="Compact"/>
              <w:jc w:val="left"/>
            </w:pPr>
            <w:r>
              <w:t xml:space="preserve">1T26</w:t>
            </w:r>
          </w:p>
        </w:tc>
        <w:tc>
          <w:tcPr/>
          <w:p>
            <w:pPr>
              <w:pStyle w:val="Compact"/>
              <w:jc w:val="left"/>
            </w:pPr>
            <w:r>
              <w:t xml:space="preserve">4.647</w:t>
            </w:r>
          </w:p>
        </w:tc>
        <w:tc>
          <w:tcPr/>
          <w:p>
            <w:pPr>
              <w:pStyle w:val="Compact"/>
              <w:jc w:val="left"/>
            </w:pPr>
            <w:r>
              <w:t xml:space="preserve">+53 %</w:t>
            </w:r>
          </w:p>
        </w:tc>
        <w:tc>
          <w:tcPr/>
          <w:p>
            <w:pPr>
              <w:pStyle w:val="Compact"/>
              <w:jc w:val="left"/>
            </w:pPr>
            <w:r>
              <w:t xml:space="preserve">70,5 %</w:t>
            </w:r>
          </w:p>
        </w:tc>
        <w:tc>
          <w:tcPr/>
          <w:p>
            <w:pPr>
              <w:pStyle w:val="Compact"/>
              <w:jc w:val="left"/>
            </w:pPr>
            <w:r>
              <w:t xml:space="preserve">704</w:t>
            </w:r>
          </w:p>
        </w:tc>
        <w:tc>
          <w:tcPr/>
          <w:p>
            <w:pPr>
              <w:pStyle w:val="Compact"/>
              <w:jc w:val="left"/>
            </w:pPr>
            <w:r>
              <w:t xml:space="preserve">3,17 M</w:t>
            </w:r>
          </w:p>
        </w:tc>
      </w:tr>
      <w:tr>
        <w:tc>
          <w:tcPr/>
          <w:p>
            <w:pPr>
              <w:pStyle w:val="Compact"/>
              <w:jc w:val="left"/>
            </w:pPr>
            <w:r>
              <w:t xml:space="preserve">2T26</w:t>
            </w:r>
          </w:p>
        </w:tc>
        <w:tc>
          <w:tcPr/>
          <w:p>
            <w:pPr>
              <w:pStyle w:val="Compact"/>
              <w:jc w:val="left"/>
            </w:pPr>
            <w:r>
              <w:t xml:space="preserve">4.880</w:t>
            </w:r>
          </w:p>
        </w:tc>
        <w:tc>
          <w:tcPr/>
          <w:p>
            <w:pPr>
              <w:pStyle w:val="Compact"/>
              <w:jc w:val="left"/>
            </w:pPr>
            <w:r>
              <w:t xml:space="preserve">+70 %</w:t>
            </w:r>
          </w:p>
        </w:tc>
        <w:tc>
          <w:tcPr/>
          <w:p>
            <w:pPr>
              <w:pStyle w:val="Compact"/>
              <w:jc w:val="left"/>
            </w:pPr>
            <w:r>
              <w:t xml:space="preserve">79,2 %</w:t>
            </w:r>
          </w:p>
        </w:tc>
        <w:tc>
          <w:tcPr/>
          <w:p>
            <w:pPr>
              <w:pStyle w:val="Compact"/>
              <w:jc w:val="left"/>
            </w:pPr>
            <w:r>
              <w:t xml:space="preserve">389</w:t>
            </w:r>
          </w:p>
        </w:tc>
        <w:tc>
          <w:tcPr/>
          <w:p>
            <w:pPr>
              <w:pStyle w:val="Compact"/>
              <w:jc w:val="left"/>
            </w:pPr>
            <w:r>
              <w:t xml:space="preserve">2,96 M</w:t>
            </w:r>
          </w:p>
        </w:tc>
      </w:tr>
    </w:tbl>
    <w:p>
      <w:pPr>
        <w:pStyle w:val="BodyText"/>
      </w:pPr>
      <w:r>
        <w:t xml:space="preserve">Fuentes: notas de resultados y XBRL de la SEC [1][3].</w:t>
      </w:r>
    </w:p>
    <w:p>
      <w:pPr>
        <w:numPr>
          <w:ilvl w:val="0"/>
          <w:numId w:val="1003"/>
        </w:numPr>
        <w:pStyle w:val="Compact"/>
      </w:pPr>
      <w:r>
        <w:rPr>
          <w:bCs/>
          <w:b/>
        </w:rPr>
        <w:t xml:space="preserve">Años completos:</w:t>
      </w:r>
      <w:r>
        <w:t xml:space="preserve"> </w:t>
      </w:r>
      <w:r>
        <w:t xml:space="preserve">5.863 M en 2023, 9.178 M en 2024 (+57 %), 11.701 M en 2025 (+27 %). Guía 2026: entre 18.700 y 19.000 M (+61 %).</w:t>
      </w:r>
    </w:p>
    <w:p>
      <w:pPr>
        <w:numPr>
          <w:ilvl w:val="0"/>
          <w:numId w:val="1003"/>
        </w:numPr>
        <w:pStyle w:val="Compact"/>
      </w:pPr>
      <w:r>
        <w:rPr>
          <w:bCs/>
          <w:b/>
        </w:rPr>
        <w:t xml:space="preserve">12 meses a junio de 2026:</w:t>
      </w:r>
      <w:r>
        <w:t xml:space="preserve"> </w:t>
      </w:r>
      <w:r>
        <w:t xml:space="preserve">15.319 M (+43 %). Crecimiento anual compuesto a 2 años: 45 %. Aceleración: +40 puntos (el último trimestre crece un 70 % y la media de los cuatro anteriores, un 30 %).</w:t>
      </w:r>
    </w:p>
    <w:p>
      <w:pPr>
        <w:numPr>
          <w:ilvl w:val="0"/>
          <w:numId w:val="1003"/>
        </w:numPr>
        <w:pStyle w:val="Compact"/>
      </w:pPr>
      <w:r>
        <w:rPr>
          <w:bCs/>
          <w:b/>
        </w:rPr>
        <w:t xml:space="preserve">Retención:</w:t>
      </w:r>
      <w:r>
        <w:t xml:space="preserve"> </w:t>
      </w:r>
      <w:r>
        <w:t xml:space="preserve">no aplica (no es software). Los asegurados bajan durante el año: 3,17 M en marzo y 2,96 M en junio, y la empresa espera que la CMS dé de baja con efecto retroactivo a otros 250.000-300.000 (revisión de elegibilidad) [2].</w:t>
      </w:r>
    </w:p>
    <w:p>
      <w:pPr>
        <w:numPr>
          <w:ilvl w:val="0"/>
          <w:numId w:val="1003"/>
        </w:numPr>
        <w:pStyle w:val="Compact"/>
      </w:pPr>
      <w:r>
        <w:rPr>
          <w:bCs/>
          <w:b/>
        </w:rPr>
        <w:t xml:space="preserve">Guía:</w:t>
      </w:r>
      <w:r>
        <w:t xml:space="preserve"> </w:t>
      </w:r>
      <w:r>
        <w:t xml:space="preserve">en ingresos, la de 2026 se mantiene. En beneficio operativo la subió dos veces: de 250-450 M a 600-800 M. Lo que queda de 2026 supone un +61 % en el segundo semestre. Para 2027 no hay guía formal todavía; en el Investor Day la dirección habló de un margen operativo de más del 5 %, un BPA de más de 2,25 USD y un crecimiento de más del 20 % anual hasta 2029 [4][6]. El consenso es más prudente: 20.780 M en 2027, un 11 % más [7].</w:t>
      </w:r>
    </w:p>
    <w:p>
      <w:pPr>
        <w:numPr>
          <w:ilvl w:val="0"/>
          <w:numId w:val="1003"/>
        </w:numPr>
        <w:pStyle w:val="Compact"/>
      </w:pPr>
      <w:r>
        <w:rPr>
          <w:bCs/>
          <w:b/>
        </w:rPr>
        <w:t xml:space="preserve">Compras de empresas:</w:t>
      </w:r>
      <w:r>
        <w:t xml:space="preserve"> </w:t>
      </w:r>
      <w:r>
        <w:t xml:space="preserve">INSXCloud (2025) y Trove son pequeñas frente a 19.000 M de primas y no mueven el crecimiento ni 2 puntos, así que no hace falta el cálculo orgánico (v12).</w:t>
      </w:r>
    </w:p>
    <w:bookmarkEnd w:id="22"/>
    <w:bookmarkStart w:id="23" w:name="mercado-y-competencia"/>
    <w:p>
      <w:pPr>
        <w:pStyle w:val="Heading2"/>
      </w:pPr>
      <w:r>
        <w:t xml:space="preserve">4. Mercado y competencia</w:t>
      </w:r>
    </w:p>
    <w:p>
      <w:pPr>
        <w:numPr>
          <w:ilvl w:val="0"/>
          <w:numId w:val="1004"/>
        </w:numPr>
        <w:pStyle w:val="Compact"/>
      </w:pPr>
      <w:r>
        <w:rPr>
          <w:bCs/>
          <w:b/>
        </w:rPr>
        <w:t xml:space="preserve">Mercado alcanzable:</w:t>
      </w:r>
      <w:r>
        <w:t xml:space="preserve"> </w:t>
      </w:r>
      <w:r>
        <w:t xml:space="preserve">unos 93.000 M de ingresos en 2028. Sale de las 9,6 M de personas de las zonas donde opera hoy (16 M en 2029, según la empresa), a unos 8.500 USD de prima anual y quitando el ajuste de riesgos. Es una estimación propia con datos de la empresa [6]. Penetración: 16,5 %.</w:t>
      </w:r>
    </w:p>
    <w:p>
      <w:pPr>
        <w:numPr>
          <w:ilvl w:val="0"/>
          <w:numId w:val="1004"/>
        </w:numPr>
        <w:pStyle w:val="Compact"/>
      </w:pPr>
      <w:r>
        <w:rPr>
          <w:bCs/>
          <w:b/>
        </w:rPr>
        <w:t xml:space="preserve">El mercado se encoge:</w:t>
      </w:r>
      <w:r>
        <w:t xml:space="preserve"> </w:t>
      </w:r>
      <w:r>
        <w:t xml:space="preserve">sin las subvenciones ampliadas, el mercado ACA pasa de unos 24 M de personas en 2025 (dato de memoria) a unos 17 M a final de 2026, según Oscar. La empresa espera unos 17 M en 2027 y 23 M en 2029 [6].</w:t>
      </w:r>
    </w:p>
    <w:p>
      <w:pPr>
        <w:numPr>
          <w:ilvl w:val="0"/>
          <w:numId w:val="1004"/>
        </w:numPr>
        <w:pStyle w:val="Compact"/>
      </w:pPr>
      <w:r>
        <w:rPr>
          <w:bCs/>
          <w:b/>
        </w:rPr>
        <w:t xml:space="preserve">Rivales:</w:t>
      </w:r>
      <w:r>
        <w:t xml:space="preserve"> </w:t>
      </w:r>
      <w:r>
        <w:t xml:space="preserve">Centene (Ambetter, el mayor), Florida Blue y las Blue Cross estatales, UnitedHealth, Molina y Elevance. Aetna se fue en 2026 y Cigna se va en 2027 [9]. Oscar es uno de los dos mayores por número de asegurados en la ACA, con cuotas del 30-35 % en sus mercados más maduros (Miami, Atlanta) [6].</w:t>
      </w:r>
    </w:p>
    <w:p>
      <w:pPr>
        <w:numPr>
          <w:ilvl w:val="0"/>
          <w:numId w:val="1004"/>
        </w:numPr>
        <w:pStyle w:val="Compact"/>
      </w:pPr>
      <w:r>
        <w:rPr>
          <w:bCs/>
          <w:b/>
        </w:rPr>
        <w:t xml:space="preserve">Por qué gana:</w:t>
      </w:r>
      <w:r>
        <w:t xml:space="preserve"> </w:t>
      </w:r>
      <w:r>
        <w:t xml:space="preserve">precio (sube un 14 % la tarifa de 2027 frente al 15 % de la media de sus rivales), marca entre el público joven y digital, coste administrativo bajo y la confianza de los corredores.</w:t>
      </w:r>
      <w:r>
        <w:t xml:space="preserve"> </w:t>
      </w:r>
      <w:r>
        <w:rPr>
          <w:bCs/>
          <w:b/>
        </w:rPr>
        <w:t xml:space="preserve">Por qué puede perder:</w:t>
      </w:r>
      <w:r>
        <w:t xml:space="preserve"> </w:t>
      </w:r>
      <w:r>
        <w:t xml:space="preserve">en un seguro con precio regulado y producto homogéneo, la ventaja del precio dura un año; si se equivoca al calcular el riesgo (como en 2025), pierde dinero enseguida.</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Señal</w:t>
            </w:r>
          </w:p>
        </w:tc>
        <w:tc>
          <w:tcPr/>
          <w:p>
            <w:pPr>
              <w:pStyle w:val="Compact"/>
              <w:jc w:val="left"/>
            </w:pPr>
            <w:r>
              <w:t xml:space="preserve">¿Sí?</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w:t>
            </w:r>
          </w:p>
        </w:tc>
        <w:tc>
          <w:tcPr/>
          <w:p>
            <w:pPr>
              <w:pStyle w:val="Compact"/>
              <w:jc w:val="left"/>
            </w:pPr>
            <w:r>
              <w:t xml:space="preserve">Revisiones al alza</w:t>
            </w:r>
          </w:p>
        </w:tc>
        <w:tc>
          <w:tcPr/>
          <w:p>
            <w:pPr>
              <w:pStyle w:val="Compact"/>
              <w:jc w:val="left"/>
            </w:pPr>
            <w:r>
              <w:t xml:space="preserve">Sí</w:t>
            </w:r>
          </w:p>
        </w:tc>
        <w:tc>
          <w:tcPr/>
          <w:p>
            <w:pPr>
              <w:pStyle w:val="Compact"/>
              <w:jc w:val="left"/>
            </w:pPr>
            <w:r>
              <w:t xml:space="preserve">Guía de beneficio operativo de 2026 subida dos veces (de 250-450 a 600-800 M). Precios objetivo al alza: UBS de 26 a 36, Barclays de 39 a 49, Baird de 27 a 33</w:t>
            </w:r>
          </w:p>
        </w:tc>
        <w:tc>
          <w:tcPr/>
          <w:p>
            <w:pPr>
              <w:pStyle w:val="Compact"/>
              <w:jc w:val="left"/>
            </w:pPr>
            <w:r>
              <w:t xml:space="preserve">[1][4][7]</w:t>
            </w:r>
          </w:p>
        </w:tc>
      </w:tr>
      <w:tr>
        <w:tc>
          <w:tcPr/>
          <w:p>
            <w:pPr>
              <w:pStyle w:val="Compact"/>
              <w:jc w:val="left"/>
            </w:pPr>
            <w:r>
              <w:t xml:space="preserve">2</w:t>
            </w:r>
          </w:p>
        </w:tc>
        <w:tc>
          <w:tcPr/>
          <w:p>
            <w:pPr>
              <w:pStyle w:val="Compact"/>
              <w:jc w:val="left"/>
            </w:pPr>
            <w:r>
              <w:t xml:space="preserve">Precio sobre la media de 200 sesiones y subiendo</w:t>
            </w:r>
          </w:p>
        </w:tc>
        <w:tc>
          <w:tcPr/>
          <w:p>
            <w:pPr>
              <w:pStyle w:val="Compact"/>
              <w:jc w:val="left"/>
            </w:pPr>
            <w:r>
              <w:t xml:space="preserve">Sí</w:t>
            </w:r>
          </w:p>
        </w:tc>
        <w:tc>
          <w:tcPr/>
          <w:p>
            <w:pPr>
              <w:pStyle w:val="Compact"/>
              <w:jc w:val="left"/>
            </w:pPr>
            <w:r>
              <w:t xml:space="preserve">33,79 frente a una media de 22,56 que sube (21,03 hace 20 sesiones)</w:t>
            </w:r>
          </w:p>
        </w:tc>
        <w:tc>
          <w:tcPr/>
          <w:p>
            <w:pPr>
              <w:pStyle w:val="Compact"/>
              <w:jc w:val="left"/>
            </w:pPr>
            <w:r>
              <w:t xml:space="preserve">[8]</w:t>
            </w:r>
          </w:p>
        </w:tc>
      </w:tr>
      <w:tr>
        <w:tc>
          <w:tcPr/>
          <w:p>
            <w:pPr>
              <w:pStyle w:val="Compact"/>
              <w:jc w:val="left"/>
            </w:pPr>
            <w:r>
              <w:t xml:space="preserve">3</w:t>
            </w:r>
          </w:p>
        </w:tc>
        <w:tc>
          <w:tcPr/>
          <w:p>
            <w:pPr>
              <w:pStyle w:val="Compact"/>
              <w:jc w:val="left"/>
            </w:pPr>
            <w:r>
              <w:t xml:space="preserve">Fuerza relativa a 6 meses</w:t>
            </w:r>
          </w:p>
        </w:tc>
        <w:tc>
          <w:tcPr/>
          <w:p>
            <w:pPr>
              <w:pStyle w:val="Compact"/>
              <w:jc w:val="left"/>
            </w:pPr>
            <w:r>
              <w:t xml:space="preserve">Sí</w:t>
            </w:r>
          </w:p>
        </w:tc>
        <w:tc>
          <w:tcPr/>
          <w:p>
            <w:pPr>
              <w:pStyle w:val="Compact"/>
              <w:jc w:val="left"/>
            </w:pPr>
            <w:r>
              <w:t xml:space="preserve">+118 % frente a +13 % del S&amp;P 500</w:t>
            </w:r>
          </w:p>
        </w:tc>
        <w:tc>
          <w:tcPr/>
          <w:p>
            <w:pPr>
              <w:pStyle w:val="Compact"/>
              <w:jc w:val="left"/>
            </w:pPr>
            <w:r>
              <w:t xml:space="preserve">[8]</w:t>
            </w:r>
          </w:p>
        </w:tc>
      </w:tr>
      <w:tr>
        <w:tc>
          <w:tcPr/>
          <w:p>
            <w:pPr>
              <w:pStyle w:val="Compact"/>
              <w:jc w:val="left"/>
            </w:pPr>
            <w:r>
              <w:t xml:space="preserve">4</w:t>
            </w:r>
          </w:p>
        </w:tc>
        <w:tc>
          <w:tcPr/>
          <w:p>
            <w:pPr>
              <w:pStyle w:val="Compact"/>
              <w:jc w:val="left"/>
            </w:pPr>
            <w:r>
              <w:t xml:space="preserve">El múltiplo sube ≥ 20 % desde su mínimo</w:t>
            </w:r>
          </w:p>
        </w:tc>
        <w:tc>
          <w:tcPr/>
          <w:p>
            <w:pPr>
              <w:pStyle w:val="Compact"/>
              <w:jc w:val="left"/>
            </w:pPr>
            <w:r>
              <w:t xml:space="preserve">Sí</w:t>
            </w:r>
          </w:p>
        </w:tc>
        <w:tc>
          <w:tcPr/>
          <w:p>
            <w:pPr>
              <w:pStyle w:val="Compact"/>
              <w:jc w:val="left"/>
            </w:pPr>
            <w:r>
              <w:t xml:space="preserve">Capitalización entre ventas de 12 meses: 0,20 en marzo y 0,57 hoy</w:t>
            </w:r>
          </w:p>
        </w:tc>
        <w:tc>
          <w:tcPr/>
          <w:p>
            <w:pPr>
              <w:pStyle w:val="Compact"/>
              <w:jc w:val="left"/>
            </w:pPr>
            <w:r>
              <w:t xml:space="preserve">[8]</w:t>
            </w:r>
          </w:p>
        </w:tc>
      </w:tr>
      <w:tr>
        <w:tc>
          <w:tcPr/>
          <w:p>
            <w:pPr>
              <w:pStyle w:val="Compact"/>
              <w:jc w:val="left"/>
            </w:pPr>
            <w:r>
              <w:t xml:space="preserve">5</w:t>
            </w:r>
          </w:p>
        </w:tc>
        <w:tc>
          <w:tcPr/>
          <w:p>
            <w:pPr>
              <w:pStyle w:val="Compact"/>
              <w:jc w:val="left"/>
            </w:pPr>
            <w:r>
              <w:t xml:space="preserve">Inflexión operativa</w:t>
            </w:r>
          </w:p>
        </w:tc>
        <w:tc>
          <w:tcPr/>
          <w:p>
            <w:pPr>
              <w:pStyle w:val="Compact"/>
              <w:jc w:val="left"/>
            </w:pPr>
            <w:r>
              <w:t xml:space="preserve">Sí</w:t>
            </w:r>
          </w:p>
        </w:tc>
        <w:tc>
          <w:tcPr/>
          <w:p>
            <w:pPr>
              <w:pStyle w:val="Compact"/>
              <w:jc w:val="left"/>
            </w:pPr>
            <w:r>
              <w:t xml:space="preserve">Beneficio operativo de 1.093 M en el 1S26, frente a 67 M un año antes</w:t>
            </w:r>
          </w:p>
        </w:tc>
        <w:tc>
          <w:tcPr/>
          <w:p>
            <w:pPr>
              <w:pStyle w:val="Compact"/>
              <w:jc w:val="left"/>
            </w:pPr>
            <w:r>
              <w:t xml:space="preserve">[1]</w:t>
            </w:r>
          </w:p>
        </w:tc>
      </w:tr>
      <w:tr>
        <w:tc>
          <w:tcPr/>
          <w:p>
            <w:pPr>
              <w:pStyle w:val="Compact"/>
              <w:jc w:val="left"/>
            </w:pPr>
            <w:r>
              <w:t xml:space="preserve">6</w:t>
            </w:r>
          </w:p>
        </w:tc>
        <w:tc>
          <w:tcPr/>
          <w:p>
            <w:pPr>
              <w:pStyle w:val="Compact"/>
              <w:jc w:val="left"/>
            </w:pPr>
            <w:r>
              <w:t xml:space="preserve">Sentimiento mejorando</w:t>
            </w:r>
          </w:p>
        </w:tc>
        <w:tc>
          <w:tcPr/>
          <w:p>
            <w:pPr>
              <w:pStyle w:val="Compact"/>
              <w:jc w:val="left"/>
            </w:pPr>
            <w:r>
              <w:t xml:space="preserve">Sí</w:t>
            </w:r>
          </w:p>
        </w:tc>
        <w:tc>
          <w:tcPr/>
          <w:p>
            <w:pPr>
              <w:pStyle w:val="Compact"/>
              <w:jc w:val="left"/>
            </w:pPr>
            <w:r>
              <w:t xml:space="preserve">Del miedo de marzo (10,85 USD) a máximos de cinco años. Euforia en StockTwits en junio, pero los analistas siguen sobre todo en Mantener (3 comprar, 7 mantener, 1 vender)</w:t>
            </w:r>
          </w:p>
        </w:tc>
        <w:tc>
          <w:tcPr/>
          <w:p>
            <w:pPr>
              <w:pStyle w:val="Compact"/>
              <w:jc w:val="left"/>
            </w:pPr>
            <w:r>
              <w:t xml:space="preserve">[7][9]</w:t>
            </w:r>
          </w:p>
        </w:tc>
      </w:tr>
      <w:tr>
        <w:tc>
          <w:tcPr/>
          <w:p>
            <w:pPr>
              <w:pStyle w:val="Compact"/>
              <w:jc w:val="left"/>
            </w:pPr>
            <w:r>
              <w:t xml:space="preserve">7</w:t>
            </w:r>
          </w:p>
        </w:tc>
        <w:tc>
          <w:tcPr/>
          <w:p>
            <w:pPr>
              <w:pStyle w:val="Compact"/>
              <w:jc w:val="left"/>
            </w:pPr>
            <w:r>
              <w:t xml:space="preserve">Compras de directivos o de inversores de referencia</w:t>
            </w:r>
          </w:p>
        </w:tc>
        <w:tc>
          <w:tcPr/>
          <w:p>
            <w:pPr>
              <w:pStyle w:val="Compact"/>
              <w:jc w:val="left"/>
            </w:pPr>
            <w:r>
              <w:t xml:space="preserve">No</w:t>
            </w:r>
          </w:p>
        </w:tc>
        <w:tc>
          <w:tcPr/>
          <w:p>
            <w:pPr>
              <w:pStyle w:val="Compact"/>
              <w:jc w:val="left"/>
            </w:pPr>
            <w:r>
              <w:t xml:space="preserve">Al revés: el consejero delegado vendió unos 2,4 M de acciones en junio, el cofundador vende cada mes y Thrive Capital repartió acciones a sus partícipes el 18-sep</w:t>
            </w:r>
          </w:p>
        </w:tc>
        <w:tc>
          <w:tcPr/>
          <w:p>
            <w:pPr>
              <w:pStyle w:val="Compact"/>
              <w:jc w:val="left"/>
            </w:pPr>
            <w:r>
              <w:t xml:space="preserve">[10]</w:t>
            </w:r>
          </w:p>
        </w:tc>
      </w:tr>
      <w:tr>
        <w:tc>
          <w:tcPr/>
          <w:p>
            <w:pPr>
              <w:pStyle w:val="Compact"/>
              <w:jc w:val="left"/>
            </w:pPr>
            <w:r>
              <w:t xml:space="preserve">8</w:t>
            </w:r>
          </w:p>
        </w:tc>
        <w:tc>
          <w:tcPr/>
          <w:p>
            <w:pPr>
              <w:pStyle w:val="Compact"/>
              <w:jc w:val="left"/>
            </w:pPr>
            <w:r>
              <w:t xml:space="preserve">Catalizador nuevo en 6 meses</w:t>
            </w:r>
          </w:p>
        </w:tc>
        <w:tc>
          <w:tcPr/>
          <w:p>
            <w:pPr>
              <w:pStyle w:val="Compact"/>
              <w:jc w:val="left"/>
            </w:pPr>
            <w:r>
              <w:t xml:space="preserve">Sí</w:t>
            </w:r>
          </w:p>
        </w:tc>
        <w:tc>
          <w:tcPr/>
          <w:p>
            <w:pPr>
              <w:pStyle w:val="Compact"/>
              <w:jc w:val="left"/>
            </w:pPr>
            <w:r>
              <w:t xml:space="preserve">Salida de Cigna en 2027, contratación de 2027 desde el 1-nov, resultados del 3T el 5-nov y guía de 2027 en febrero</w:t>
            </w:r>
          </w:p>
        </w:tc>
        <w:tc>
          <w:tcPr/>
          <w:p>
            <w:pPr>
              <w:pStyle w:val="Compact"/>
              <w:jc w:val="left"/>
            </w:pPr>
            <w:r>
              <w:t xml:space="preserve">[6][9]</w:t>
            </w:r>
          </w:p>
        </w:tc>
      </w:tr>
    </w:tbl>
    <w:p>
      <w:pPr>
        <w:pStyle w:val="BodyText"/>
      </w:pPr>
      <w:r>
        <w:rPr>
          <w:bCs/>
          <w:b/>
        </w:rPr>
        <w:t xml:space="preserve">Euforia (regla):</w:t>
      </w:r>
      <w:r>
        <w:t xml:space="preserve"> </w:t>
      </w:r>
      <w:r>
        <w:t xml:space="preserve">no. La subida a 12 meses es del 65,6 %, por debajo del 150 %, y el valor de empresa entre beneficio bruto es 3,1, muy por debajo de 20. A 6 meses ha subido un 118 %; sería la alerta de euforia a 6 meses de la candidata v13 si el valor de empresa entre beneficio bruto pasara de 20, y no pasa.</w:t>
      </w:r>
    </w:p>
    <w:bookmarkEnd w:id="24"/>
    <w:bookmarkStart w:id="25" w:name="X6a3ced9ea5ed5bb9ac58f5e7c1bb09ad4718b77"/>
    <w:p>
      <w:pPr>
        <w:pStyle w:val="Heading2"/>
      </w:pPr>
      <w:r>
        <w:t xml:space="preserve">6. Economía unitaria y camino a la rentabilidad</w:t>
      </w:r>
    </w:p>
    <w:p>
      <w:pPr>
        <w:numPr>
          <w:ilvl w:val="0"/>
          <w:numId w:val="1005"/>
        </w:numPr>
        <w:pStyle w:val="Compact"/>
      </w:pPr>
      <w:r>
        <w:rPr>
          <w:bCs/>
          <w:b/>
        </w:rPr>
        <w:t xml:space="preserve">«Margen bruto» de aseguradora</w:t>
      </w:r>
      <w:r>
        <w:t xml:space="preserve"> </w:t>
      </w:r>
      <w:r>
        <w:t xml:space="preserve">(1 menos la siniestralidad): 18,5 % con la guía de 2026 (siniestralidad del 81-82 %), frente al 12,6 % de 2025. El método da 0 puntos a cualquier aseguradora en este apartado, porque está pensado para software.</w:t>
      </w:r>
    </w:p>
    <w:p>
      <w:pPr>
        <w:numPr>
          <w:ilvl w:val="0"/>
          <w:numId w:val="1005"/>
        </w:numPr>
        <w:pStyle w:val="Compact"/>
      </w:pPr>
      <w:r>
        <w:rPr>
          <w:bCs/>
          <w:b/>
        </w:rPr>
        <w:t xml:space="preserve">Gastos generales:</w:t>
      </w:r>
      <w:r>
        <w:t xml:space="preserve"> </w:t>
      </w:r>
      <w:r>
        <w:t xml:space="preserve">14,7 % de los ingresos en el 1S26, frente al 17,2 % un año antes. Objetivo para 2029: menos del 15 % [6].</w:t>
      </w:r>
    </w:p>
    <w:p>
      <w:pPr>
        <w:numPr>
          <w:ilvl w:val="0"/>
          <w:numId w:val="1005"/>
        </w:numPr>
        <w:pStyle w:val="Compact"/>
      </w:pPr>
      <w:r>
        <w:rPr>
          <w:bCs/>
          <w:b/>
        </w:rPr>
        <w:t xml:space="preserve">Margen operativo:</w:t>
      </w:r>
      <w:r>
        <w:t xml:space="preserve"> </w:t>
      </w:r>
      <w:r>
        <w:t xml:space="preserve">3,7 % con la guía de 2026 (700 M sobre 18.850 M). Objetivo: más del 5 % en 2027 y entre el 5 y el 7 % en 2029. Ojo con la estacionalidad: el primer semestre ganó 1.093 M y la guía anual supone perder unos 400 M en el segundo, porque los siniestros suben a lo largo del año, cuando los asegurados ya han pagado su franquicia.</w:t>
      </w:r>
    </w:p>
    <w:p>
      <w:pPr>
        <w:numPr>
          <w:ilvl w:val="0"/>
          <w:numId w:val="1005"/>
        </w:numPr>
        <w:pStyle w:val="Compact"/>
      </w:pPr>
      <w:r>
        <w:rPr>
          <w:bCs/>
          <w:b/>
        </w:rPr>
        <w:t xml:space="preserve">Flujo de caja:</w:t>
      </w:r>
      <w:r>
        <w:t xml:space="preserve"> </w:t>
      </w:r>
      <w:r>
        <w:t xml:space="preserve">el de explotación de 12 meses (4.419 M) está inflado. Incluye dinero que Oscar debe a la CMS por el ajuste de riesgos y que pagará a mediados de 2027 (6.095 M pendientes). Como flujo de caja real se toma el beneficio neto de 12 meses: 551 M, un 3,6 % de los ingresos.</w:t>
      </w:r>
    </w:p>
    <w:p>
      <w:pPr>
        <w:numPr>
          <w:ilvl w:val="0"/>
          <w:numId w:val="1005"/>
        </w:numPr>
        <w:pStyle w:val="Compact"/>
      </w:pPr>
      <w:r>
        <w:rPr>
          <w:bCs/>
          <w:b/>
        </w:rPr>
        <w:t xml:space="preserve">Regla del 40:</w:t>
      </w:r>
      <w:r>
        <w:t xml:space="preserve"> </w:t>
      </w:r>
      <w:r>
        <w:t xml:space="preserve">crecimiento del 43 % más margen del 3,6 % = 46,4.</w:t>
      </w:r>
    </w:p>
    <w:p>
      <w:pPr>
        <w:numPr>
          <w:ilvl w:val="0"/>
          <w:numId w:val="1005"/>
        </w:numPr>
        <w:pStyle w:val="Compact"/>
      </w:pPr>
      <w:r>
        <w:rPr>
          <w:bCs/>
          <w:b/>
        </w:rPr>
        <w:t xml:space="preserve">Calidad del beneficio de 2026:</w:t>
      </w:r>
      <w:r>
        <w:t xml:space="preserve"> </w:t>
      </w:r>
      <w:r>
        <w:t xml:space="preserve">incluye 232 M de mejoras sobre reservas de años anteriores (68 M en el 1T y 164 M en el 2T) [1]. Sin ellas, el semestre sigue siendo bueno, pero algo menos.</w:t>
      </w:r>
    </w:p>
    <w:bookmarkEnd w:id="25"/>
    <w:bookmarkStart w:id="26" w:name="caja-deuda-y-dilución"/>
    <w:p>
      <w:pPr>
        <w:pStyle w:val="Heading2"/>
      </w:pPr>
      <w:r>
        <w:t xml:space="preserve">7. Caja, deuda y dilución</w:t>
      </w:r>
    </w:p>
    <w:p>
      <w:pPr>
        <w:numPr>
          <w:ilvl w:val="0"/>
          <w:numId w:val="1006"/>
        </w:numPr>
        <w:pStyle w:val="Compact"/>
      </w:pPr>
      <w:r>
        <w:rPr>
          <w:bCs/>
          <w:b/>
        </w:rPr>
        <w:t xml:space="preserve">Caja e inversiones:</w:t>
      </w:r>
      <w:r>
        <w:t xml:space="preserve"> </w:t>
      </w:r>
      <w:r>
        <w:t xml:space="preserve">10.156 M a 30-jun, pero casi todo es de las aseguradoras reguladas y está comprometido con la CMS y con los siniestros. La matriz tiene unos 460 M [2][6]. Por eso el valor de empresa se toma igual a la capitalización.</w:t>
      </w:r>
    </w:p>
    <w:p>
      <w:pPr>
        <w:numPr>
          <w:ilvl w:val="0"/>
          <w:numId w:val="1006"/>
        </w:numPr>
        <w:pStyle w:val="Compact"/>
      </w:pPr>
      <w:r>
        <w:rPr>
          <w:bCs/>
          <w:b/>
        </w:rPr>
        <w:t xml:space="preserve">Deuda:</w:t>
      </w:r>
      <w:r>
        <w:t xml:space="preserve"> </w:t>
      </w:r>
      <w:r>
        <w:t xml:space="preserve">convertibles por 445 M (410 M al 2,25 % con vencimiento en 2030, que se convierten a 24,82 USD, y 35 M con vencimiento en 2031, a 8,32 USD), más una línea de crédito de 475 M sin usar [2][3]. Las dos emisiones se convierten con la acción a este precio y ya están dentro de las 333,4 M de acciones diluidas.</w:t>
      </w:r>
    </w:p>
    <w:p>
      <w:pPr>
        <w:numPr>
          <w:ilvl w:val="0"/>
          <w:numId w:val="1006"/>
        </w:numPr>
        <w:pStyle w:val="Compact"/>
      </w:pPr>
      <w:r>
        <w:rPr>
          <w:bCs/>
          <w:b/>
        </w:rPr>
        <w:t xml:space="preserve">Capital regulatorio:</w:t>
      </w:r>
      <w:r>
        <w:t xml:space="preserve"> </w:t>
      </w:r>
      <w:r>
        <w:t xml:space="preserve">1.900 M de capital estatutario y unos 994 M por encima del mínimo (RBC) a 30-jun, frente a 356 M a final de 2025. Depende del reaseguro de cuota parte: sin él, tendría que aportar unos 1.100 M más [2]. La dirección quiere generar entre 4.000 y 4.500 M de capital hasta 2029 [6].</w:t>
      </w:r>
    </w:p>
    <w:p>
      <w:pPr>
        <w:numPr>
          <w:ilvl w:val="0"/>
          <w:numId w:val="1006"/>
        </w:numPr>
        <w:pStyle w:val="Compact"/>
      </w:pPr>
      <w:r>
        <w:rPr>
          <w:bCs/>
          <w:b/>
        </w:rPr>
        <w:t xml:space="preserve">Dilución:</w:t>
      </w:r>
      <w:r>
        <w:t xml:space="preserve"> </w:t>
      </w:r>
      <w:r>
        <w:t xml:space="preserve">+7,8 % de acciones diluidas en 12 meses, sobre todo por los convertibles de 2030. La dirección prevé un 2-3 % anual a partir de ahora. Pagos en acciones: 0,5 % de los ingresos.</w:t>
      </w:r>
    </w:p>
    <w:p>
      <w:pPr>
        <w:numPr>
          <w:ilvl w:val="0"/>
          <w:numId w:val="1006"/>
        </w:numPr>
        <w:pStyle w:val="Compact"/>
      </w:pPr>
      <w:r>
        <w:rPr>
          <w:bCs/>
          <w:b/>
        </w:rPr>
        <w:t xml:space="preserve">Pista de caja:</w:t>
      </w:r>
      <w:r>
        <w:t xml:space="preserve"> </w:t>
      </w:r>
      <w:r>
        <w:t xml:space="preserve">no aplica, porque gana dinero.</w:t>
      </w:r>
    </w:p>
    <w:bookmarkEnd w:id="26"/>
    <w:bookmarkStart w:id="27" w:name="dirección-y-ejecución"/>
    <w:p>
      <w:pPr>
        <w:pStyle w:val="Heading2"/>
      </w:pPr>
      <w:r>
        <w:t xml:space="preserve">8. Dirección y ejecución</w:t>
      </w:r>
    </w:p>
    <w:p>
      <w:pPr>
        <w:numPr>
          <w:ilvl w:val="0"/>
          <w:numId w:val="1007"/>
        </w:numPr>
        <w:pStyle w:val="Compact"/>
      </w:pPr>
      <w:r>
        <w:rPr>
          <w:bCs/>
          <w:b/>
        </w:rPr>
        <w:t xml:space="preserve">Mark Bertolini</w:t>
      </w:r>
      <w:r>
        <w:t xml:space="preserve"> </w:t>
      </w:r>
      <w:r>
        <w:t xml:space="preserve">(consejero delegado desde 2023, antes al frente de Aetna) y</w:t>
      </w:r>
      <w:r>
        <w:t xml:space="preserve"> </w:t>
      </w:r>
      <w:r>
        <w:rPr>
          <w:bCs/>
          <w:b/>
        </w:rPr>
        <w:t xml:space="preserve">Scott Blackley</w:t>
      </w:r>
      <w:r>
        <w:t xml:space="preserve"> </w:t>
      </w:r>
      <w:r>
        <w:t xml:space="preserve">(director financiero). El cofundador Mario Schlosser sigue en el consejo. Hay dos clases de acciones y la empresa es «controlada» (las de clase B dan más voto) [1].</w:t>
      </w:r>
    </w:p>
    <w:p>
      <w:pPr>
        <w:numPr>
          <w:ilvl w:val="0"/>
          <w:numId w:val="1007"/>
        </w:numPr>
        <w:pStyle w:val="Compact"/>
      </w:pPr>
      <w:r>
        <w:rPr>
          <w:bCs/>
          <w:b/>
        </w:rPr>
        <w:t xml:space="preserve">Historial (3 de 5):</w:t>
      </w:r>
      <w:r>
        <w:t xml:space="preserve"> </w:t>
      </w:r>
      <w:r>
        <w:t xml:space="preserve">en 2025 retiró la guía en julio y acabó perdiendo 396 M de beneficio operativo cuando había guiado entre 225 y 275 M. En 2026 ha subido la guía dos veces. Los ingresos suelen batir la guía (+4,9 puntos en 2025).</w:t>
      </w:r>
    </w:p>
    <w:p>
      <w:pPr>
        <w:numPr>
          <w:ilvl w:val="0"/>
          <w:numId w:val="1007"/>
        </w:numPr>
        <w:pStyle w:val="Compact"/>
      </w:pPr>
      <w:r>
        <w:rPr>
          <w:bCs/>
          <w:b/>
        </w:rPr>
        <w:t xml:space="preserve">Dirección (3 de 5):</w:t>
      </w:r>
      <w:r>
        <w:t xml:space="preserve"> </w:t>
      </w:r>
      <w:r>
        <w:t xml:space="preserve">buena gestión de precios y de costes en 2026, pero el consejero delegado ha vendido mucho a 28-30 USD y Thrive está reduciendo su participación.</w:t>
      </w:r>
    </w:p>
    <w:bookmarkEnd w:id="27"/>
    <w:bookmarkStart w:id="28" w:name="valoración"/>
    <w:p>
      <w:pPr>
        <w:pStyle w:val="Heading2"/>
      </w:pPr>
      <w:r>
        <w:t xml:space="preserve">9. Valoración</w:t>
      </w:r>
    </w:p>
    <w:p>
      <w:pPr>
        <w:pStyle w:val="FirstParagraph"/>
      </w:pPr>
      <w:r>
        <w:rPr>
          <w:bCs/>
          <w:b/>
        </w:rPr>
        <w:t xml:space="preserve">Por qué se valora por ventas y no por PER ni por valor contable.</w:t>
      </w:r>
      <w:r>
        <w:t xml:space="preserve"> </w:t>
      </w:r>
      <w:r>
        <w:t xml:space="preserve">El método valora por PER solo si la empresa gana dinero de forma estable, y Oscar no lo hace: ganó 25 M en 2024, perdió 443 M en 2025 y gana en 2026 gracias al primer semestre. Además, el beneficio de un año depende de la siniestralidad y del ajuste de riesgos, que cambian varios puntos de un año a otro. El P/VC (5,5) tampoco sirve como medida principal, porque los fondos propios (2.052 M) están deprimidos por diez años de pérdidas. Por eso se usa el múltiplo de ventas: capitalización entre los ingresos de los 12 meses siguientes, con caja y deuda a 0 (apartado 7). El PER y el P/VC se dan como contraste.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Escenario</w:t>
            </w:r>
          </w:p>
        </w:tc>
        <w:tc>
          <w:tcPr/>
          <w:p>
            <w:pPr>
              <w:pStyle w:val="Compact"/>
              <w:jc w:val="left"/>
            </w:pPr>
            <w:r>
              <w:t xml:space="preserve">Prob.</w:t>
            </w:r>
          </w:p>
        </w:tc>
        <w:tc>
          <w:tcPr/>
          <w:p>
            <w:pPr>
              <w:pStyle w:val="Compact"/>
              <w:jc w:val="left"/>
            </w:pPr>
            <w:r>
              <w:t xml:space="preserve">Ventas jul-27 a jun-28 (M)</w:t>
            </w:r>
          </w:p>
        </w:tc>
        <w:tc>
          <w:tcPr/>
          <w:p>
            <w:pPr>
              <w:pStyle w:val="Compact"/>
              <w:jc w:val="left"/>
            </w:pPr>
            <w:r>
              <w:t xml:space="preserve">Múltiplo</w:t>
            </w:r>
          </w:p>
        </w:tc>
        <w:tc>
          <w:tcPr/>
          <w:p>
            <w:pPr>
              <w:pStyle w:val="Compact"/>
              <w:jc w:val="left"/>
            </w:pPr>
            <w:r>
              <w:t xml:space="preserve">Precio</w:t>
            </w:r>
          </w:p>
        </w:tc>
        <w:tc>
          <w:tcPr/>
          <w:p>
            <w:pPr>
              <w:pStyle w:val="Compact"/>
              <w:jc w:val="left"/>
            </w:pPr>
            <w:r>
              <w:t xml:space="preserve">Rentabilidad</w:t>
            </w:r>
          </w:p>
        </w:tc>
      </w:tr>
      <w:tr>
        <w:tc>
          <w:tcPr/>
          <w:p>
            <w:pPr>
              <w:pStyle w:val="Compact"/>
              <w:jc w:val="left"/>
            </w:pPr>
            <w:r>
              <w:t xml:space="preserve">Bajista</w:t>
            </w:r>
          </w:p>
        </w:tc>
        <w:tc>
          <w:tcPr/>
          <w:p>
            <w:pPr>
              <w:pStyle w:val="Compact"/>
              <w:jc w:val="left"/>
            </w:pPr>
            <w:r>
              <w:t xml:space="preserve">35 %</w:t>
            </w:r>
          </w:p>
        </w:tc>
        <w:tc>
          <w:tcPr/>
          <w:p>
            <w:pPr>
              <w:pStyle w:val="Compact"/>
              <w:jc w:val="left"/>
            </w:pPr>
            <w:r>
              <w:t xml:space="preserve">19.000</w:t>
            </w:r>
          </w:p>
        </w:tc>
        <w:tc>
          <w:tcPr/>
          <w:p>
            <w:pPr>
              <w:pStyle w:val="Compact"/>
              <w:jc w:val="left"/>
            </w:pPr>
            <w:r>
              <w:t xml:space="preserve">0,24</w:t>
            </w:r>
          </w:p>
        </w:tc>
        <w:tc>
          <w:tcPr/>
          <w:p>
            <w:pPr>
              <w:pStyle w:val="Compact"/>
              <w:jc w:val="left"/>
            </w:pPr>
            <w:r>
              <w:t xml:space="preserve">12,7</w:t>
            </w:r>
          </w:p>
        </w:tc>
        <w:tc>
          <w:tcPr/>
          <w:p>
            <w:pPr>
              <w:pStyle w:val="Compact"/>
              <w:jc w:val="left"/>
            </w:pPr>
            <w:r>
              <w:t xml:space="preserve">−62,5 %</w:t>
            </w:r>
          </w:p>
        </w:tc>
      </w:tr>
      <w:tr>
        <w:tc>
          <w:tcPr/>
          <w:p>
            <w:pPr>
              <w:pStyle w:val="Compact"/>
              <w:jc w:val="left"/>
            </w:pPr>
            <w:r>
              <w:t xml:space="preserve">Base</w:t>
            </w:r>
          </w:p>
        </w:tc>
        <w:tc>
          <w:tcPr/>
          <w:p>
            <w:pPr>
              <w:pStyle w:val="Compact"/>
              <w:jc w:val="left"/>
            </w:pPr>
            <w:r>
              <w:t xml:space="preserve">50 %</w:t>
            </w:r>
          </w:p>
        </w:tc>
        <w:tc>
          <w:tcPr/>
          <w:p>
            <w:pPr>
              <w:pStyle w:val="Compact"/>
              <w:jc w:val="left"/>
            </w:pPr>
            <w:r>
              <w:t xml:space="preserve">22.000</w:t>
            </w:r>
          </w:p>
        </w:tc>
        <w:tc>
          <w:tcPr/>
          <w:p>
            <w:pPr>
              <w:pStyle w:val="Compact"/>
              <w:jc w:val="left"/>
            </w:pPr>
            <w:r>
              <w:t xml:space="preserve">0,40</w:t>
            </w:r>
          </w:p>
        </w:tc>
        <w:tc>
          <w:tcPr/>
          <w:p>
            <w:pPr>
              <w:pStyle w:val="Compact"/>
              <w:jc w:val="left"/>
            </w:pPr>
            <w:r>
              <w:t xml:space="preserve">24,4</w:t>
            </w:r>
          </w:p>
        </w:tc>
        <w:tc>
          <w:tcPr/>
          <w:p>
            <w:pPr>
              <w:pStyle w:val="Compact"/>
              <w:jc w:val="left"/>
            </w:pPr>
            <w:r>
              <w:t xml:space="preserve">−27,7 %</w:t>
            </w:r>
          </w:p>
        </w:tc>
      </w:tr>
      <w:tr>
        <w:tc>
          <w:tcPr/>
          <w:p>
            <w:pPr>
              <w:pStyle w:val="Compact"/>
              <w:jc w:val="left"/>
            </w:pPr>
            <w:r>
              <w:t xml:space="preserve">Alcista</w:t>
            </w:r>
          </w:p>
        </w:tc>
        <w:tc>
          <w:tcPr/>
          <w:p>
            <w:pPr>
              <w:pStyle w:val="Compact"/>
              <w:jc w:val="left"/>
            </w:pPr>
            <w:r>
              <w:t xml:space="preserve">15 %</w:t>
            </w:r>
          </w:p>
        </w:tc>
        <w:tc>
          <w:tcPr/>
          <w:p>
            <w:pPr>
              <w:pStyle w:val="Compact"/>
              <w:jc w:val="left"/>
            </w:pPr>
            <w:r>
              <w:t xml:space="preserve">24.800</w:t>
            </w:r>
          </w:p>
        </w:tc>
        <w:tc>
          <w:tcPr/>
          <w:p>
            <w:pPr>
              <w:pStyle w:val="Compact"/>
              <w:jc w:val="left"/>
            </w:pPr>
            <w:r>
              <w:t xml:space="preserve">0,52</w:t>
            </w:r>
          </w:p>
        </w:tc>
        <w:tc>
          <w:tcPr/>
          <w:p>
            <w:pPr>
              <w:pStyle w:val="Compact"/>
              <w:jc w:val="left"/>
            </w:pPr>
            <w:r>
              <w:t xml:space="preserve">35,8</w:t>
            </w:r>
          </w:p>
        </w:tc>
        <w:tc>
          <w:tcPr/>
          <w:p>
            <w:pPr>
              <w:pStyle w:val="Compact"/>
              <w:jc w:val="left"/>
            </w:pPr>
            <w:r>
              <w:t xml:space="preserve">+5,9 %</w:t>
            </w:r>
          </w:p>
        </w:tc>
      </w:tr>
      <w:tr>
        <w:tc>
          <w:tcPr/>
          <w:p>
            <w:pPr>
              <w:pStyle w:val="Compact"/>
              <w:jc w:val="left"/>
            </w:pPr>
            <w:r>
              <w:rPr>
                <w:bCs/>
                <w:b/>
              </w:rPr>
              <w:t xml:space="preserve">Ponderada (v11)</w:t>
            </w:r>
          </w:p>
        </w:tc>
        <w:tc>
          <w:tcPr/>
          <w:p>
            <w:pPr>
              <w:pStyle w:val="Compact"/>
            </w:pPr>
          </w:p>
        </w:tc>
        <w:tc>
          <w:tcPr/>
          <w:p>
            <w:pPr>
              <w:pStyle w:val="Compact"/>
            </w:pPr>
          </w:p>
        </w:tc>
        <w:tc>
          <w:tcPr/>
          <w:p>
            <w:pPr>
              <w:pStyle w:val="Compact"/>
            </w:pPr>
          </w:p>
        </w:tc>
        <w:tc>
          <w:tcPr/>
          <w:p>
            <w:pPr>
              <w:pStyle w:val="Compact"/>
              <w:jc w:val="left"/>
            </w:pPr>
            <w:r>
              <w:rPr>
                <w:bCs/>
                <w:b/>
              </w:rPr>
              <w:t xml:space="preserve">22,0</w:t>
            </w:r>
          </w:p>
        </w:tc>
        <w:tc>
          <w:tcPr/>
          <w:p>
            <w:pPr>
              <w:pStyle w:val="Compact"/>
              <w:jc w:val="left"/>
            </w:pPr>
            <w:r>
              <w:rPr>
                <w:bCs/>
                <w:b/>
              </w:rPr>
              <w:t xml:space="preserve">−34,8 %</w:t>
            </w:r>
          </w:p>
        </w:tc>
      </w:tr>
    </w:tbl>
    <w:p>
      <w:pPr>
        <w:numPr>
          <w:ilvl w:val="0"/>
          <w:numId w:val="1008"/>
        </w:numPr>
        <w:pStyle w:val="Compact"/>
      </w:pPr>
      <w:r>
        <w:rPr>
          <w:bCs/>
          <w:b/>
        </w:rPr>
        <w:t xml:space="preserve">Ventas (v11, la menor entre la proyección mecánica y la del informe):</w:t>
      </w:r>
      <w:r>
        <w:t xml:space="preserve"> </w:t>
      </w:r>
      <w:r>
        <w:t xml:space="preserve">la mecánica proyecta 33.179 M, porque arrastra el +61 % de 2026, que no se repite. Se usa la del informe, que es más baja. Base: 22.000 M, cerca del consenso (21.800 M, calculado con el consenso de 2027, 20.780 M, y un 10 % estimado para 2028). Bajista: ingresos planos tras 2026. Alcista: el objetivo de la dirección de más del 20 % anual.</w:t>
      </w:r>
    </w:p>
    <w:p>
      <w:pPr>
        <w:numPr>
          <w:ilvl w:val="0"/>
          <w:numId w:val="1008"/>
        </w:numPr>
        <w:pStyle w:val="Compact"/>
      </w:pPr>
      <w:r>
        <w:rPr>
          <w:bCs/>
          <w:b/>
        </w:rPr>
        <w:t xml:space="preserve">Múltiplo:</w:t>
      </w:r>
      <w:r>
        <w:t xml:space="preserve"> </w:t>
      </w:r>
      <w:r>
        <w:t xml:space="preserve">el de hoy es 0,57, el más alto de tres años (mediana 0,35; mínimo 0,15; comparables 0,30). El escenario base lo rebaja el 30 % máximo, porque el crecimiento pasa del 29 % de los próximos 12 meses al 11 % del año objetivo.</w:t>
      </w:r>
    </w:p>
    <w:p>
      <w:pPr>
        <w:numPr>
          <w:ilvl w:val="0"/>
          <w:numId w:val="1008"/>
        </w:numPr>
        <w:pStyle w:val="Compact"/>
      </w:pPr>
      <w:r>
        <w:rPr>
          <w:bCs/>
          <w:b/>
        </w:rPr>
        <w:t xml:space="preserve">Probabilidades 35/50/15:</w:t>
      </w:r>
      <w:r>
        <w:t xml:space="preserve"> </w:t>
      </w:r>
      <w:r>
        <w:t xml:space="preserve">el salto de 2026 depende de hechos que no se repiten (la salida de Aetna y el fin de las subvenciones ampliadas) y la ejecución de 2025 fue mala.</w:t>
      </w:r>
    </w:p>
    <w:p>
      <w:pPr>
        <w:numPr>
          <w:ilvl w:val="0"/>
          <w:numId w:val="1008"/>
        </w:numPr>
        <w:pStyle w:val="Compact"/>
      </w:pPr>
      <w:r>
        <w:rPr>
          <w:bCs/>
          <w:b/>
        </w:rPr>
        <w:t xml:space="preserve">v9, como referencia:</w:t>
      </w:r>
      <w:r>
        <w:t xml:space="preserve"> </w:t>
      </w:r>
      <w:r>
        <w:t xml:space="preserve">con la proyección mecánica (33.179 M) da Mantener, con una ponderada del −5,3 %, una base del +9,0 % y un bajista del −53,9 %. Supone que 2027 vuelve a crecer cerca del 40 %, y ni la empresa ni el consenso lo esperan.</w:t>
      </w:r>
    </w:p>
    <w:p>
      <w:pPr>
        <w:numPr>
          <w:ilvl w:val="0"/>
          <w:numId w:val="1008"/>
        </w:numPr>
        <w:pStyle w:val="Compact"/>
      </w:pPr>
      <w:r>
        <w:rPr>
          <w:bCs/>
          <w:b/>
        </w:rPr>
        <w:t xml:space="preserve">Contraste por PER:</w:t>
      </w:r>
      <w:r>
        <w:t xml:space="preserve"> </w:t>
      </w:r>
      <w:r>
        <w:t xml:space="preserve">a 33,79 USD, el PER es 17 sobre el BPA de 2026 del consenso (1,94) y 15 sobre el de 2027 (2,22). Centene cotiza a un PER de 15 sobre el beneficio esperado. Si en el año objetivo Oscar ganara un 5 % operativo sobre 22.000 M (unos 2,6 USD por acción con un 25 % de impuestos) y cotizara a un PER de 13, valdría unos 34 USD, lo mismo que hoy. Solo con un margen del 6-7 % y un PER de 15 se llega a los 45-50 USD de los analistas más optimistas.</w:t>
      </w:r>
    </w:p>
    <w:p>
      <w:pPr>
        <w:numPr>
          <w:ilvl w:val="0"/>
          <w:numId w:val="1008"/>
        </w:numPr>
        <w:pStyle w:val="Compact"/>
      </w:pPr>
      <w:r>
        <w:rPr>
          <w:bCs/>
          <w:b/>
        </w:rPr>
        <w:t xml:space="preserve">Consenso:</w:t>
      </w:r>
      <w:r>
        <w:t xml:space="preserve"> </w:t>
      </w:r>
      <w:r>
        <w:t xml:space="preserve">precio objetivo medio de 36,4 USD con 11 analistas (+8 %; entre 27 y 49) [7].</w:t>
      </w:r>
    </w:p>
    <w:p>
      <w:pPr>
        <w:numPr>
          <w:ilvl w:val="0"/>
          <w:numId w:val="1008"/>
        </w:numPr>
        <w:pStyle w:val="Compact"/>
      </w:pPr>
      <w:r>
        <w:rPr>
          <w:bCs/>
          <w:b/>
        </w:rPr>
        <w:t xml:space="preserve">DCF inverso:</w:t>
      </w:r>
      <w:r>
        <w:t xml:space="preserve"> </w:t>
      </w:r>
      <w:r>
        <w:t xml:space="preserve">con un margen neto del 3,75 %, un descuento del 10 % y un PER final de 12, el precio de hoy descuenta un crecimiento de los ingresos del 5,5 % anual durante 10 años. Es razonable, pero no deja margen para un error en el precio de los seguros.</w:t>
      </w:r>
    </w:p>
    <w:p>
      <w:pPr>
        <w:numPr>
          <w:ilvl w:val="0"/>
          <w:numId w:val="1008"/>
        </w:numPr>
        <w:pStyle w:val="Compact"/>
      </w:pPr>
      <w:r>
        <w:rPr>
          <w:bCs/>
          <w:b/>
        </w:rPr>
        <w:t xml:space="preserve">Compra hasta 21,0 USD:</w:t>
      </w:r>
      <w:r>
        <w:t xml:space="preserve"> </w:t>
      </w:r>
      <w:r>
        <w:t xml:space="preserve">es el precio al que el bajista no pasa del −50 % y la ponderada llega al +5 %.</w:t>
      </w:r>
    </w:p>
    <w:bookmarkEnd w:id="28"/>
    <w:bookmarkStart w:id="29" w:name="foros-y-sentimiento"/>
    <w:p>
      <w:pPr>
        <w:pStyle w:val="Heading2"/>
      </w:pPr>
      <w:r>
        <w:t xml:space="preserve">10. Foros y sentimiento</w:t>
      </w:r>
    </w:p>
    <w:p>
      <w:pPr>
        <w:numPr>
          <w:ilvl w:val="0"/>
          <w:numId w:val="1009"/>
        </w:numPr>
        <w:pStyle w:val="Compact"/>
      </w:pPr>
      <w:r>
        <w:rPr>
          <w:bCs/>
          <w:b/>
        </w:rPr>
        <w:t xml:space="preserve">StockTwits:</w:t>
      </w:r>
      <w:r>
        <w:t xml:space="preserve"> </w:t>
      </w:r>
      <w:r>
        <w:t xml:space="preserve">«extremadamente alcista» en junio, con mensajes multiplicados por 13 cuando la acción tocó máximos de cinco años [9]. Es un valor muy seguido por el pequeño inversor desde el desplome de 2025.</w:t>
      </w:r>
    </w:p>
    <w:p>
      <w:pPr>
        <w:numPr>
          <w:ilvl w:val="0"/>
          <w:numId w:val="1009"/>
        </w:numPr>
        <w:pStyle w:val="Compact"/>
      </w:pPr>
      <w:r>
        <w:rPr>
          <w:bCs/>
          <w:b/>
        </w:rPr>
        <w:t xml:space="preserve">Analistas:</w:t>
      </w:r>
      <w:r>
        <w:t xml:space="preserve"> </w:t>
      </w:r>
      <w:r>
        <w:t xml:space="preserve">cautos. 3 dicen comprar, 7 mantener y 1 vender; BofA sigue en «infraponderar» con un objetivo de 25. Han subido los objetivos, pero no las recomendaciones [7].</w:t>
      </w:r>
    </w:p>
    <w:p>
      <w:pPr>
        <w:numPr>
          <w:ilvl w:val="0"/>
          <w:numId w:val="1009"/>
        </w:numPr>
        <w:pStyle w:val="Compact"/>
      </w:pPr>
      <w:r>
        <w:rPr>
          <w:bCs/>
          <w:b/>
        </w:rPr>
        <w:t xml:space="preserve">Seeking Alpha y prensa especializada:</w:t>
      </w:r>
      <w:r>
        <w:t xml:space="preserve"> </w:t>
      </w:r>
      <w:r>
        <w:t xml:space="preserve">después del Investor Day hay división. Unos ven un mercado nuevo creíble (Choice, Lucie) y otros (HealthTech Nerds) creen que la ACA es un mercado maduro y que Oscar se acerca a su techo de cuota [6].</w:t>
      </w:r>
    </w:p>
    <w:p>
      <w:pPr>
        <w:numPr>
          <w:ilvl w:val="0"/>
          <w:numId w:val="1009"/>
        </w:numPr>
        <w:pStyle w:val="Compact"/>
      </w:pPr>
      <w:r>
        <w:rPr>
          <w:bCs/>
          <w:b/>
        </w:rPr>
        <w:t xml:space="preserve">Reddit y foros en castellano (Rankia, Investing.com ES):</w:t>
      </w:r>
      <w:r>
        <w:t xml:space="preserve"> </w:t>
      </w:r>
      <w:r>
        <w:t xml:space="preserve">no encontré conversaciones recientes con datos útiles. Los hilos de 2025 eran de pánico por las subvenciones (de memoria, sin comprobar).</w:t>
      </w:r>
    </w:p>
    <w:p>
      <w:pPr>
        <w:numPr>
          <w:ilvl w:val="0"/>
          <w:numId w:val="1009"/>
        </w:numPr>
        <w:pStyle w:val="Compact"/>
      </w:pPr>
      <w:r>
        <w:rPr>
          <w:bCs/>
          <w:b/>
        </w:rPr>
        <w:t xml:space="preserve">Contraste con los datos:</w:t>
      </w:r>
      <w:r>
        <w:t xml:space="preserve"> </w:t>
      </w:r>
      <w:r>
        <w:t xml:space="preserve">el sentimiento ha girado con los resultados, que han sido buenos de verdad. Pero las ventas de los directivos y la prudencia de los analistas no acompañan a la euforia del pequeño inversor.</w:t>
      </w:r>
    </w:p>
    <w:bookmarkEnd w:id="29"/>
    <w:bookmarkStart w:id="31" w:name="riesgos-y-qué-rompería-la-tesis"/>
    <w:p>
      <w:pPr>
        <w:pStyle w:val="Heading2"/>
      </w:pPr>
      <w:r>
        <w:t xml:space="preserve">11. Riesgos y qué rompería la tesis</w:t>
      </w:r>
    </w:p>
    <w:p>
      <w:pPr>
        <w:pStyle w:val="FirstParagraph"/>
      </w:pPr>
      <w:r>
        <w:rPr>
          <w:bCs/>
          <w:b/>
        </w:rPr>
        <w:t xml:space="preserve">Riesgo regulatorio (alto).</w:t>
      </w:r>
      <w:r>
        <w:t xml:space="preserve"> </w:t>
      </w:r>
      <w:r>
        <w:t xml:space="preserve">El 90 % de las primas las paga la CMS como subvención [2]. Las subvenciones ampliadas de 2021-2025 vencieron a finales de 2025 y no se renovaron (hubo propuestas en noviembre de 2025 que no llegaron a ley). Eso encogió el mercado en 2026 un 20-30 %, y Oscar, que había fijado sus precios para una caída del 30 %, lo compensó con la salida de rivales. Para 2027, las nuevas normas de control de elegibilidad (NBPP 2027) y las dos revisiones de la CMS (una de 1 millón de asegurados y otra de 500.000) pueden dar de baja a personas que sí pagan prima. Si el Congreso financia directamente los copagos reducidos (CSR), dejarían de inflarse las primas de los planes «plata» y bajarían las subvenciones de todo el mercado. Cualquier cambio en el</w:t>
      </w:r>
      <w:r>
        <w:t xml:space="preserve"> </w:t>
      </w:r>
      <w:r>
        <w:rPr>
          <w:bCs/>
          <w:b/>
        </w:rPr>
        <w:t xml:space="preserve">ajuste de riesgos</w:t>
      </w:r>
      <w:r>
        <w:t xml:space="preserve"> </w:t>
      </w:r>
      <w:r>
        <w:t xml:space="preserve">puede costar cientos de millones, como en 2025, cuando la siniestralidad media del mercado subió y Oscar tuvo que pagar más.</w:t>
      </w:r>
    </w:p>
    <w:p>
      <w:pPr>
        <w:pStyle w:val="BodyText"/>
      </w:pPr>
      <w:r>
        <w:rPr>
          <w:bCs/>
          <w:b/>
        </w:rPr>
        <w:t xml:space="preserve">Riesgo de IA (bajo como amenaza y medio como ventaja que se diluye).</w:t>
      </w:r>
      <w:r>
        <w:t xml:space="preserve"> </w:t>
      </w:r>
      <w:r>
        <w:t xml:space="preserve">La IA no sustituye a una aseguradora, porque hacen falta licencias en cada estado, capital regulatorio y una red de médicos, así que no es un negocio que la IA pueda dejar obsoleto. El riesgo está en otros sitios. (1) La ventaja de costes que Oscar atribuye a la IA la copiarán Centene, UnitedHealth y el resto, que gastan mucho más en tecnología, y en un seguro el ahorro acaba en el precio. (2) Hay leyes estatales y demandas contra el uso de algoritmos para denegar autorizaciones y siniestros (UnitedHealth y Cigna ya han tenido demandas), y la propia Oscar lo cita como riesgo en el 10-Q [1][2]. (3) La IA no reduce el riesgo principal, que es calcular bien la siniestralidad.</w:t>
      </w:r>
    </w:p>
    <w:p>
      <w:pPr>
        <w:pStyle w:val="BodyText"/>
      </w:pPr>
      <w:r>
        <w:rPr>
          <w:bCs/>
          <w:b/>
        </w:rPr>
        <w:t xml:space="preserve">Otros riesgos:</w:t>
      </w:r>
      <w:r>
        <w:t xml:space="preserve"> </w:t>
      </w:r>
      <w:r>
        <w:t xml:space="preserve">- Concentración en Florida, Texas y Georgia (de memoria): un error de precio en un solo estado mueve mucho el resultado.</w:t>
      </w:r>
      <w:r>
        <w:t xml:space="preserve"> </w:t>
      </w:r>
      <w:r>
        <w:t xml:space="preserve">- Reservas: el beneficio de 2026 incluye 232 M de años anteriores. Si se invierte, caerá.</w:t>
      </w:r>
      <w:r>
        <w:t xml:space="preserve"> </w:t>
      </w:r>
      <w:r>
        <w:t xml:space="preserve">- Capital: crecer exige capital regulatorio (unos 1.100 M más sin reaseguro).</w:t>
      </w:r>
      <w:r>
        <w:t xml:space="preserve"> </w:t>
      </w:r>
      <w:r>
        <w:t xml:space="preserve">- Venta de directivos y estructura de control con dos clases de acciones.</w:t>
      </w:r>
    </w:p>
    <w:p>
      <w:pPr>
        <w:pStyle w:val="BodyText"/>
      </w:pPr>
      <w:r>
        <w:rPr>
          <w:bCs/>
          <w:b/>
        </w:rPr>
        <w:t xml:space="preserve">Señales de venta (para quien la tenga):</w:t>
      </w:r>
      <w:r>
        <w:t xml:space="preserve"> </w:t>
      </w:r>
      <w:r>
        <w:t xml:space="preserve">que la siniestralidad de 2026 cierre por encima del 83 %, que la guía de 2027 dé un crecimiento de un dígito o un margen operativo por debajo del 4 %, que la CMS anuncie un ajuste de riesgos negativo de más de 200 M o que haya más bajas de asegurados de las previstas en la contratación de 2027.</w:t>
      </w:r>
    </w:p>
    <w:bookmarkStart w:id="30" w:name="X38c88ccae2c73462278020c521e4f031e79e478"/>
    <w:p>
      <w:pPr>
        <w:pStyle w:val="Heading3"/>
      </w:pPr>
      <w:r>
        <w:t xml:space="preserve">Robustez (prueba obligatoria y alertas del motor)</w:t>
      </w:r>
    </w:p>
    <w:p>
      <w:pPr>
        <w:numPr>
          <w:ilvl w:val="0"/>
          <w:numId w:val="1010"/>
        </w:numPr>
        <w:pStyle w:val="Compact"/>
      </w:pPr>
      <w:r>
        <w:rPr>
          <w:bCs/>
          <w:b/>
        </w:rPr>
        <w:t xml:space="preserve">Alerta de</w:t>
      </w:r>
      <w:r>
        <w:rPr>
          <w:bCs/>
          <w:b/>
        </w:rPr>
        <w:t xml:space="preserve"> </w:t>
      </w:r>
      <w:r>
        <w:rPr>
          <w:rStyle w:val="VerbatimChar"/>
          <w:bCs/>
          <w:b/>
        </w:rPr>
        <w:t xml:space="preserve">calc.alertas</w:t>
      </w:r>
      <w:r>
        <w:rPr>
          <w:bCs/>
          <w:b/>
        </w:rPr>
        <w:t xml:space="preserve">:</w:t>
      </w:r>
      <w:r>
        <w:t xml:space="preserve"> </w:t>
      </w:r>
      <w:r>
        <w:t xml:space="preserve">«Proyección mecánica (33.179 M) &gt; 1,2 × la del analista (22.000 M): v11 usa la del analista». La regla mecánica arrastra el +61 % de 2026, que se debe a un salto de asegurados en enero y no se repite. Esta alerta</w:t>
      </w:r>
      <w:r>
        <w:t xml:space="preserve"> </w:t>
      </w:r>
      <w:r>
        <w:rPr>
          <w:bCs/>
          <w:b/>
        </w:rPr>
        <w:t xml:space="preserve">no debilita la señal, la refuerza</w:t>
      </w:r>
      <w:r>
        <w:t xml:space="preserve">: es justo el caso para el que se hizo v11. Con la mecánica (v9) la cifra sería mucho mejor (−5,3 %), pero supondría que en 2027 se crece al 40 %, y ni la dirección (20 %) ni el consenso (11 %) lo esperan.</w:t>
      </w:r>
    </w:p>
    <w:p>
      <w:pPr>
        <w:numPr>
          <w:ilvl w:val="0"/>
          <w:numId w:val="1010"/>
        </w:numPr>
        <w:pStyle w:val="Compact"/>
      </w:pPr>
      <w:r>
        <w:rPr>
          <w:bCs/>
          <w:b/>
        </w:rPr>
        <w:t xml:space="preserve">Prueba de robustez</w:t>
      </w:r>
      <w:r>
        <w:t xml:space="preserve"> </w:t>
      </w:r>
      <w:r>
        <w:t xml:space="preserve">(</w:t>
      </w:r>
      <w:r>
        <w:rPr>
          <w:rStyle w:val="VerbatimChar"/>
        </w:rPr>
        <w:t xml:space="preserve">robustez-growth.mjs --precios</w:t>
      </w:r>
      <w:r>
        <w:t xml:space="preserve">): veredicto</w:t>
      </w:r>
      <w:r>
        <w:t xml:space="preserve"> </w:t>
      </w:r>
      <w:r>
        <w:rPr>
          <w:bCs/>
          <w:b/>
        </w:rPr>
        <w:t xml:space="preserve">FRÁGIL, con Vender como señal robusta</w:t>
      </w:r>
      <w:r>
        <w:t xml:space="preserve">. La palabra «frágil» la provoca solo v7, que da Mantener (−5,3 %) por la misma proyección mecánica. Las demás variantes dan Vender: con las ventas del analista, −34,8 %; con probabilidades 25/50/25, −28,0 %; al precio de hoy con el objetivo fijo, −35,9 %. Otros dos avisos: el objetivo se mueve con el precio (por eso se deja fijo al revisarlo) y el bajista llega al −63 %, propio de una posición pequeña. Ninguna variante da Comprar, así que la conclusión «no comprar» es firme. Lo frágil es cuánto le falta: entre −5 % y −36 %.</w:t>
      </w:r>
    </w:p>
    <w:p>
      <w:pPr>
        <w:numPr>
          <w:ilvl w:val="0"/>
          <w:numId w:val="1010"/>
        </w:numPr>
        <w:pStyle w:val="Compact"/>
      </w:pPr>
      <w:r>
        <w:rPr>
          <w:bCs/>
          <w:b/>
        </w:rPr>
        <w:t xml:space="preserve">Lo que el método no ve bien aquí:</w:t>
      </w:r>
      <w:r>
        <w:t xml:space="preserve"> </w:t>
      </w:r>
      <w:r>
        <w:t xml:space="preserve">la rebaja del múltiplo cuando frena el crecimiento supone que la acción vale menos por cada dólar de ventas. En una aseguradora cuyo margen pasa del −3 % al 4-5 %, el múltiplo de ventas puede mantenerse aunque el crecimiento baje. El contraste por PER (apartado 9) da un valor parecido al precio de hoy, no un 35 % menos. Aun así, por ningún camino sale una rentabilidad suficiente para comprar.</w:t>
      </w:r>
    </w:p>
    <w:bookmarkEnd w:id="30"/>
    <w:bookmarkEnd w:id="31"/>
    <w:bookmarkStart w:id="32" w:name="catalizadores-con-fecha"/>
    <w:p>
      <w:pPr>
        <w:pStyle w:val="Heading2"/>
      </w:pPr>
      <w:r>
        <w:t xml:space="preserve">12. Catalizadores con fecha</w:t>
      </w:r>
    </w:p>
    <w:p>
      <w:pPr>
        <w:numPr>
          <w:ilvl w:val="0"/>
          <w:numId w:val="1011"/>
        </w:numPr>
        <w:pStyle w:val="Compact"/>
      </w:pPr>
      <w:r>
        <w:rPr>
          <w:bCs/>
          <w:b/>
        </w:rPr>
        <w:t xml:space="preserve">1-nov-2026:</w:t>
      </w:r>
      <w:r>
        <w:t xml:space="preserve"> </w:t>
      </w:r>
      <w:r>
        <w:t xml:space="preserve">empieza la contratación de 2027 en HealthCare.gov. Será la primera prueba de si Oscar gana a los asegurados que deja Cigna.</w:t>
      </w:r>
    </w:p>
    <w:p>
      <w:pPr>
        <w:numPr>
          <w:ilvl w:val="0"/>
          <w:numId w:val="1011"/>
        </w:numPr>
        <w:pStyle w:val="Compact"/>
      </w:pPr>
      <w:r>
        <w:rPr>
          <w:bCs/>
          <w:b/>
        </w:rPr>
        <w:t xml:space="preserve">5-nov-2026:</w:t>
      </w:r>
      <w:r>
        <w:t xml:space="preserve"> </w:t>
      </w:r>
      <w:r>
        <w:t xml:space="preserve">resultados del 3T26: siniestralidad del segundo semestre, bajas de la CMS y primeras cifras de 2027.</w:t>
      </w:r>
    </w:p>
    <w:p>
      <w:pPr>
        <w:numPr>
          <w:ilvl w:val="0"/>
          <w:numId w:val="1011"/>
        </w:numPr>
        <w:pStyle w:val="Compact"/>
      </w:pPr>
      <w:r>
        <w:rPr>
          <w:bCs/>
          <w:b/>
        </w:rPr>
        <w:t xml:space="preserve">Enero-febrero de 2027:</w:t>
      </w:r>
      <w:r>
        <w:t xml:space="preserve"> </w:t>
      </w:r>
      <w:r>
        <w:t xml:space="preserve">asegurados de 2027 y guía formal del año, con los resultados del 4T26.</w:t>
      </w:r>
    </w:p>
    <w:p>
      <w:pPr>
        <w:numPr>
          <w:ilvl w:val="0"/>
          <w:numId w:val="1011"/>
        </w:numPr>
        <w:pStyle w:val="Compact"/>
      </w:pPr>
      <w:r>
        <w:rPr>
          <w:bCs/>
          <w:b/>
        </w:rPr>
        <w:t xml:space="preserve">Mediados de 2027:</w:t>
      </w:r>
      <w:r>
        <w:t xml:space="preserve"> </w:t>
      </w:r>
      <w:r>
        <w:t xml:space="preserve">liquidación del ajuste de riesgos de 2026 (informe Wakely y CMS).</w:t>
      </w:r>
    </w:p>
    <w:p>
      <w:pPr>
        <w:numPr>
          <w:ilvl w:val="0"/>
          <w:numId w:val="1011"/>
        </w:numPr>
        <w:pStyle w:val="Compact"/>
      </w:pPr>
      <w:r>
        <w:rPr>
          <w:bCs/>
          <w:b/>
        </w:rPr>
        <w:t xml:space="preserve">Todo el año:</w:t>
      </w:r>
      <w:r>
        <w:t xml:space="preserve"> </w:t>
      </w:r>
      <w:r>
        <w:t xml:space="preserve">posibles cambios en las subvenciones y normas de la CMS (NBPP 2028).</w:t>
      </w:r>
    </w:p>
    <w:bookmarkEnd w:id="32"/>
    <w:bookmarkStart w:id="33" w:name="encaje-en-cartera"/>
    <w:p>
      <w:pPr>
        <w:pStyle w:val="Heading2"/>
      </w:pPr>
      <w:r>
        <w:t xml:space="preserve">13. Encaje en cartera</w:t>
      </w:r>
    </w:p>
    <w:p>
      <w:pPr>
        <w:numPr>
          <w:ilvl w:val="0"/>
          <w:numId w:val="1012"/>
        </w:numPr>
        <w:pStyle w:val="Compact"/>
      </w:pPr>
      <w:r>
        <w:rPr>
          <w:bCs/>
          <w:b/>
        </w:rPr>
        <w:t xml:space="preserve">Frente a</w:t>
      </w:r>
      <w:r>
        <w:rPr>
          <w:bCs/>
          <w:b/>
        </w:rPr>
        <w:t xml:space="preserve"> </w:t>
      </w:r>
      <w:r>
        <w:rPr>
          <w:rStyle w:val="VerbatimChar"/>
          <w:bCs/>
          <w:b/>
        </w:rPr>
        <w:t xml:space="preserve">MEMORIA.md</w:t>
      </w:r>
      <w:r>
        <w:rPr>
          <w:bCs/>
          <w:b/>
        </w:rPr>
        <w:t xml:space="preserve">:</w:t>
      </w:r>
      <w:r>
        <w:t xml:space="preserve"> </w:t>
      </w:r>
      <w:r>
        <w:t xml:space="preserve">no hay ninguna regla en contra (no es juego ni comercio minorista). Sería la primera aseguradora de salud de la cartera. Alphabet se vende mañana, así que Oscar no compensaría ninguna exposición a IA (y su uso de la IA no es el motivo de la tesis).</w:t>
      </w:r>
    </w:p>
    <w:p>
      <w:pPr>
        <w:numPr>
          <w:ilvl w:val="0"/>
          <w:numId w:val="1012"/>
        </w:numPr>
        <w:pStyle w:val="Compact"/>
      </w:pPr>
      <w:r>
        <w:rPr>
          <w:bCs/>
          <w:b/>
        </w:rPr>
        <w:t xml:space="preserve">Frente a</w:t>
      </w:r>
      <w:r>
        <w:rPr>
          <w:bCs/>
          <w:b/>
        </w:rPr>
        <w:t xml:space="preserve"> </w:t>
      </w:r>
      <w:r>
        <w:rPr>
          <w:rStyle w:val="VerbatimChar"/>
          <w:bCs/>
          <w:b/>
        </w:rPr>
        <w:t xml:space="preserve">informes-growth/cartera-growth.md</w:t>
      </w:r>
      <w:r>
        <w:rPr>
          <w:bCs/>
          <w:b/>
        </w:rPr>
        <w:t xml:space="preserve">:</w:t>
      </w:r>
      <w:r>
        <w:t xml:space="preserve"> </w:t>
      </w:r>
      <w:r>
        <w:t xml:space="preserve">el bolsillo growth está lleno (unos 20 %). Al precio actual y con v11, las cinco posiciones esperan: Nu +19 %, Axon +36 %, Shopify +18 %, Snowflake +13 % y Samsara +15 %. La liquidez es de unos 27 EUR, así que solo se podría entrar sustituyendo a una de ellas.</w:t>
      </w:r>
    </w:p>
    <w:p>
      <w:pPr>
        <w:numPr>
          <w:ilvl w:val="0"/>
          <w:numId w:val="1012"/>
        </w:numPr>
        <w:pStyle w:val="Compact"/>
      </w:pPr>
      <w:r>
        <w:rPr>
          <w:bCs/>
          <w:b/>
        </w:rPr>
        <w:t xml:space="preserve">Resultado:</w:t>
      </w:r>
      <w:r>
        <w:t xml:space="preserve"> </w:t>
      </w:r>
      <w:r>
        <w:t xml:space="preserve">con Vender (−34,8 %, y −35,9 % al precio actual),</w:t>
      </w:r>
      <w:r>
        <w:t xml:space="preserve"> </w:t>
      </w:r>
      <w:r>
        <w:rPr>
          <w:bCs/>
          <w:b/>
        </w:rPr>
        <w:t xml:space="preserve">no sustituye a ninguna ni entra en la lista de suplentes</w:t>
      </w:r>
      <w:r>
        <w:t xml:space="preserve">. Los suplentes siguen en este orden: MongoDB, Toast, Zscaler, dLocal, Dexcom, argenx, Datadog, Saab y Natera. Pasaría a estudiarse por debajo de 21 USD, o si la guía de 2027 (febrero) confirma un crecimiento de más del 20 % con un margen de más del 5 %. En ese caso se recalcula con resultados nuevos.</w:t>
      </w:r>
    </w:p>
    <w:p>
      <w:pPr>
        <w:numPr>
          <w:ilvl w:val="0"/>
          <w:numId w:val="1012"/>
        </w:numPr>
        <w:pStyle w:val="Compact"/>
      </w:pPr>
      <w:r>
        <w:t xml:space="preserve">Recordatorio: no se emite ninguna orden salvo que el usuario la pida explícitamente en el chat y la confirme.</w:t>
      </w:r>
    </w:p>
    <w:bookmarkEnd w:id="33"/>
    <w:bookmarkStart w:id="34"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w:t>
            </w:r>
          </w:p>
        </w:tc>
        <w:tc>
          <w:tcPr/>
          <w:p>
            <w:pPr>
              <w:pStyle w:val="Compact"/>
              <w:jc w:val="left"/>
            </w:pPr>
            <w:r>
              <w:t xml:space="preserve">Detalle</w:t>
            </w:r>
          </w:p>
        </w:tc>
      </w:tr>
      <w:tr>
        <w:tc>
          <w:tcPr/>
          <w:p>
            <w:pPr>
              <w:pStyle w:val="Compact"/>
              <w:jc w:val="left"/>
            </w:pPr>
            <w:r>
              <w:t xml:space="preserve">A. Crecimiento</w:t>
            </w:r>
          </w:p>
        </w:tc>
        <w:tc>
          <w:tcPr/>
          <w:p>
            <w:pPr>
              <w:pStyle w:val="Compact"/>
              <w:jc w:val="left"/>
            </w:pPr>
            <w:r>
              <w:t xml:space="preserve">25,0</w:t>
            </w:r>
          </w:p>
        </w:tc>
        <w:tc>
          <w:tcPr/>
          <w:p>
            <w:pPr>
              <w:pStyle w:val="Compact"/>
              <w:jc w:val="left"/>
            </w:pPr>
            <w:r>
              <w:t xml:space="preserve">25</w:t>
            </w:r>
          </w:p>
        </w:tc>
        <w:tc>
          <w:tcPr/>
          <w:p>
            <w:pPr>
              <w:pStyle w:val="Compact"/>
              <w:jc w:val="left"/>
            </w:pPr>
            <w:r>
              <w:t xml:space="preserve">12 meses +43 %, a 2 años +45 % y aceleración de +40 puntos: puntuación máxima, aunque por hechos que no se repiten</w:t>
            </w:r>
          </w:p>
        </w:tc>
      </w:tr>
      <w:tr>
        <w:tc>
          <w:tcPr/>
          <w:p>
            <w:pPr>
              <w:pStyle w:val="Compact"/>
              <w:jc w:val="left"/>
            </w:pPr>
            <w:r>
              <w:t xml:space="preserve">B. Mercado y tecnología</w:t>
            </w:r>
          </w:p>
        </w:tc>
        <w:tc>
          <w:tcPr/>
          <w:p>
            <w:pPr>
              <w:pStyle w:val="Compact"/>
              <w:jc w:val="left"/>
            </w:pPr>
            <w:r>
              <w:t xml:space="preserve">12,0</w:t>
            </w:r>
          </w:p>
        </w:tc>
        <w:tc>
          <w:tcPr/>
          <w:p>
            <w:pPr>
              <w:pStyle w:val="Compact"/>
              <w:jc w:val="left"/>
            </w:pPr>
            <w:r>
              <w:t xml:space="preserve">20</w:t>
            </w:r>
          </w:p>
        </w:tc>
        <w:tc>
          <w:tcPr/>
          <w:p>
            <w:pPr>
              <w:pStyle w:val="Compact"/>
              <w:jc w:val="left"/>
            </w:pPr>
            <w:r>
              <w:t xml:space="preserve">Penetración 16,5 % (2), tecnología 3, posición 4</w:t>
            </w:r>
          </w:p>
        </w:tc>
      </w:tr>
      <w:tr>
        <w:tc>
          <w:tcPr/>
          <w:p>
            <w:pPr>
              <w:pStyle w:val="Compact"/>
              <w:jc w:val="left"/>
            </w:pPr>
            <w:r>
              <w:t xml:space="preserve">C. Cambio de tendencia</w:t>
            </w:r>
          </w:p>
        </w:tc>
        <w:tc>
          <w:tcPr/>
          <w:p>
            <w:pPr>
              <w:pStyle w:val="Compact"/>
              <w:jc w:val="left"/>
            </w:pPr>
            <w:r>
              <w:t xml:space="preserve">17,5</w:t>
            </w:r>
          </w:p>
        </w:tc>
        <w:tc>
          <w:tcPr/>
          <w:p>
            <w:pPr>
              <w:pStyle w:val="Compact"/>
              <w:jc w:val="left"/>
            </w:pPr>
            <w:r>
              <w:t xml:space="preserve">20</w:t>
            </w:r>
          </w:p>
        </w:tc>
        <w:tc>
          <w:tcPr/>
          <w:p>
            <w:pPr>
              <w:pStyle w:val="Compact"/>
              <w:jc w:val="left"/>
            </w:pPr>
            <w:r>
              <w:t xml:space="preserve">7 de 8 señales; no hay compras de directivos</w:t>
            </w:r>
          </w:p>
        </w:tc>
      </w:tr>
      <w:tr>
        <w:tc>
          <w:tcPr/>
          <w:p>
            <w:pPr>
              <w:pStyle w:val="Compact"/>
              <w:jc w:val="left"/>
            </w:pPr>
            <w:r>
              <w:t xml:space="preserve">D. Economía unitaria</w:t>
            </w:r>
          </w:p>
        </w:tc>
        <w:tc>
          <w:tcPr/>
          <w:p>
            <w:pPr>
              <w:pStyle w:val="Compact"/>
              <w:jc w:val="left"/>
            </w:pPr>
            <w:r>
              <w:t xml:space="preserve">7,0</w:t>
            </w:r>
          </w:p>
        </w:tc>
        <w:tc>
          <w:tcPr/>
          <w:p>
            <w:pPr>
              <w:pStyle w:val="Compact"/>
              <w:jc w:val="left"/>
            </w:pPr>
            <w:r>
              <w:t xml:space="preserve">15</w:t>
            </w:r>
          </w:p>
        </w:tc>
        <w:tc>
          <w:tcPr/>
          <w:p>
            <w:pPr>
              <w:pStyle w:val="Compact"/>
              <w:jc w:val="left"/>
            </w:pPr>
            <w:r>
              <w:t xml:space="preserve">«Margen bruto» de aseguradora 18,5 % (0), regla del 40 de 46 (3), flujo de caja positivo (4)</w:t>
            </w:r>
          </w:p>
        </w:tc>
      </w:tr>
      <w:tr>
        <w:tc>
          <w:tcPr/>
          <w:p>
            <w:pPr>
              <w:pStyle w:val="Compact"/>
              <w:jc w:val="left"/>
            </w:pPr>
            <w:r>
              <w:t xml:space="preserve">E. Caja y dilución</w:t>
            </w:r>
          </w:p>
        </w:tc>
        <w:tc>
          <w:tcPr/>
          <w:p>
            <w:pPr>
              <w:pStyle w:val="Compact"/>
              <w:jc w:val="left"/>
            </w:pPr>
            <w:r>
              <w:t xml:space="preserve">5,0</w:t>
            </w:r>
          </w:p>
        </w:tc>
        <w:tc>
          <w:tcPr/>
          <w:p>
            <w:pPr>
              <w:pStyle w:val="Compact"/>
              <w:jc w:val="left"/>
            </w:pPr>
            <w:r>
              <w:t xml:space="preserve">10</w:t>
            </w:r>
          </w:p>
        </w:tc>
        <w:tc>
          <w:tcPr/>
          <w:p>
            <w:pPr>
              <w:pStyle w:val="Compact"/>
              <w:jc w:val="left"/>
            </w:pPr>
            <w:r>
              <w:t xml:space="preserve">Gana dinero (5), dilución del 7,8 % (0)</w:t>
            </w:r>
          </w:p>
        </w:tc>
      </w:tr>
      <w:tr>
        <w:tc>
          <w:tcPr/>
          <w:p>
            <w:pPr>
              <w:pStyle w:val="Compact"/>
              <w:jc w:val="left"/>
            </w:pPr>
            <w:r>
              <w:t xml:space="preserve">F. Ejecución y dirección</w:t>
            </w:r>
          </w:p>
        </w:tc>
        <w:tc>
          <w:tcPr/>
          <w:p>
            <w:pPr>
              <w:pStyle w:val="Compact"/>
              <w:jc w:val="left"/>
            </w:pPr>
            <w:r>
              <w:t xml:space="preserve">6,0</w:t>
            </w:r>
          </w:p>
        </w:tc>
        <w:tc>
          <w:tcPr/>
          <w:p>
            <w:pPr>
              <w:pStyle w:val="Compact"/>
              <w:jc w:val="left"/>
            </w:pPr>
            <w:r>
              <w:t xml:space="preserve">10</w:t>
            </w:r>
          </w:p>
        </w:tc>
        <w:tc>
          <w:tcPr/>
          <w:p>
            <w:pPr>
              <w:pStyle w:val="Compact"/>
              <w:jc w:val="left"/>
            </w:pPr>
            <w:r>
              <w:t xml:space="preserve">Historial 3, dirección 3</w:t>
            </w:r>
          </w:p>
        </w:tc>
      </w:tr>
      <w:tr>
        <w:tc>
          <w:tcPr/>
          <w:p>
            <w:pPr>
              <w:pStyle w:val="Compact"/>
              <w:jc w:val="left"/>
            </w:pPr>
            <w:r>
              <w:rPr>
                <w:bCs/>
                <w:b/>
              </w:rPr>
              <w:t xml:space="preserve">Total</w:t>
            </w:r>
          </w:p>
        </w:tc>
        <w:tc>
          <w:tcPr/>
          <w:p>
            <w:pPr>
              <w:pStyle w:val="Compact"/>
              <w:jc w:val="left"/>
            </w:pPr>
            <w:r>
              <w:rPr>
                <w:bCs/>
                <w:b/>
              </w:rPr>
              <w:t xml:space="preserve">72,5</w:t>
            </w:r>
          </w:p>
        </w:tc>
        <w:tc>
          <w:tcPr/>
          <w:p>
            <w:pPr>
              <w:pStyle w:val="Compact"/>
              <w:jc w:val="left"/>
            </w:pPr>
            <w:r>
              <w:t xml:space="preserve">100</w:t>
            </w:r>
          </w:p>
        </w:tc>
        <w:tc>
          <w:tcPr/>
          <w:p>
            <w:pPr>
              <w:pStyle w:val="Compact"/>
              <w:jc w:val="left"/>
            </w:pPr>
            <w:r>
              <w:t xml:space="preserve">Supera el mínimo de 60, pero no compra por la valoración</w:t>
            </w:r>
          </w:p>
        </w:tc>
      </w:tr>
    </w:tbl>
    <w:p>
      <w:pPr>
        <w:pStyle w:val="BodyText"/>
      </w:pPr>
      <w:r>
        <w:rPr>
          <w:bCs/>
          <w:b/>
        </w:rPr>
        <w:t xml:space="preserve">Mejora de método que sugiere este caso (no aplicada).</w:t>
      </w:r>
      <w:r>
        <w:t xml:space="preserve"> </w:t>
      </w:r>
      <w:r>
        <w:t xml:space="preserve">(1)</w:t>
      </w:r>
      <w:r>
        <w:t xml:space="preserve"> </w:t>
      </w:r>
      <w:r>
        <w:rPr>
          <w:bCs/>
          <w:b/>
        </w:rPr>
        <w:t xml:space="preserve">Modo aseguradora:</w:t>
      </w:r>
      <w:r>
        <w:t xml:space="preserve"> </w:t>
      </w:r>
      <w:r>
        <w:t xml:space="preserve">en las aseguradoras con el margen al alza, no rebajar el múltiplo de ventas por la desaceleración, o valorar por PER sobre un beneficio normalizado. Como ahora, el «margen bruto» (1 − siniestralidad) siempre puntúa 0 y la rebaja del 30 % castiga dos veces. Se une a la propuesta del modo para bancos (Nu) y a Kinsale. (2)</w:t>
      </w:r>
      <w:r>
        <w:t xml:space="preserve"> </w:t>
      </w:r>
      <w:r>
        <w:rPr>
          <w:bCs/>
          <w:b/>
        </w:rPr>
        <w:t xml:space="preserve">Guía implícita del semestre tras un salto:</w:t>
      </w:r>
      <w:r>
        <w:t xml:space="preserve"> </w:t>
      </w:r>
      <w:r>
        <w:t xml:space="preserve">cuando el año en curso trae un salto que no se repite (aquí, +61 % por la salida de un rival), el crecimiento implícito del segundo semestre no debería servir de techo para v9. Mejor el objetivo a medio plazo de la empresa (aquí, 20 %). En v11 no cambia nada, porque ya manda la proyección del informe.</w:t>
      </w:r>
    </w:p>
    <w:bookmarkEnd w:id="34"/>
    <w:bookmarkStart w:id="35" w:name="fuentes"/>
    <w:p>
      <w:pPr>
        <w:pStyle w:val="Heading2"/>
      </w:pPr>
      <w:r>
        <w:t xml:space="preserve">Fuentes</w:t>
      </w:r>
    </w:p>
    <w:p>
      <w:pPr>
        <w:pStyle w:val="FirstParagraph"/>
      </w:pPr>
      <w:r>
        <w:t xml:space="preserve">[1] Oscar Health, nota de resultados del 2T26 (8-K del 6-ago-2026), SEC: https://www.sec.gov/Archives/edgar/data/1568651/000156865126000066/oscarhealthsecondquarter20.htm</w:t>
      </w:r>
      <w:r>
        <w:t xml:space="preserve"> </w:t>
      </w:r>
      <w:r>
        <w:t xml:space="preserve">[2] Oscar Health, 10-Q del 2T26 (capital regulatorio, convertibles, subvenciones y bajas previstas), SEC: https://www.sec.gov/Archives/edgar/data/1568651/000156865126000069/oscr-20260630.htm</w:t>
      </w:r>
      <w:r>
        <w:t xml:space="preserve"> </w:t>
      </w:r>
      <w:r>
        <w:t xml:space="preserve">[3] Oscar Health: notas de resultados del 4T25 con la guía de 2026 (8-K del 10-feb-2026), del 4T24 con la guía de 2025 (8-K del 4-feb-2025), del 3T25 y del 1T26; XBRL de la SEC (companyfacts, CIK 1568651).</w:t>
      </w:r>
      <w:r>
        <w:t xml:space="preserve"> </w:t>
      </w:r>
      <w:r>
        <w:t xml:space="preserve">[4] Oscar Health, 8-K del 16-sep-2026 (sube la guía de 2026): https://www.sec.gov/Archives/edgar/data/1568651/000156865126000074/oscr-20260916.htm</w:t>
      </w:r>
      <w:r>
        <w:t xml:space="preserve"> </w:t>
      </w:r>
      <w:r>
        <w:t xml:space="preserve">[5] StockAnalysis, estadísticas de OSCR, CNC y MOH a 14-oct-2026.</w:t>
      </w:r>
      <w:r>
        <w:t xml:space="preserve"> </w:t>
      </w:r>
      <w:r>
        <w:t xml:space="preserve">[6] Transcripción del Investor Day 2026 (stockanalysis.com/stocks/oscr/transcripts/718779-investor-day-2026/) y resumen de HealthTech Nerds (18-sep-2026).</w:t>
      </w:r>
      <w:r>
        <w:t xml:space="preserve"> </w:t>
      </w:r>
      <w:r>
        <w:t xml:space="preserve">[7] StockAnalysis, previsiones de los analistas para OSCR (S&amp;P Global), 14-oct-2026.</w:t>
      </w:r>
      <w:r>
        <w:t xml:space="preserve"> </w:t>
      </w:r>
      <w:r>
        <w:t xml:space="preserve">[8] Yahoo Finance, API de gráficos de OSCR y SPY (diaria y mensual); FinancialContent, histórico de OSCR (cierre del 13-oct: 33,79 en las dos fuentes).</w:t>
      </w:r>
      <w:r>
        <w:t xml:space="preserve"> </w:t>
      </w:r>
      <w:r>
        <w:t xml:space="preserve">[9] StockTwits News, «OSCR Stock Hits 5-Year High» (8-jun-2026); prensa sobre la salida de Cigna de la ACA en 2027 y la de Aetna en 2026.</w:t>
      </w:r>
      <w:r>
        <w:t xml:space="preserve"> </w:t>
      </w:r>
      <w:r>
        <w:t xml:space="preserve">[10] SEC, formularios 4 de Oscar Health (junio-octubre de 2026): ventas de Bertolini, Schlosser, Blackley, Liang y Wittman; reparto de Thrive Capital.</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2026-10-14T20:16:28Z</dcterms:created>
  <dcterms:modified xsi:type="dcterms:W3CDTF">2026-10-14T20:16:28Z</dcterms:modified>
</cp:coreProperties>
</file>

<file path=docProps/custom.xml><?xml version="1.0" encoding="utf-8"?>
<Properties xmlns="http://schemas.openxmlformats.org/officeDocument/2006/custom-properties" xmlns:vt="http://schemas.openxmlformats.org/officeDocument/2006/docPropsVTypes"/>
</file>