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NextVision Stabilized Systems Ltd.</w:t>
      </w:r>
    </w:p>
    <w:p>
      <w:pPr>
        <w:spacing w:after="60"/>
        <w:rPr>
          <w:color w:val="52514E"/>
          <w:sz w:val="22"/>
          <w:szCs w:val="22"/>
        </w:rPr>
      </w:pPr>
      <w:r>
        <w:rPr>
          <w:color w:val="52514E"/>
          <w:sz w:val="22"/>
          <w:szCs w:val="22"/>
        </w:rPr>
        <w:t xml:space="preserve">NXSN · Bolsa de Tel Aviv (TASE) · ISIN IL0011765935 · Industria (defensa y aeroespacial)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60,42 USD (18.790,62 ILA)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57,35 USD (17.835,85 ILA)</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-4,1 % (base +1,2 %)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35,47 USD (11.031,17 ILA) · mercado 38,36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5.591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NextVision Stabilized Systems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NXSN / IL0011765935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Tel Aviv (TASE)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TA-125 (miembro del TA-35)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(defensa y aeroespacial) / Electrónica de defensa: cámaras para drones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Ra'anana (Israel)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https://www.nextvision-sys.com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60,42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43,02 – 131,64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 M USD/día (3 meses; 84 M ILS)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57,35 USD (17.835,85 ILA)</w:t>
      </w:r>
      <w:r>
        <w:t xml:space="preserve"> frente a 60,42 (18.790,62 ILA) · Rentabilidad a 12 meses </w:t>
      </w:r>
      <w:r>
        <w:rPr>
          <w:b/>
          <w:bCs/>
        </w:rPr>
        <w:t xml:space="preserve">-4,1 % (base +1,2 %)</w:t>
      </w:r>
      <w:r>
        <w:t xml:space="preserve"> · Valor intrínseco 35,47 USD (11.031,17 ILA) · con la prima implícita del mercado: 38,36 (11.929,96 ILA) (-36,5 %) · Alcista / bajista -42,0 % / -71,8 %</w:t>
      </w:r>
    </w:p>
    <w:p>
      <w:pPr>
        <w:spacing w:after="100"/>
      </w:pPr>
      <w:r>
        <w:rPr>
          <w:b/>
        </w:rPr>
        <w:t xml:space="preserve">La recomendación y por qué.</w:t>
      </w:r>
      <w:r>
        <w:t xml:space="preserve"> Mantener, con convicción media: no es una compra. La convicción es media porque la regla a 12 meses y la del valor intrínseco no piden comprar y la ponderada (−4,1 %) queda lejos de los umbrales de compra (+15 %) y de venta (−10 %); la subiría un 3T26 con cartera al alza y margen bruto del 70 %, y la bajaría que el precio se acerque a 64 USD o que la cartera siga bajando. El objetivo a 12 meses es de 57,35 USD (17.836 agorot; nuestro BPA de 2028e de 2,73 USD × el PER de la regla común), un −4,1 % de rentabilidad ponderada con dividendo y un +1,2 % en el caso base, frente a un precio de 60,42 USD (187,90 ILS, cierre del 19-oct-2026 en Tel Aviv). El valor intrínseco es de 35,47 USD (−41 %). Para comprar haría falta 35,47 USD o menos (≈ 110 ILS); para vender, más de ≈ 64 USD (≈ 200 ILS). La regla 13 da «descarta»: los fundadores han vendido en serie en 2026 [18, 19].</w:t>
      </w:r>
    </w:p>
    <w:p>
      <w:pPr>
        <w:spacing w:after="100"/>
      </w:pPr>
      <w:r>
        <w:rPr>
          <w:b/>
        </w:rPr>
        <w:t xml:space="preserve">El negocio.</w:t>
      </w:r>
      <w:r>
        <w:t xml:space="preserve"> NextVision diseña en Israel cámaras de día y noche muy ligeras y estabilizadas para drones pequeños y municiones merodeadoras, y las vende a los fabricantes de drones [1]. Ventas de 168 M USD en 2025 y 251 M en los 12 meses a junio de 2026, con un margen operativo del 60 % y casi sin capital: ROIC del 255 % frente a un WACC del 13,4 % [1, 4]. El crecimiento sale de la guerra de Ucrania y del rearme europeo (58 % de las ventas en Europa); tres clientes son dos tercios de las ventas [4].</w:t>
      </w:r>
    </w:p>
    <w:p>
      <w:pPr>
        <w:spacing w:after="100"/>
      </w:pPr>
      <w:r>
        <w:rPr>
          <w:b/>
        </w:rPr>
        <w:t xml:space="preserve">Finanzas.</w:t>
      </w:r>
      <w:r>
        <w:t xml:space="preserve"> Ventas ×11 de 2021 a 2025 y objetivo de 355 M USD en 2026 (155,5 M en el 1S26) [4, 9]. Caja neta de 591 M USD (10 % de la capitalización), sin deuda; reparte la mitad del beneficio [4]. Puntos débiles: el circulante (36 % de las ventas) crece más que las ventas, el margen bruto bajó del 72 % al 65 % y la cartera bajó en el 2T26 [4].</w:t>
      </w:r>
    </w:p>
    <w:p>
      <w:pPr>
        <w:spacing w:after="100"/>
      </w:pPr>
      <w:r>
        <w:rPr>
          <w:b/>
        </w:rPr>
        <w:t xml:space="preserve">Equipo y gobierno.</w:t>
      </w:r>
      <w:r>
        <w:t xml:space="preserve"> Han cumplido sus objetivos tres años seguidos [11]. Pero cobran un bonus del 2,5 % del beneficio antes de impuestos cada uno y, en 2026, los fundadores (presidente, consejero delegado, director técnico y dos consejeros) vendieron ≈ 326 M USD en dos tandas sin otro motivo que monetizar, y Fidelity salió del 5,5 % en octubre [1, 18, 21].</w:t>
      </w:r>
    </w:p>
    <w:p>
      <w:pPr>
        <w:spacing w:after="100"/>
      </w:pPr>
      <w:r>
        <w:rPr>
          <w:b/>
        </w:rPr>
        <w:t xml:space="preserve">Valoración.</w:t>
      </w:r>
      <w:r>
        <w:t xml:space="preserve"> El DCF da 27,98 USD y el DCF inverso dice que el precio descuenta un 36 % de crecimiento anual hasta 2033 con nuestro margen: el mercado sigue pagando un beneficio de máximo de ciclo como si fuera permanente. La regla a 12 meses es más benévola (base +1,2 %) porque parte del PER del mercado. El consenso (3,18 USD de BPA en 2027) está un 19 % por encima de nuestro 2,58 [24].</w:t>
      </w:r>
    </w:p>
    <w:p>
      <w:pPr>
        <w:spacing w:after="100"/>
      </w:pPr>
      <w:r>
        <w:rPr>
          <w:b/>
        </w:rPr>
        <w:t xml:space="preserve">Riesgos y catalizadores.</w:t>
      </w:r>
      <w:r>
        <w:t xml:space="preserve"> El mayor riesgo es el ciclo: un alto el fuego en Ucrania o la saturación de los fabricantes de drones europeos. Después, la concentración de clientes, los permisos de exportación israelíes, la competencia en precio, las ventas de fundadores y el riesgo de IA (±10 %: es parte del producto y abarata la competencia). Catalizador cercano: resultados del 3T26 (≈ 10-nov).</w:t>
      </w:r>
    </w:p>
    <w:p>
      <w:pPr>
        <w:spacing w:after="100"/>
      </w:pPr>
      <w:r>
        <w:rPr>
          <w:b/>
        </w:rPr>
        <w:t xml:space="preserve">Qué cambiaría la decisión.</w:t>
      </w:r>
      <w:r>
        <w:t xml:space="preserve"> Un precio por debajo de 35,47 USD con los fundadores sin vender seis meses, o un objetivo de 2027 por encima de 550 M USD con margen bruto del 70 % (subiría el valor intrínseco). Una cartera que siga bajando o un margen bruto por debajo del 63 % llevarían a Vender.</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57,35 USD (17.835,85 ILA)</w:t>
      </w:r>
      <w:r>
        <w:t xml:space="preserve"> (rentabilidad -4,1 % (base +1,2 %)) · Valor intrínseco: 35,47 USD (11.031,17 ILA) (-41,3 % sobre 60,42) · con la prima implícita del mercado: 38,36 (11.929,96 ILA) (-36,5 %)</w:t>
      </w:r>
    </w:p>
    <w:p>
      <w:pPr>
        <w:spacing w:after="100"/>
      </w:pPr>
      <w:r>
        <w:t xml:space="preserve">NextVision es un negocio excelente en un momento excelente: un líder de nicho que gana un 60 % de margen operativo vendiendo cámaras para drones en plena guerra de drones. El problema es el precio y quién vende: el mercado paga ≈ 24 veces un beneficio de máximo de ciclo, con tres clientes que son dos tercios de las ventas, márgenes que ya bajan y fundadores que venden en serie.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 USD (17.835,85 ILA)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1,67 = 17,20 · 22,2x × 2,73 = 60,61 · 27,0x × 3,37 = 90,99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124,37 (nuestro base -51,3 %)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 USD (11.031,17 ILA)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(ILA al tipo de 0,0032 USD por ILA)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60,42 USD (18.790,62 ILA)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 / -71,8 %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13,4 % y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38,36 USD (11.929,96 ILA)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frente a 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35,47 (11.031,17 ILA)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35,47 y 64,35 (11.031,17 y 20.012,85 ILA)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64,35 (20.012,85 ILA)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(ponderada −4,1 %, base +1,2 %). Además, el valor intrínseco (35,47 USD) está un 41 % por debajo del precio y la regla 13 da «descarta» por las ventas en serie de los fundadores: no se compra; quien ya la tenga no está obligado a vender por la regla.</w:t>
      </w:r>
    </w:p>
    <w:p>
      <w:pPr>
        <w:pStyle w:val="Heading2"/>
      </w:pPr>
      <w:r>
        <w:t xml:space="preserve">Qué cambiaría la recomendación</w:t>
      </w:r>
    </w:p>
    <w:p>
      <w:pPr>
        <w:pStyle w:val="ListParagraph"/>
        <w:numPr>
          <w:ilvl w:val="0"/>
          <w:numId w:val="2"/>
        </w:numPr>
        <w:spacing w:after="60"/>
      </w:pPr>
      <w:r>
        <w:t xml:space="preserve">Precio por debajo de 35,47 USD (≈ 110 ILS) y seis meses sin ventas de fundadores: Comprar.</w:t>
      </w:r>
    </w:p>
    <w:p>
      <w:pPr>
        <w:pStyle w:val="ListParagraph"/>
        <w:numPr>
          <w:ilvl w:val="0"/>
          <w:numId w:val="2"/>
        </w:numPr>
        <w:spacing w:after="60"/>
      </w:pPr>
      <w:r>
        <w:t xml:space="preserve">Precio por encima de ≈ 64 USD (≈ 200 ILS): Vender.</w:t>
      </w:r>
    </w:p>
    <w:p>
      <w:pPr>
        <w:pStyle w:val="ListParagraph"/>
        <w:numPr>
          <w:ilvl w:val="0"/>
          <w:numId w:val="2"/>
        </w:numPr>
        <w:spacing w:after="60"/>
      </w:pPr>
      <w:r>
        <w:t xml:space="preserve">Objetivo de 2027 por encima de 550 M USD con margen bruto ≥ 70 %: revisar al alza.</w:t>
      </w:r>
    </w:p>
    <w:p>
      <w:pPr>
        <w:pStyle w:val="ListParagraph"/>
        <w:numPr>
          <w:ilvl w:val="0"/>
          <w:numId w:val="2"/>
        </w:numPr>
        <w:spacing w:after="60"/>
      </w:pPr>
      <w:r>
        <w:t xml:space="preserve">Cartera por debajo de 230 M USD o margen bruto por debajo del 63 %: Vender.</w:t>
      </w:r>
    </w:p>
    <w:p>
      <w:pPr>
        <w:pStyle w:val="ListParagraph"/>
        <w:numPr>
          <w:ilvl w:val="0"/>
          <w:numId w:val="2"/>
        </w:numPr>
        <w:spacing w:after="60"/>
      </w:pPr>
      <w:r>
        <w:t xml:space="preserve">Recompra de acciones o compra de directivos: quita el «descarta» de la regla 13.</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las ventas crecen un 50 % en 2027 (561 M USD), que el margen se mantiene y que el ciclo de drones dura; los 4 analistas esperan ≈ 124 USD, el doble del precio.</w:t>
      </w:r>
    </w:p>
    <w:p>
      <w:pPr>
        <w:keepNext/>
        <w:spacing w:after="100"/>
      </w:pPr>
      <w:r>
        <w:rPr>
          <w:b/>
          <w:bCs/>
        </w:rPr>
        <w:t xml:space="preserve">Lo que creemos nosotros.</w:t>
      </w:r>
    </w:p>
    <w:p>
      <w:pPr>
        <w:spacing w:after="100"/>
      </w:pPr>
      <w:r>
        <w:t xml:space="preserve">El crecimiento de 2026 está asegurado, pero 2027 es más incierto (cartera a la baja, solo 35,5 M asignados en marzo) y el margen bajará con la competencia y la concentración. Con un descuento del 13,4 % el negocio vale ≈ 28-35 USD.</w:t>
      </w:r>
    </w:p>
    <w:p>
      <w:pPr>
        <w:keepNext/>
        <w:spacing w:after="100"/>
      </w:pPr>
      <w:r>
        <w:rPr>
          <w:b/>
          <w:bCs/>
        </w:rPr>
        <w:t xml:space="preserve">Por qué podemos tener razón.</w:t>
      </w:r>
    </w:p>
    <w:p>
      <w:pPr>
        <w:spacing w:after="100"/>
      </w:pPr>
      <w:r>
        <w:t xml:space="preserve">Los productos de defensa con márgenes del 60 % atraen competencia, y NextVision está al final de la cadena: cuando los fabricantes de drones se frenan, los pedidos de cámaras se frenan antes. Quienes mejor conocen la empresa están vendiendo.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y ROIC excepcionales</w:t>
      </w:r>
      <w:r>
        <w:t xml:space="preserve">: margen operativo del 60 % y ROIC del 255 %.</w:t>
      </w:r>
    </w:p>
    <w:p>
      <w:pPr>
        <w:pStyle w:val="ListParagraph"/>
        <w:numPr>
          <w:ilvl w:val="0"/>
          <w:numId w:val="2"/>
        </w:numPr>
        <w:spacing w:after="60"/>
      </w:pPr>
      <w:r>
        <w:rPr>
          <w:b/>
        </w:rPr>
        <w:t xml:space="preserve">Crecimiento asegurado en 2026</w:t>
      </w:r>
      <w:r>
        <w:t xml:space="preserve">: 155,5 M en el 1S26 y objetivo de 355 M (+111 %).</w:t>
      </w:r>
    </w:p>
    <w:p>
      <w:pPr>
        <w:pStyle w:val="ListParagraph"/>
        <w:numPr>
          <w:ilvl w:val="0"/>
          <w:numId w:val="2"/>
        </w:numPr>
        <w:spacing w:after="60"/>
      </w:pPr>
      <w:r>
        <w:rPr>
          <w:b/>
        </w:rPr>
        <w:t xml:space="preserve">Caja neta de 591 M USD</w:t>
      </w:r>
      <w:r>
        <w:t xml:space="preserve">: 10 % de la capitalización, sin deuda.</w:t>
      </w:r>
    </w:p>
    <w:p>
      <w:pPr>
        <w:pStyle w:val="ListParagraph"/>
        <w:numPr>
          <w:ilvl w:val="0"/>
          <w:numId w:val="2"/>
        </w:numPr>
        <w:spacing w:after="60"/>
      </w:pPr>
      <w:r>
        <w:rPr>
          <w:b/>
        </w:rPr>
        <w:t xml:space="preserve">Equipo que cumple</w:t>
      </w:r>
      <w:r>
        <w:t xml:space="preserve">: objetivos superados en 2024 y 2025.</w:t>
      </w:r>
    </w:p>
    <w:p>
      <w:pPr>
        <w:pStyle w:val="ListParagraph"/>
        <w:numPr>
          <w:ilvl w:val="0"/>
          <w:numId w:val="2"/>
        </w:numPr>
        <w:spacing w:after="60"/>
      </w:pPr>
      <w:r>
        <w:rPr>
          <w:b/>
        </w:rPr>
        <w:t xml:space="preserve">Ya ha caído un 52 %</w:t>
      </w:r>
      <w:r>
        <w:t xml:space="preserve"> desde el máximo de marzo de 2026.</w:t>
      </w:r>
    </w:p>
    <w:p>
      <w:pPr>
        <w:pStyle w:val="Heading2"/>
      </w:pPr>
      <w:r>
        <w:t xml:space="preserve">En contra</w:t>
      </w:r>
    </w:p>
    <w:p>
      <w:pPr>
        <w:pStyle w:val="ListParagraph"/>
        <w:numPr>
          <w:ilvl w:val="0"/>
          <w:numId w:val="2"/>
        </w:numPr>
        <w:spacing w:after="60"/>
      </w:pPr>
      <w:r>
        <w:rPr>
          <w:b/>
        </w:rPr>
        <w:t xml:space="preserve">Valor intrínseco de 35,47 USD</w:t>
      </w:r>
      <w:r>
        <w:t xml:space="preserve">: un 41 % por debajo del precio con un WACC del 13,4 %.</w:t>
      </w:r>
    </w:p>
    <w:p>
      <w:pPr>
        <w:pStyle w:val="ListParagraph"/>
        <w:numPr>
          <w:ilvl w:val="0"/>
          <w:numId w:val="2"/>
        </w:numPr>
        <w:spacing w:after="60"/>
      </w:pPr>
      <w:r>
        <w:rPr>
          <w:b/>
        </w:rPr>
        <w:t xml:space="preserve">Ciclo de defensa</w:t>
      </w:r>
      <w:r>
        <w:t xml:space="preserve">: 58 % de las ventas en Europa ligadas a Ucrania y al rearme.</w:t>
      </w:r>
    </w:p>
    <w:p>
      <w:pPr>
        <w:pStyle w:val="ListParagraph"/>
        <w:numPr>
          <w:ilvl w:val="0"/>
          <w:numId w:val="2"/>
        </w:numPr>
        <w:spacing w:after="60"/>
      </w:pPr>
      <w:r>
        <w:rPr>
          <w:b/>
        </w:rPr>
        <w:t xml:space="preserve">Concentración</w:t>
      </w:r>
      <w:r>
        <w:t xml:space="preserve">: tres clientes son el 66 % de las ventas; un proveedor el 58 % de las compras.</w:t>
      </w:r>
    </w:p>
    <w:p>
      <w:pPr>
        <w:pStyle w:val="ListParagraph"/>
        <w:numPr>
          <w:ilvl w:val="0"/>
          <w:numId w:val="2"/>
        </w:numPr>
        <w:spacing w:after="60"/>
      </w:pPr>
      <w:r>
        <w:rPr>
          <w:b/>
        </w:rPr>
        <w:t xml:space="preserve">Fundadores vendedores</w:t>
      </w:r>
      <w:r>
        <w:t xml:space="preserve">: ≈ 326 M USD vendidos en 2026, sin compras ni recompras.</w:t>
      </w:r>
    </w:p>
    <w:p>
      <w:pPr>
        <w:pStyle w:val="ListParagraph"/>
        <w:numPr>
          <w:ilvl w:val="0"/>
          <w:numId w:val="2"/>
        </w:numPr>
        <w:spacing w:after="60"/>
      </w:pPr>
      <w:r>
        <w:rPr>
          <w:b/>
        </w:rPr>
        <w:t xml:space="preserve">Margen bruto y cartera a la baja</w:t>
      </w:r>
      <w:r>
        <w:t xml:space="preserve"> en el 2T26.</w:t>
      </w:r>
    </w:p>
    <w:p>
      <w:pPr>
        <w:pStyle w:val="Heading2"/>
      </w:pPr>
      <w:r>
        <w:t xml:space="preserve">Qué tiene que pasar para que la tesis funcione</w:t>
      </w:r>
    </w:p>
    <w:p>
      <w:pPr>
        <w:spacing w:after="100"/>
      </w:pPr>
      <w:r>
        <w:t xml:space="preserve">La tesis del mercado depende de que 2027 crezca un 50 % con margen estable. Las señales en contra serían una cartera que siga bajando en el 3T26, un margen bruto por debajo del 65 %, un objetivo de 2027 por debajo de 450 M USD o nuevas ventas de los fundadores.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 M USD (9-ago-2026)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frente a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primer cliente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355 M exige ≈ 100 M por trimestre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fundadores y directivos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326 M USD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venta nueva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 13.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 · -3,9x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NextVision la fundaron en 2009 Chen Golan, Boris Kipnis y Yosef Sandler en Israel para hacer cámaras estabilizadas mucho más ligeras que las de la industria militar, pensadas para drones pequeños [1]. Durante una década fue una empresa pequeña de ingeniería (4,5 M USD de ventas en 2019) que vendía a fabricantes de drones de todo el mundo [11]. Salió a la bolsa de Tel Aviv en 2021 con 15 M de ventas [3]. La guerra de Ucrania (2022) convirtió los drones pequeños en arma principal y las ventas se multiplicaron: 26 M en 2022, 52 M en 2023, 115 M en 2024 y 168 M en 2025, con márgenes operativos del 60 % [1, 2]. En septiembre de 2025 colocó 9,5 M de acciones nuevas entre inversores globales (≈ 414 M USD) y en noviembre entró en el TA-35 [10, 31]. 2026 trajo un objetivo de 355 M USD de ventas, un máximo en bolsa en marzo y, desde entonces, ventas de los fundadores y de Fidelity [18,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Israel por Chen Golan, Boris Kipnis y Yosef Sandler.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Tel Aviv; ventas de 15 M USD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Ucrania: los drones pequeños pasan a ser arma principal; ventas de 26 M USD (+73 %)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114,9 M USD (+121 %), por encima del objetivo de 110 M [2,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168,4 M USD; oferta global de ≈ 414 M USD a 146 ILS; entrada en el TA-35 [1, 10,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355 M USD; máximo en bolsa (394 ILS) en marzo; ventas de los fundadores (enero y junio) y de Fidelity (octubre) [9, 18,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NextVision diseña y fabrica en Israel cámaras estabilizadas de día y noche muy ligeras (de decenas a pocos cientos de gramos) que se montan en drones pequeños, municiones merodeadoras, robots y vehículos, más el ordenador TRIP que procesa el vídeo con seguimiento automático e IA a bordo [1]. Fundada en 2009, salió a la bolsa de Tel Aviv en 2021; 164 empleados en marzo de 2026 [1].</w:t>
      </w:r>
    </w:p>
    <w:p>
      <w:pPr>
        <w:pStyle w:val="Heading2"/>
      </w:pPr>
      <w:r>
        <w:t xml:space="preserve">Cómo gana dinero</w:t>
      </w:r>
    </w:p>
    <w:p>
      <w:pPr>
        <w:spacing w:after="100"/>
      </w:pPr>
      <w:r>
        <w:t xml:space="preserve">Vende cámaras a fabricantes de drones (≈ 95 % de las ventas) por pedidos sueltos, con un margen bruto del 65-72 %; los gastos de estructura son pequeños (I+D 5,5 M, comercial 1,9 M y administración 8,7 M USD en 2025), así que el margen operativo pasa del 60 % [1]. Subcontrata la fabricación de placas y compra los sensores: el capital necesario es circulante (existencias de componentes), no fábricas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Cámaras estabilizadas para drones y plataformas terrestres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Cámaras estabilizadas para drones y plataformas terrestres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y creciente: en el 1S26 el cliente A fue el 26,7 % de las ventas, el B el 20,6 % y el C el 18,6 % (≈ 66 % los tres; 46,5 % en 2025) [1, 4]. Son fabricantes de drones europeos y norteamericanos que la empresa no nombra; ≈ 95 % de las ventas van a fabricantes (OEM) que integran la cámara en su plataforma, sin contratos a largo plazo: se vende por pedidos de semanas o meses [1]. 204 clientes en 38 países en 2025 y más de 400 a lo largo de los años [1]. Europa fue el 58 % de las ventas del 1S26 (demanda ligada a la guerra de Ucrania y al rearme europeo), Norteamérica el 27 % e Israel el 9 % [4]. Poder de precios: el margen bruto del 65-72 % muestra que el producto se cobra caro, pero la bajada del 2T26 apunta a descuentos por volumen a los grandes clientes [4,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155,5 (+112 %); objetivo 2026: 355 [1,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65 % en el 2T26; objetivo 65-72 %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 (31-dic-25)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 (9-ago-26)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288,0 M el 10-mar-26: bajó en el 2T; 110,4 M un año antes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204 clientes en 38 países en 2025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tres mayores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26,7 %, B 20,6 %, C 18,6 % en el 1S26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(cámaras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2.000-2.400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plan &gt; 4.000-5.000 a final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europea y nave nueva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cámaras estabilizadas de día y noche (EO/IR) para drones pequeños y medianos, municiones merodeadoras y robots, sobre todo de uso militar y de seguridad. Se mide con el mercado de cámaras para drones de Fortune Business Insights que cita la empresa (12.650 M USD en 2025), que incluye cámaras civiles y de consumo: el nicho militar de alta gama en el que compite NextVision es una parte menor, sin cifra publicada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12.650 M USD en 2025 (cámaras para drones, todos los usos)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Fortune Business Insights; 2027e-2028e interpolados al +17,6 % anual que prevé el estud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Ucrania y rearme europeo (drones baratos y desechables)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es el 56-58 % de las ventas; las ventas se multiplicaron por 11 entre 2021 y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de drones de EE. UU. («Unleashing American Drone Dominance», junio de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presidencial para comprar drones baratos a gran escala; Norteamérica es el 27-29 % de las ventas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de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Israel (9-11 % de las ventas) pero también riesgo para la producción en Israel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y precio (nuevos fabricantes, integración vertical de los fabricantes de drones)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72 % (2024) al ≈ 65 % (2T26); los inversores temen la competencia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Alto el fuego o fin de la guerra de Ucrania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Bajaría la urgencia de compra europea, aunque el rearme de la OTAN seguiría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diez competidores principales, casi todos privados; NextVision gana en peso y tamaño por alcance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son el 66 % de las ventas del 1S26 y compran por pedidos, sin contratos largos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proveedor es el 58 % de las compras; los sensores térmicos están limitados por control de exportación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Miniaturizar la estabilización y el sensor es difícil, pero la demanda atrae capital y fabricantes de drones que integran su propia cámara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Cámaras fijas baratas sin estabilizar en drones FPV de un solo uso; no sirven para vigilancia de largo alcance [15].</w:t>
            </w:r>
          </w:p>
        </w:tc>
      </w:tr>
    </w:tbl>
    <w:p>
      <w:pPr>
        <w:spacing w:after="160" w:before="0"/>
      </w:pPr>
    </w:p>
    <w:p>
      <w:pPr>
        <w:pStyle w:val="Heading2"/>
      </w:pPr>
      <w:r>
        <w:t xml:space="preserve">Ciclo</w:t>
      </w:r>
    </w:p>
    <w:p>
      <w:pPr>
        <w:spacing w:after="100"/>
      </w:pPr>
      <w:r>
        <w:t xml:space="preserve">El ciclo de defensa está en máximos: guerra de Ucrania en su quinto año, rearme europeo (objetivo de la OTAN del 3,5 % + 1,5 % del PIB) y programas de drones de EE. UU. [1, 15]. NextVision vende a fabricantes de drones que reciben esos pedidos, así que está al final de la cadena y amplifica el ciclo: cuando los fabricantes acumulan existencias, los pedidos de cámaras se frenan antes. La bajada de la cartera en el 2T26 es la primera señal a vigilar.</w:t>
      </w:r>
    </w:p>
    <w:p>
      <w:pPr>
        <w:pStyle w:val="Heading2"/>
      </w:pPr>
      <w:r>
        <w:t xml:space="preserve">Regulación</w:t>
      </w:r>
    </w:p>
    <w:p>
      <w:pPr>
        <w:spacing w:after="100"/>
      </w:pPr>
      <w:r>
        <w:t xml:space="preserve">Las exportaciones necesitan licencia del Ministerio de Defensa de Israel (DECA) para los productos de defensa y del Ministerio de Economía para los de doble uso; la empresa dice que nunca le han denegado una licencia, pero cada pedido militar grande está sujeto a aprobación (el de 24 M USD del 6-oct-2026 lo está) [1]. Riesgos: que Israel restrinja exportaciones a ciertos países por razones políticas, que algunos países europeos limiten compras a Israel (España, Eslovenia, Países Bajos han restringido comercio de defensa) y que los sensores térmicos importados (Francia, EE. UU.) necesiten licencias de su origen [1, P1].</w:t>
      </w:r>
    </w:p>
    <w:p>
      <w:pPr>
        <w:pStyle w:val="Heading2"/>
      </w:pPr>
      <w:r>
        <w:t xml:space="preserve">Tendencias y disrupción</w:t>
      </w:r>
    </w:p>
    <w:p>
      <w:pPr>
        <w:spacing w:after="100"/>
      </w:pPr>
      <w:r>
        <w:t xml:space="preserve">Drones baratos y en masa (municiones merodeadoras, interceptores, enjambres), visión por computador e IA a bordo (seguimiento automático de objetivos, navegación sin GPS), fabricación cerca del cliente (planta europea) y exigencia de cadena de suministro «sin China» en EE. UU. y la OTAN [1,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de nicho en cámaras estabilizadas ligeras para drones pequeños militares; cuota ≈ 1,3 % del mercado amplio de cámaras para drones (168 M de 12.650 M USD en 2025; estimación propia)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Débil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Trillium Engineering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Gimbals HD25 y HD55; el competidor más citado en EE. UU.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Edge Autonomy / Octopus (de Redwire)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Letonia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Cámaras Octopus; integrada en un grupo de defensa espacial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Controp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Cámaras refrigeradas de mayor tamaño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Hood Tech Vision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Cámaras refrigeradas y sin refrigerar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Micro-con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Gimbals ligeros competidores directos en peso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Teledyne FLIR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de sensores térmicos y fabricante de cámaras y drones pequeños; referencia cotizada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de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cámara se integra en el piloto automático y el enlace del dron (TRIP, «plug and play»); cambiarla exige recalificar la plataforma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estabilización hasta 2030-2031 y licencias de exportación israelíes; no impiden copiar el concepto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65-72 % con 164 empleados: escala y diseño propio, pero el margen ya baja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en crecimiento: caben muchos competidores [2].</w:t>
            </w:r>
          </w:p>
        </w:tc>
      </w:tr>
    </w:tbl>
    <w:p>
      <w:pPr>
        <w:spacing w:after="160" w:before="0"/>
      </w:pPr>
    </w:p>
    <w:p>
      <w:pPr>
        <w:pStyle w:val="Heading2"/>
      </w:pPr>
      <w:r>
        <w:t xml:space="preserve">Amenazas</w:t>
      </w:r>
    </w:p>
    <w:p>
      <w:pPr>
        <w:spacing w:after="100"/>
      </w:pPr>
      <w:r>
        <w:t xml:space="preserve">Lo que más puede erosionar la posición es la competencia en precio: el éxito (márgenes del 60 % sobre ventas) atrae a fabricantes europeos, estadounidenses y a los propios fabricantes de drones que integran su cámara, y el margen bruto ya ha bajado siete puntos [1, 17]. Segundo, la concentración: tres clientes son dos tercios de las ventas y compran sin contrato largo [1]. Tercero, los permisos: un cambio de política de exportación israelí o un veto europeo a proveedores israelíes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2021-2025: ingresos </w:t>
      </w:r>
      <w:r>
        <w:rPr>
          <w:b/>
          <w:bCs/>
        </w:rPr>
        <w:t xml:space="preserve">82,9 %</w:t>
      </w:r>
      <w:r>
        <w:t xml:space="preserve">, EBITDA </w:t>
      </w:r>
      <w:r>
        <w:rPr>
          <w:b/>
          <w:bCs/>
        </w:rPr>
        <w:t xml:space="preserve">95,9 %</w:t>
      </w:r>
      <w:r>
        <w:t xml:space="preserve">, BPA </w:t>
      </w:r>
      <w:r>
        <w:rPr>
          <w:b/>
          <w:bCs/>
        </w:rPr>
        <w:t xml:space="preserve">97,5 %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15,0 M USD en 2021 a 168,4 M en 2025 (TCAC del 85 %) y a 250,7 M en los 12 meses a junio de 2026; el 1S26 creció un 112 % (155,5 M frente a 73,2 M) [1, 4]. Todo es crecimiento orgánico de un solo producto: cámaras estabilizadas de día y noche (gimbals EO/IR) para drones pequeños, vendidas a fabricantes de drones (≈ 95 % de las ventas) [1]. El margen bruto pasó del 62,6 % de 2021 al 72,1 % de 2024 y bajó al 69,8 % en 2025 y al ≈ 65 % en el 2T26 por la mezcla y el volumen; el objetivo de la empresa es del 65-72 % [1, 4, 7]. El margen EBITDA fue del 61,7 % en 2025 y del 58,7 % en el 1S26 [1, 4]. El beneficio neto incluye unos ingresos financieros altos por la caja de la ampliación de 2025 (13,5 M en 2025 y 12,3 M en el 1S26) y un impuesto bajo (≈ 10-12 %: empresa tecnológica preferente) [1, 4].</w:t>
      </w:r>
    </w:p>
    <w:p>
      <w:pPr>
        <w:pStyle w:val="Heading2"/>
      </w:pPr>
      <w:r>
        <w:t xml:space="preserve">Ajustes y partidas no recurrentes</w:t>
      </w:r>
    </w:p>
    <w:p>
      <w:pPr>
        <w:spacing w:after="100"/>
      </w:pPr>
      <w:r>
        <w:t xml:space="preserve">Sin ajustes al resultado: no hay amortización de intangibles comprados, deterioros ni reestructuración. Únicos no recurrentes: 0,221 M USD de gastos de la salida a bolsa en 2021. Los pagos en acciones (opciones a empleados y directivos) son gasto dentro del EBIT. El BPA es el diluido publicado; el de 2025 se diluye por las 9,5 M de acciones nuevas de septiembre de 2025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naturales. EBITDA = resultado de explotación + amortizaciones (repartidas por igual dentro de cada semestre: estimación propia); BPA diluido publicado (2T25 y 4T25 por diferencia de acumulados) [1, 4, 5, 6]. En el 2T26 (10-ago-2026) las ventas fueron de 88,2 M USD (+138 %) y el beneficio de 53,6 M; la empresa subió el objetivo de ingresos de 2026 por segunda vez, de 315 a 355 M USD (era de 275 M en enero), con un margen bruto del ≈ 65 % (≈ 72 % un año antes) y una cartera de pedidos que bajó de 288,0 M (10-mar) a 265,2 M (9-ago) [4, 7, 9]. El 3T25 y el 4T25 crecieron un 62 % y un 57 %. No hay consenso trimestral publicado con el que comparar.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591,5 M USD a junio de 2026, el 10 % de la capitalización [4]. El circulante comercial (existencias + clientes − proveedores) es alto y crece: 33,9 % de las ventas en 2025 (57,0 M) y 89,9 M a junio de 2026 (35,9 % de las ventas de 12 meses), porque la empresa compra componentes por adelantado (sensores térmicos, placas) para asegurar el suministro y el plazo [1, 4]. Las existencias pasaron de 22,4 M en 2024 a 53,6 M en 2025 y 71,7 M en junio de 2026; los clientes, de 12,1 M a 40,5 M en seis meses [4]. Los anticipos de clientes (34,1 M) compensan parte. El patrimonio (671,9 M en junio de 2026) es casi todo caja más circulante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164</w:t>
      </w:r>
      <w:r>
        <w:t xml:space="preserve">, conversión </w:t>
      </w:r>
      <w:r>
        <w:rPr>
          <w:b/>
          <w:bCs/>
        </w:rPr>
        <w:t xml:space="preserve">76 %</w:t>
      </w:r>
      <w:r>
        <w:t xml:space="preserve"> del beneficio neto; adquisiciones 0, dividendos 57, recompras 0.</w:t>
      </w:r>
    </w:p>
    <w:p>
      <w:pPr>
        <w:spacing w:after="100"/>
      </w:pPr>
      <w:r>
        <w:t xml:space="preserve">El flujo operativo fue de 63,6 M USD en 2025 frente a un beneficio de 103,7 M: el circulante consumió ≈ 45 M (existencias +31 M) [1]. En el 1S26 el flujo operativo subió a 75,2 M con 91,9 M de beneficio [4]. La inversión es mínima: 2,8 M en 2025 (1,7 % de las ventas, inmovilizado y desarrollo capitalizado) y 2,6 M en el 1S26 [1, 4]; la nueva nave y la planta europea se alquilan. El flujo libre de los 12 meses a junio de 2026 es de ≈ 118 M USD. Los dividendos (33,2 M en 2025 y 51,8 M en marzo de 2026, 0,563 USD por acción) siguen la política de repartir hasta el 50 % del beneficio [1, 4]. La emisión de 2025 (402 M netos) es la oferta global; no hay recompras.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Ziv Haft (BDO Israel)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y limpias: ingresos por venta de producto reconocidos en la entrega, sin compras de empresas, sin deuda y sin ajustes al beneficio [1]. Lo que hay que vigilar es el circulante: existencias y clientes crecen más deprisa que las ventas (circulante del 23 % de las ventas en 2023, 20 % en 2024, 34 % en 2025 y 36 % en junio de 2026), y el flujo operativo de 2025 fue el 61 % del beneficio [1, 4]. La empresa lo explica por compras anticipadas de componentes ante la escasez de sensores; los anticipos de clientes (34,1 M) lo compensan en parte [4]. Concentración: un proveedor (placas electrónicas) es el 57,9 % de las compras de 2025 [1]. El ingreso financiero (13,5 M en 2025, 8 % del beneficio antes de impuestos) depende de la caja y de los tipos.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creciendo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 clientes − proveedores: 20 % de las ventas en 2024, 34 % en 2025, 36 % en junio de 2026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por debajo del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 M frente a 103,7 M en 2025; 75,2 M frente a 91,9 M en el 1S26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72,1 % (2024) al 69,8 % (2025) y ≈ 65 % (2T26)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Dependencia de un proveedor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A (placas electrónicas) = 57,9 % de las compras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277,4 % · </w:t>
      </w:r>
      <w:r>
        <w:rPr>
          <w:b/>
          <w:bCs/>
        </w:rPr>
        <w:t xml:space="preserve">WACC</w:t>
      </w:r>
      <w:r>
        <w:t xml:space="preserve">: 13,4 %.</w:t>
      </w:r>
    </w:p>
    <w:p>
      <w:pPr>
        <w:spacing w:after="100"/>
      </w:pPr>
      <w:r>
        <w:t xml:space="preserve">La rentabilidad sobre el capital operativo es extraordinaria: el ROIC fue del 255 % en 2025 (470 % en 2024) frente a un WACC del 13,4 %, porque el negocio casi no necesita capital fijo (0,9 M USD de inmovilizado y 4,9 M de desarrollo capitalizado) y el capital invertido es sobre todo circulante [1]. El ROE (27,5 % en 2025) es mucho menor porque el patrimonio es casi todo caja de la ampliación de 2025 (562 M) que rinde un 4 % [1]. La pregunta no es si gana mucho sobre el capital, sino cuánto dura: el margen bruto ya bajó del 72 % al 65 % y el ROIC depende de un margen operativo del 60 % que la competencia puede recortar [4, 17]. Aun con un margen EBITDA del 40 % en 2033e el ROIC seguiría muy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depósitos y activos financieros de 591,5 M USD a 30-jun-2026 (20,3 M de efectivo y 571,1 M de depósitos y activos financieros), sin deuda ni líneas de crédito dispuestas; arrendamientos de 5,2 M [4]. La caja viene sobre todo de la oferta global de septiembre de 2025: 9,5 M de acciones nuevas a 146 ILS (≈ 414 M USD brutos)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(no tiene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Anticipos de clientes dentro de otras cuentas a pagar: 34,1 M USD a 30-jun-2026 [4]. Sin litigios relevantes [1]. Compromisos de compra con proveedores por los pedidos en curso.</w:t>
      </w:r>
    </w:p>
    <w:p>
      <w:pPr>
        <w:pStyle w:val="Heading1"/>
      </w:pPr>
      <w:r>
        <w:t xml:space="preserve">12. Asignación de capital</w:t>
      </w:r>
    </w:p>
    <w:p>
      <w:pPr>
        <w:pStyle w:val="Confianza"/>
        <w:spacing w:after="100"/>
      </w:pPr>
      <w:r>
        <w:t xml:space="preserve">Confianza: Media</w:t>
      </w:r>
    </w:p>
    <w:p>
      <w:pPr>
        <w:spacing w:after="100"/>
      </w:pPr>
      <w:r>
        <w:t xml:space="preserve">Dividendo de hasta el 50 % del beneficio anual (0,563 USD por acción pagados en marzo de 2026 sobre el beneficio de 2025) [1, 4]. Sin recompras. La caja de la oferta de 2025 se destina, según la empresa, a capacidad de producción (planta europea, nave nueva de ≈ 5.000 m²), inventario estratégico y posibles compras de empresas o tecnología [7,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empresa ha crecido sin comprar empresas y con muy poca inversión: 2,8 M USD de capex en 2025 para 168 M de ventas [1]. La gran decisión de capital fue la oferta global de septiembre de 2025 (≈ 414 M USD a 146 ILS): diluyó un ≈ 11,6 % cuando la acción cotizaba a ≈ 3,5 veces menos que el máximo de marzo de 2026 y dejó 591,5 M de caja sin destino concreto, que hoy rinde ≈ 4 % [4, 10]. Desde entonces la empresa reparte la mitad del beneficio y no recompra pese a la caída del 52 % desde el máximo, mientras los fundadores venden [15]. Ninguna compra anunciada en 12 meses; la dirección de desarrollo corporativo (Danielle Alexandrov) sugiere que se buscan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Golan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ejecutivo (con contrato de gestión)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 el consejo y dirige la estrategia y la relación con los grandes clientes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Grosman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las operaciones y la expansión de capacidad; cobra un bonus del 2,5 % del beneficio antes de impuestos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Boris Kipnis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y director técnico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del diseño de las cámaras y del ordenador TRIP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Lavie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las cuentas en USD y la relación con inversores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Liran Reller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y cadena de suministro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ingresos de 110 M USD (marzo de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ingresos de 160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M USD (enero) → 315 M (mayo) → 355 M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155,5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El equipo ha cumplido y superado sus objetivos de ingresos tres años seguidos y ha multiplicado las ventas por 11 en cuatro años sin endeudarse [7, 11]. Los incentivos son muy fuertes a corto plazo: Golan, Kipnis y Grosman cobran cada uno un bonus del 2,5 % del beneficio antes de impuestos (7,5 % entre los tres), lo que en 2025 dio una remuneración de 9,9 M ILS a Grosman y 5,7 M a cada uno de los otros dos [1]. Eso premia vender más este año, no el margen a largo plazo ni la asignación de la caja. Los fundadores llevan años vendiendo acciones [19, 20, 22].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Golan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Boris Kipnis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técnico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Yosef Sandler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(accionista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Nachman Benchaya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(inversor inicial)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Tamar Landa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Rita Baal Taxa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Sarit Cohen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326,40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Yosef Sandler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 M de acciones en enero de 2026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Menora Mivtachim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Migdal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Golan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colocación de junio de 2026 [1,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9,9 % al ≈ 4 % el 5-oct-2026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Boris Kipnis (director técnico)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6,59 % de los votos; vendió en junio de 2026 [1,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Nachman Benchaya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en junio de 2026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Golan, Grosman, Kipnis y Benchaya (colocación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Yosef Sandler (consejero fundador)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Chen Golan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Michael Grosman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350.878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Coste total de 2025 (informe anual, en ILS): Grosman 9,90 M ILS (≈ 2,9 M USD), Golan y Kipnis 5,74 M ILS cada uno (≈ 1,7 M USD) [1]. Casi todo es el bonus del 2,5 % del beneficio antes de impuestos de cada uno, sin objetivos de margen, de rentabilidad sobre el capital ni de plazo largo: es variable ligado al beneficio del año, no a la rentabilidad del accionista [1]. Los contratos de gestión de los fundadores son operaciones vinculadas aprobadas por la junta [1].</w:t>
      </w:r>
    </w:p>
    <w:p>
      <w:pPr>
        <w:pStyle w:val="Heading2"/>
      </w:pPr>
      <w:r>
        <w:t xml:space="preserve">Operaciones vinculadas, estructura de control y defensas</w:t>
      </w:r>
    </w:p>
    <w:p>
      <w:pPr>
        <w:spacing w:after="100"/>
      </w:pPr>
      <w:r>
        <w:t xml:space="preserve">Sin accionista de control: el bloque de fundadores (Sandler, Golan, Kipnis, Benchaya, Grosman) suma ≈ 15 % antes de la colocación de junio de 2026 y las aseguradoras israelíes (Menora, Harel, Migdal) ≈ 16 % [1]. Una acción, un voto (salvo acciones con más voto de Kipnis por un acuerdo de voto: 6,59 % de los votos). Tres consejeros independientes de siete; el presidente es ejecutivo y fundador [1].</w:t>
      </w:r>
    </w:p>
    <w:p>
      <w:pPr>
        <w:pStyle w:val="Heading2"/>
      </w:pPr>
      <w:r>
        <w:t xml:space="preserve">Señales de alerta</w:t>
      </w:r>
    </w:p>
    <w:p>
      <w:pPr>
        <w:pStyle w:val="ListParagraph"/>
        <w:numPr>
          <w:ilvl w:val="0"/>
          <w:numId w:val="2"/>
        </w:numPr>
        <w:spacing w:after="60"/>
      </w:pPr>
      <w:r>
        <w:t xml:space="preserve">Ventas de los fundadores en serie: bloques fuera de bolsa desde 2023, 1,77 M de acciones (≈ 126 M USD) en enero de 2026 a 228 ILS y una colocación de ≈ 200 M USD en junio de 2026, con «monetización parcial» y «liquidez» como únicos motivos declarados; el bloqueo de 90 días venció a mediados de septiembre [18, 19, 20].</w:t>
      </w:r>
    </w:p>
    <w:p>
      <w:pPr>
        <w:pStyle w:val="ListParagraph"/>
        <w:numPr>
          <w:ilvl w:val="0"/>
          <w:numId w:val="2"/>
        </w:numPr>
        <w:spacing w:after="60"/>
      </w:pPr>
      <w:r>
        <w:t xml:space="preserve">Fidelity, el mayor institucional extranjero, vendió el 5,5 % del capital fuera de bolsa el 5-oct-2026 con descuento (por un cambio de política del fondo, según fuentes de la operación) [21].</w:t>
      </w:r>
    </w:p>
    <w:p>
      <w:pPr>
        <w:pStyle w:val="ListParagraph"/>
        <w:numPr>
          <w:ilvl w:val="0"/>
          <w:numId w:val="2"/>
        </w:numPr>
        <w:spacing w:after="60"/>
      </w:pPr>
      <w:r>
        <w:t xml:space="preserve">Bonus del 2,5 % del beneficio antes de impuestos para cada uno de los tres ejecutivos fundadores: incentivo a corto plazo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 de ingresos de 2026 de 355 M USD (+111 %), fijado por el consejo el 9-ago-2026 tras subirlo de 275 M (enero) a 315 M (mayo); la empresa insiste en que es un objetivo, no una previsión. Margen bruto objetivo del 65-72 % [7]. No da guía de beneficio ni de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3 analistas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3 analistas (rango de BPA 2,55-4,21)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90,10 – 142,79</w:t>
            </w:r>
          </w:p>
        </w:tc>
      </w:tr>
    </w:tbl>
    <w:p>
      <w:pPr>
        <w:spacing w:after="160" w:before="0"/>
      </w:pPr>
    </w:p>
    <w:p>
      <w:pPr>
        <w:pStyle w:val="Heading2"/>
      </w:pPr>
      <w:r>
        <w:t xml:space="preserve">Revisiones de estimaciones</w:t>
      </w:r>
    </w:p>
    <w:p>
      <w:pPr>
        <w:spacing w:after="100"/>
      </w:pPr>
      <w:r>
        <w:t xml:space="preserve">El BPA de 2026 del consenso subió de 1,87 USD hace 90 días a 2,18 y el de 2027 de 2,45 a 3,18 (+30 %), tras el 2T26 y la subida del objetivo a 355 M [24]. El objetivo medio (38.680 agorot ≈ 124 USD) dobla el precio, pero son solo 4 analistas, casi todos locales; Freedom Broker subió el suyo a 421 ILS [24, 30]. Los bancos de la colocación de junio (Jefferies, UBS, Needham) no publican cobertura abierta [18].</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multiplicó por siete entre finales de 2023 y finales de 2025 (+102 % en 2024 y +247 % en 2025, frente al +29 % y +51 % del TA-125) y llegó a 394 ILS en marzo de 2026; desde entonces ha caído un 52 % hasta 187,90 ILS (−10,5 % en el año frente al +11,4 % del índice) [23]. Rentabilidades de precio (el TA-125 no lleva dividendos). Volatilidad anual del 63 % y caída máxima del 54 % (2-mar a 15-oct-2026). Beta mensual de 1,23 frente al TA-125 con 41 meses (ajustada 1,15); la semanal de 2 años es de 1,45 [23]. La historia en Yahoo empieza en mayo de 2023: los datos de 3 años son de 3,4 años y no hay serie de 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 -17,4 % / -38,8 % / +36,3 %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 / +37,1 %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descarta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Que los fundadores y directivos pasen al menos seis meses sin vender (o compren, o la empresa recompre con su caja de 591 M USD), y rehacer el informe con los resultados del 3T26.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60 M USD, el segundo mayor de su historia (+7,7 % ese día, según Calcalist) y +17,5 % el 16-dic («Next Vision soars», Globes); aprobación regulatoria del pedido de 30 M a tres años el 31-dic; entrada en el TA-35 en noviembre [31,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ingresos de 2026 de 275 M USD (+63 %) el 5-ene y nuevos pedidos; ventas de fundadores fuera de bolsa a 228 ILS el 11-ene sin efecto en el precio [7,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sin nota concreta de la empresa: compras de fondos y ETF de drones antes de los resultados de 2025, en pleno auge del sector de defensa europeo; causa concreta no encontrada en tres búsquedas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394 ILS el 2-mar y caída tras los resultados de 2025 (10-mar, −8,7 % ese día): margen bruto del 69,8 % frente al 72,1 % y dividendo de 0,563 USD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−7,4 % (6-may y 13-may) alrededor del 1T26 pese a subir el objetivo a 315 M: rotación del sector de defensa y temor a la competencia en precios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 200 M USD de los fundadores (Golan, Grosman, Kipnis, Benchaya) el 17-18-jun con descuento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pasen seis meses sin ventas de directivos o fundadores, o que compren o la empresa recompre.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 (1 mes al 13-jul)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Continuación de la caída tras la colocación (sobreoferta de papel recién colocado) y del sector de defensa europeo; sin noticia de la empresa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(10-ago): ventas +138 % y objetivo subido a 355 M, pero margen bruto del ≈ 65 % y cartera de 265,2 M frente a 288,0 M en marzo: −6,7 % ese día [7,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con pedidos (3,5 M el 29-sep, aprobación de 2,7 M el 8-sep) y del sector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vende el 5,5 % del capital fuera de bolsa con descuento el 5-oct (cambio de política del fondo, según fuentes de la operación): −12,7 % el 6-oct y −11,4 % el 7-oct [21,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(el 3T25 se publicó el 10-nov-2025); sin confirmar por la empresa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24 M USD de un cliente existente para entregar de enero a junio de 2027, pendiente de aprobación regulatoria (licencia de exportación)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Fidelity (FMR) vende el 5,5 % del capital fuera de bolsa con descuento y se queda con ≈ 4 %; motivo citado: cambio de política del fondo. Sigue siendo un posible vendedor del resto [21,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el bloqueo de 90 días de la colocación de junio: los fundadores (≈ 13 % del capital) pueden volver a vender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meses sin ventas de fundadores o compras de directivos.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Freedom Broker sube el objetivo a 421 ILS (Comprar); objetivo medio de 4 analistas de 386,80 ILS [24,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de 88,2 M USD (+138 %), objetivo de 2026 subido a 355 M, margen bruto del ≈ 65 % y cartera a la baja (265,2 M); −7 % [7,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 200 M USD de acciones de los fundadores y del consejero delegado (≈ 2,2 % del capital), con «monetización parcial» y «ampliar la base de inversores» como motivos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meses sin ventas de fundadores o compras de directivos.</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fuera de bolsa a 228 ILS: Sandler 1 M de acciones, Golan 416.667 y Grosman 350.878 (≈ 126 M USD)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descarta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meses sin ventas de fundadores o compras de directivos.</w:t>
            </w:r>
          </w:p>
        </w:tc>
      </w:tr>
    </w:tbl>
    <w:p>
      <w:pPr>
        <w:spacing w:after="160" w:before="0"/>
      </w:pPr>
    </w:p>
    <w:p>
      <w:pPr>
        <w:spacing w:after="100"/>
      </w:pPr>
      <w:r>
        <w:t xml:space="preserve">La acción está un 52 % por debajo del máximo de marzo y un 30 % bajo la media de 200 sesiones (aviso P5, tendencia bajista). La caída tiene tres causas con fuente: (1) las ventas de los fundadores (enero y junio de 2026), (2) los resultados del 2T26 con menos margen bruto y menos cartera, y (3) la salida de Fidelity en octubre. La (2) está en la tesis del informe (márgenes y crecimiento a la baja en el caso base). La (1) activa la regla de «descarta»: quienes mejor conocen la empresa (presidente, consejero delegado, director técnico y dos consejeros fundadores) han vendido en serie durante 2026 sin otro motivo que monetizar, y el bloqueo ya venció. La (3) es una venta institucional con motivo declarado: no cambia por sí sola. Los resultados del 3T26 (≈ 10-nov) no retrasan nada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Cierres de fin de año en ILS de Yahoo (29,84, 60,44 y 209,90 ILS) pasados a USD con el tipo representativo del Banco de Israel de ese día (3,627, 3,647 y 3,19) [23, 25]. La serie solo tiene tres años útiles (Yahoo empieza en mayo de 2023 y no se encontraron cierres fiables de 2021-2022): la acción pasó de ≈ 10 veces el beneficio del año siguiente a finales de 2023 a ≈ 30 veces a finales de 2025, un cambio de percepción completo de empresa pequeña desconocida a «valor de drones» del TA-35.</w:t>
      </w:r>
    </w:p>
    <w:p>
      <w:pPr>
        <w:pStyle w:val="Heading1"/>
      </w:pPr>
      <w:r>
        <w:t xml:space="preserve">18. Comparables cotizados</w:t>
      </w:r>
    </w:p>
    <w:p>
      <w:pPr>
        <w:pStyle w:val="Confianza"/>
        <w:spacing w:after="100"/>
      </w:pPr>
      <w:r>
        <w:t xml:space="preserve">Confianza: Media</w:t>
      </w:r>
    </w:p>
    <w:p>
      <w:pPr>
        <w:spacing w:after="100"/>
      </w:pPr>
      <w:r>
        <w:t xml:space="preserve">Empresas cotizadas de sensores, cámaras y electrónica de defensa y de drones: Teledyne (FLIR, sensores térmicos), AeroVironment (drones pequeños y municiones merodeadoras), Elbit (Israel), Kratos (drones), Hensoldt (sensores ópticos y radar), Exosens (sensores de visión nocturna), Theon (visión nocturna y térmica), Mercury y OSI. Ninguna es igual: NextVision es más pequeña, mucho más rentable y depende de un solo producto. Ondas se excluye por pérdidas [15,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Teledyne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AeroVironment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Elbit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Kratos Defense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Exosens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Theon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Mercury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OSI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 / 30,8x / 35,8x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 / 27,0x / 35,1x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4,5x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r>
    </w:tbl>
    <w:p>
      <w:pPr>
        <w:spacing w:after="160" w:before="0"/>
      </w:pPr>
    </w:p>
    <w:p>
      <w:pPr>
        <w:spacing w:after="100"/>
      </w:pPr>
      <w:r>
        <w:t xml:space="preserve">La mediana del PER adelantado de los comparables es de 27 veces (rango de 15 a 41), por encima de la ficha de defensa (19,6) porque incluye las de sensores y drones que el mercado premia [15, 24]. NextVision cotiza a ≈ 26 veces nuestro BPA de los próximos 12 meses y a ≈ 19 veces el del consenso de 2027, con un margen EBITDA del 59 % frente al 10-25 % de los comparables y caja neta del 10 % de su capitalización; descuenta el riesgo de un solo producto, la concentración de clientes y el riesgo israelí.</w:t>
      </w:r>
    </w:p>
    <w:p>
      <w:pPr>
        <w:pStyle w:val="Heading1"/>
      </w:pPr>
      <w:r>
        <w:t xml:space="preserve">19. Transacciones precedentes</w:t>
      </w:r>
    </w:p>
    <w:p>
      <w:pPr>
        <w:pStyle w:val="Confianza"/>
        <w:spacing w:after="100"/>
      </w:pPr>
      <w:r>
        <w:t xml:space="preserve">Confianza: Baja</w:t>
      </w:r>
    </w:p>
    <w:p>
      <w:pPr>
        <w:spacing w:after="160" w:before="0"/>
      </w:pPr>
    </w:p>
    <w:p>
      <w:pPr>
        <w:spacing w:after="160" w:before="0"/>
      </w:pPr>
    </w:p>
    <w:p>
      <w:pPr>
        <w:spacing w:after="100"/>
      </w:pPr>
      <w:r>
        <w:t xml:space="preserve">No hay transacciones comparables útiles con múltiplos publicados: los fabricantes de cámaras para drones compran y se venden en privado (Redwire compró Edge Autonomy en 2025). No se usan.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(+110,9 %, fijo): objetivo del consejo de 355 M USD con 155,5 M ya facturados en el 1S26 y una cartera de 265,2 M en agosto [4, 7, 9]; el consenso espera 368 M [24]. Después, +38 % en 2027e (490 M: por debajo del consenso de 561 M [24], porque la cartera bajó en el 2T26 y solo 35,5 M estaban asignados a 2027 en marzo [8]), +15 % en 2028e y bajada hasta el 4 % en 2033e. El mercado de cámaras para drones crecerá un 17,6 % anual según Fortune Business Insights y un 29 % según Straits [12, 13]; el de drones pequeños, un 25 % [14]. El ciclo de defensa está en máximos y NextVision está al final de la cadena: suponemos que no repite el crecimiento del mercado.</w:t>
      </w:r>
    </w:p>
    <w:p>
      <w:pPr>
        <w:keepNext/>
        <w:spacing w:after="100"/>
      </w:pPr>
      <w:r>
        <w:rPr>
          <w:b/>
          <w:bCs/>
        </w:rPr>
        <w:t xml:space="preserve">Márgenes.</w:t>
      </w:r>
    </w:p>
    <w:p>
      <w:pPr>
        <w:spacing w:after="100"/>
      </w:pPr>
      <w:r>
        <w:t xml:space="preserve">Margen EBITDA del 58 % en 2026e (58,7 % en el 1S26 [4]), bajando al 54 % en 2027e, 50 % en 2028e y 40 % en 2033e. El margen bruto pasó del 72 % de 2024 al ≈ 65 % del 2T26 por descuentos a los grandes clientes y mezcla [4, 17]; con más competidores y clientes más grandes (tres son dos tercios de las ventas), el precio por cámara bajará. Un 40 % sigue muy por encima de los comparables (10-25 % [24]): es una empresa de diseño con fabricación subcontratada y estructura pequeña.</w:t>
      </w:r>
    </w:p>
    <w:p>
      <w:pPr>
        <w:keepNext/>
        <w:spacing w:after="100"/>
      </w:pPr>
      <w:r>
        <w:rPr>
          <w:b/>
          <w:bCs/>
        </w:rPr>
        <w:t xml:space="preserve">Inversión y circulante.</w:t>
      </w:r>
    </w:p>
    <w:p>
      <w:pPr>
        <w:spacing w:after="100"/>
      </w:pPr>
      <w:r>
        <w:t xml:space="preserve">Capex del 2,0 % de las ventas (1,7 % de inmovilizado y desarrollo en 2025, más ≈ 0,3 % de altas de derechos de uso por la nave nueva y la planta europea, NIIF 16) y amortización del 1,2 % [1]. Circulante comercial del 33 % de las ventas en 2026e (33,9 % en 2025 y 35,9 % en junio de 2026) que baja al 30 % cuando se normalice la compra anticipada de componentes [4]: crecer consume caja, ≈ 30 céntimos por cada dólar de ventas nuevas.</w:t>
      </w:r>
    </w:p>
    <w:p>
      <w:pPr>
        <w:keepNext/>
        <w:spacing w:after="100"/>
      </w:pPr>
      <w:r>
        <w:rPr>
          <w:b/>
          <w:bCs/>
        </w:rPr>
        <w:t xml:space="preserve">Coste del capital.</w:t>
      </w:r>
    </w:p>
    <w:p>
      <w:pPr>
        <w:spacing w:after="100"/>
      </w:pPr>
      <w:r>
        <w:t xml:space="preserve">Tasa libre del 5,09 % (bono del Tesoro de EE. UU. a 10 años, 16-oct-2026 [26]): los flujos están en USD. Beta de 1,15, la ajustada mensual frente al TA-125 con 41 meses (1,23 sin ajustar; 1,45 semanal de 2 años) [23]. Prima de mercado del 5,5 % y prima adicional de 2 puntos: ≈ 1 por riesgo país (fabrica y diseña en Israel, en guerra desde 2023, con una calificación rebajada) y ≈ 1 por concentración en un producto y en tres clientes. Sin deuda. WACC del 13,4 %; con la prima implícita del mercado (4,2 % [27]) baja al 11,9 %.</w:t>
      </w:r>
    </w:p>
    <w:p>
      <w:pPr>
        <w:keepNext/>
        <w:spacing w:after="100"/>
      </w:pPr>
      <w:r>
        <w:rPr>
          <w:b/>
          <w:bCs/>
        </w:rPr>
        <w:t xml:space="preserve">Valor terminal.</w:t>
      </w:r>
    </w:p>
    <w:p>
      <w:pPr>
        <w:spacing w:after="100"/>
      </w:pPr>
      <w:r>
        <w:t xml:space="preserve">Crecimiento a perpetuidad del 3,0 %, entre la inflación esperada en USD (≈ 2,5 %) y la tasa libre menos dos puntos: el gasto en drones seguirá creciendo, pero la empresa vende un componente que se abarata. El valor terminal pesa el 49 % del valor, poco para una empresa de crecimiento, porque los primeros años generan mucha caja.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 (histórico: 277,4 %)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 frente al 24,5 %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(hoy: 1,3 %)</w:t>
            </w:r>
          </w:p>
        </w:tc>
      </w:tr>
    </w:tbl>
    <w:p>
      <w:pPr>
        <w:spacing w:after="160" w:before="0"/>
      </w:pPr>
    </w:p>
    <w:p>
      <w:pPr>
        <w:spacing w:after="100"/>
      </w:pPr>
      <w:r>
        <w:t xml:space="preserve">La proyección apenas necesita inversión neta de la amortización (reinversión acumulada de 213 M, el 11 % del NOPAT, con un capex bruto medio del 2,0 % de las ventas). En un negocio de activos ligeros, el crecimiento medio del 24,5 % tiene que salir de subir precios y de ganar volumen sin capital nuevo, y la prueba es el poder de precios y la cuota (1,7 % del mercado en 2033e, frente al 1,3 %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capacidad de 2.000-2.400 cámaras al mes que pasa a más de 4.000 a final de año; precio −4 % por descuentos de volumen (margen bruto del 65 % en el 2T26) [4,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+41 % con la capacidad nueva y la cartera (24 M de un pedido para enero-junio de 2027) [29]; precio −3 % por competencia.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+18 % con el rearme europeo y los programas de drones de EE. UU.; precio −3 %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por debajo del mercado (+17,6 % [12]);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+9 %; precio −2 %: la cámara se convierte en componente con más competidores.</w:t>
            </w:r>
          </w:p>
        </w:tc>
      </w:tr>
    </w:tbl>
    <w:p>
      <w:pPr>
        <w:spacing w:after="160" w:before="0"/>
      </w:pPr>
    </w:p>
    <w:p>
      <w:pPr>
        <w:spacing w:after="100"/>
      </w:pPr>
      <w:r>
        <w:t xml:space="preserve">El crecimiento proyectado (24,5 % anual de media en 2026e-2033e, casi todo en 2026-2027) está por debajo del histórico (83 % anual de 2021 a 2025) y del mercado de cámaras para drones (17,6 % anual después de 2027) [12], y no necesita capital fijo: la reinversión es circulante y el ROIC del 255 % lo financia de sobra. La cuota pasa del 1,3 % al 1,7 % del mercado amplio (×1,3), dentro del límite. 2026e está cubierto por el 1S26 real y la cartera [4]. El riesgo no está en la capacidad de la empresa para crecer sino en la demanda: un alto el fuego en Ucrania o una caída del ciclo de defensa frenarían los pedidos; eso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 (base: 12,1 %)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70 % justifica el precio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13,4 %)</w:t>
            </w:r>
          </w:p>
        </w:tc>
      </w:tr>
    </w:tbl>
    <w:p>
      <w:pPr>
        <w:spacing w:after="160" w:before="0"/>
      </w:pPr>
    </w:p>
    <w:p>
      <w:pPr>
        <w:spacing w:after="100"/>
      </w:pPr>
      <w:r>
        <w:t xml:space="preserve">El DCF da 27,98 USD por acción, un 54 % por debajo del precio (60,42 USD), con un WACC del 13,4 % y un valor terminal que pesa el 49 %. El DCF inverso dice que el precio descuenta un crecimiento del 35,9 % anual en 2027e-2033e con nuestro margen final del 40 % (nuestro base: 12,1 %), y ningún margen hasta el 70 % justifica el precio con nuestro crecimiento: el mercado espera que NextVision siga creciendo como una empresa de drones en plena expansión durante siete años más y conserve márgenes de monopolio. La rentabilidad implícita en el precio, con nuestros flujos, es del 7,1 % anual frente al 13,4 % que pedimos. Con la prima de riesgo que hoy pide el mercado (4,2 %) el DCF sube a 38,36 USD, aún un 37 % bajo el precio. El precio solo cuadra con el consenso de 2027 (561 M USD de ventas) y márgenes que no bajen.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el fuego en Ucrania o saturación de inventarios en los fabricantes de drones europeos en 2027, pérdida de uno de los tres grandes clientes (son dos tercios de las ventas) o un veto a la exportación: las ventas solo suben un 8 % en 2027e y un 3 % en 2028e, el margen EBITDA cae 8 puntos por precio y el WACC sube un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el objetivo de 355 M USD en 2026, las ventas crecen un 38 % en 2027 con la capacidad nueva y luego se frenan hacia el 4 %; el margen EBITDA baja del 58 % al 40 % con más competencia.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acierta: 2027 con ≈ 540 M USD de ventas (+53 %) por el rearme de la OTAN y los programas de drones de EE. UU., y un margen 4 puntos mejor por escala y planta europea.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27,02 USD (-55,3 %).</w:t>
      </w:r>
    </w:p>
    <w:p>
      <w:pPr>
        <w:spacing w:after="100"/>
      </w:pPr>
      <w:r>
        <w:t xml:space="preserve">Los tres escenarios del DCF quedan por debajo del precio: el alcista vale 35,07 USD (−42 %) y el bajista 17,06 (−72 %). Con un WACC del 13,4 %, ni el consenso justifica 60 USD a largo plazo. Por la regla a 12 meses el cuadro es más equilibrado (bajista 17,20, base 60,61 y alcista 90,99 USD), porque esa regla usa el múltiplo del mercado y no el descuento de flujos.</w:t>
      </w:r>
    </w:p>
    <w:p>
      <w:pPr>
        <w:pStyle w:val="Heading1"/>
      </w:pPr>
      <w:r>
        <w:t xml:space="preserve">22. Suma de partes</w:t>
      </w:r>
    </w:p>
    <w:p>
      <w:pPr>
        <w:pStyle w:val="Confianza"/>
        <w:spacing w:after="100"/>
      </w:pPr>
      <w:r>
        <w:t xml:space="preserve">Confianza: Alta</w:t>
      </w:r>
    </w:p>
    <w:p>
      <w:pPr>
        <w:spacing w:after="100"/>
      </w:pPr>
      <w:r>
        <w:t xml:space="preserve">No aplica: un solo negocio (cámaras estabilizadas para drones y plataformas terrestres). La caja neta (591 M USD, ≈ 10 % de la capitalización) va en el puente [4].</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35,47 USD (-41,3 % sobre 60,42).</w:t>
      </w:r>
    </w:p>
    <w:p>
      <w:pPr>
        <w:spacing w:after="100"/>
      </w:pPr>
      <w:r>
        <w:t xml:space="preserve">Pesos: DCF 45 %, escenarios 40 % y comparables 15 %. El DCF manda porque es el único método que ve que los márgenes del 60 % y el crecimiento del 100 % no duran; los comparables (EV/EBITDA de 38-64 USD y PER de 69-105 USD por acción) dan mucho más porque aplican múltiplos de empresas con un 10-25 % de margen a un beneficio de máximo de ciclo [24]. El valor objetivo es de 35,47 USD (−41 %). Sin transacciones útiles. El puente suma 591 M USD de caja neta de arrendamientos (6,3 USD por acción) [4].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(24.4x) ÷ 1.1 (tope: la mediana de 5 años, 15x,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r>
    </w:tbl>
    <w:p>
      <w:pPr>
        <w:spacing w:after="160" w:before="0"/>
      </w:pPr>
    </w:p>
    <w:p>
      <w:pPr>
        <w:spacing w:after="100"/>
      </w:pPr>
      <w:r>
        <w:rPr>
          <w:b/>
          <w:bCs/>
        </w:rPr>
        <w:t xml:space="preserve">Objetivo a 12 meses (ponderado):</w:t>
      </w:r>
      <w:r>
        <w:t xml:space="preserve"> 57,35 USD (17.835,85 ILA) · rentabilidad -4,1 % (base +1,2 %) · señal Mantener.</w:t>
      </w:r>
    </w:p>
    <w:p>
      <w:pPr>
        <w:spacing w:after="100"/>
      </w:pPr>
      <w:r>
        <w:t xml:space="preserve">Para comparar, con la regla v2 (historia al cierre, mismo precio): 20,7x / 24,1x / 31,3x, 13,3 % Mantener; con el tope anterior del base (×1,3, 14-oct mediodía): -12,8 %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(2,06 USD) está un 5 % por debajo del consenso (2,18) porque usamos el objetivo de la empresa (355 M) y no los 368 M de los analistas [24]. La diferencia grande está en 2027e: 2,58 USD frente a 3,18 (−19 %), con ventas de 490 M frente a 561 M y un margen EBITDA del 54 % frente al ≈ 58 % implícito. Nuestro 2027e queda casi en el mínimo de los tres analistas (2,55) [24]. Motivos: la cartera bajó en el 2T26 (de 288 a 265 M), solo 35,5 M estaban asignados a 2027 en marzo y el margen bruto ya cae [4, 8]. El objetivo medio de los 4 analistas (124,37 USD) dobla el precio; nuestro base a 12 meses (60,61) es la mitad.</w:t>
      </w:r>
    </w:p>
    <w:p>
      <w:pPr>
        <w:keepNext/>
        <w:spacing w:after="100"/>
      </w:pPr>
      <w:r>
        <w:rPr>
          <w:b/>
          <w:bCs/>
        </w:rPr>
        <w:t xml:space="preserve">Del valor intrínseco al objetivo a 12 meses.</w:t>
      </w:r>
    </w:p>
    <w:p>
      <w:pPr>
        <w:spacing w:after="100"/>
      </w:pPr>
      <w:r>
        <w:t xml:space="preserve">El objetivo a 12 meses es de 57,35 USD (17.836 agorot), ponderado 25/50/25: rentabilidad del −4,1 % con dividendo, y del +1,2 % en el caso base (60,61 USD = 22,2 veces nuestro BPA de 2028e de 2,73). La regla v3 lleva el PER del 24,4 actual (sobre el BPA de los próximos 12 meses) hacia la mediana adelantada de tres años (15,0) con el tope de ×1,1; el bajista usa el mínimo de la historia (10,3) y el alcista la mediana de los comparables (27,0). Crecimiento del BPA base: +33 % anual desde el BPA de los últimos 12 meses (1,55) y +35 % desde el de 2025 (1,11): está ya en el 1S26 real (0,968) y en el objetivo de 2026 [4]. Para comprar haría falta un precio de 35,47 USD o menos (≈ 110 ILS): es el valor intrínseco, que es el requisito que más aprieta. Para vender (ponderada ≤ −10 %), uno por encima de ≈ 64 USD (≈ 200 ILS).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hacia el objetivo de 355 M USD (hacen falta ≈ 200 M en el 2S), margen bruto y cartera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regulatoria del pedido de 24 M USD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bloque grande de ventas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ingresos de 2027 del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561 M USD; un objetivo por debajo de 450 M lo rebajaría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 50 % del beneficio)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 1 USD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Negociaciones de alto el fuego en Ucrania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Frenaría los pedidos de los fabricantes de drones europeos (58 %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de fundadores (bloqueo vencido) o del resto de Fidelity (≈ 4 %)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la caja (591 M USD): compra de empresas o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recompra sería la primera señal de confianza de la dirección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defensa: la demanda depende de la guerra de Ucrania y del rearme europeo (58 % de las ventas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a −70 %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drones de EE. UU. y rearme de la OTAN a varios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bajando dos trimestres seguidos; alto el fuego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clientes son el 66 % de las ventas del 1S26, sin contratos largos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 por cliente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cámara va integrada en el dron (coste de cambio); 150 clientes activos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primer cliente por encima del 30 % o caída de ventas de uno de ellos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Permisos de exportación israelíes (DECA y doble uso) y vetos europeos a proveedores israelíes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se bloquea un país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Nunca le han denegado una licencia; planta europea en marcha [1,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en la aprobación del pedido de 24 M o restricciones de algún país de la 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y precio: más fabricantes y clientes que integran su propia cámara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de peso y tamaño, integración «plug and play»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65 %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los fundadores y de institucionales (overhang)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de presión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no hay recompras ni compras de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colocaciones o ventas fuera de bolsa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en Israel: la producción y el diseño están en Israel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europea y proveedores fuera de Israel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Interrupción de la producción o llamada a filas de empleados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Proveedores: un proveedor de placas es el 58 % de las compras; sensores térmicos con licencia de origen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de seguridad (72 M USD)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entrega o subida de existencias sin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(visión por computador que abarata la cámara, fabricantes que integran sensores baratos con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ya integra IA a bordo (ordenador TRIP, seguimiento y navegación sin GPS)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con cámaras más baratas y software equivalente</w:t>
            </w:r>
          </w:p>
        </w:tc>
      </w:tr>
    </w:tbl>
    <w:p>
      <w:pPr>
        <w:spacing w:after="160" w:before="0"/>
      </w:pPr>
    </w:p>
    <w:p>
      <w:pPr>
        <w:pStyle w:val="Heading2"/>
      </w:pPr>
      <w:r>
        <w:t xml:space="preserve">Pre-mortem</w:t>
      </w:r>
    </w:p>
    <w:p>
      <w:pPr>
        <w:spacing w:after="100"/>
      </w:pPr>
      <w:r>
        <w:t xml:space="preserve">Octubre de 2027: la acción ha perdido otro 50 %. En la primavera se firmó un alto el fuego en Ucrania y los fabricantes de drones europeos, con almacenes llenos, dejaron de pedir cámaras durante dos trimestres; el cliente A (27 % de las ventas) empezó a montar una cámara propia más barata. El objetivo de 2027 se dio en 420 M USD, la cartera bajó por tercer trimestre y el margen bruto cayó al 58 %. Los fundadores habían vendido otra vez tras el bloqueo y la caja de 600 M se usó en una compra cara en EE. UU. El mercado pasó de pagar 25 veces un beneficio de ciclo a pagar 10.</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3-5 años</w:t>
      </w:r>
    </w:p>
    <w:p>
      <w:pPr>
        <w:spacing w:after="100"/>
      </w:pPr>
      <w:r>
        <w:t xml:space="preserve">La IA es a la vez el producto y la amenaza. A favor: los drones autónomos necesitan una cámara estabilizada y un ordenador que procese el vídeo a bordo (seguimiento de objetivos, navegación sin GPS, guerra electrónica), y NextVision vende ambos (TRIP) [1]. En contra: la IA de visión hace que sensores más baratos y sin estabilizar mecánica den imágenes aceptables, y que los fabricantes de drones con buen software puedan integrar su propia cámara; eso presiona el precio por unidad, que ya se ve en el margen bruto [4]. No sustituye el negocio a 3-5 años, pero puede recortar el margen del 60 % hacia el de la electrónica de defensa normal.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uso final de sus productos: cámaras para drones militares y municiones merodeadoras, que muchos fondos con criterios ESG excluyen o limitan (armamento) [1]. También el control de exportaciones (licencias del Ministerio de Defensa de Israel y de doble uso), la cadena de suministro de sensores térmicos y placas (un proveedor es el 58 % de las compras) y la seguridad de las instalaciones en Israel en tiempo de guerra [1].</w:t>
      </w:r>
    </w:p>
    <w:p>
      <w:pPr>
        <w:pStyle w:val="Heading2"/>
      </w:pPr>
      <w:r>
        <w:t xml:space="preserve">Controversias</w:t>
      </w:r>
    </w:p>
    <w:p>
      <w:pPr>
        <w:spacing w:after="100"/>
      </w:pPr>
      <w:r>
        <w:t xml:space="preserve">Sin controversias propias conocidas (litigios, sanciones o incidentes) [1]. El riesgo reputacional es sectorial: venta de material militar desde Israel a terceros países, con boicots de algunos gobiernos y fondos europeos al comercio de defensa con Israel. Calificaciones de MSCI o Sustainalytics no comprobadas: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la cartera de 288 a 265 M USD en el 2T26 y qué parte de los 265 M es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dato que separa el caso base del consenso (490 frente a 561 M de ventas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paso del 72 % al 65 % de margen bruto es mezcla y cuánto precio a los grandes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precio, el margen seguirá bajando con la concentración.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clientes A, B y C, qué plataformas montan y tienen alternativa de cámara?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66 % de las ventas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la empresa con los 591 M USD de caja y por qué no recompra con la acción un 52 % bajo el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10 % de la capitalización y hoy rinde un 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 a seguir vendiendo los fundadores tras el bloqueo y con qué plan?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vendido ≈ 326 M USD en 2026; es la causa del veredicto «descarta».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Exportación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ventas dependen de países que han restringido el comercio de defensa con Israel?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permisos y de vetos europeos.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israelí (Calcalist, Globes)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salida de Fidelity, un gestor institucional dice que «los inversores no saben qué pasa» y que, si los fundadores hubieran recomprado con lo que vendieron, «la sangría habría parado»; en agosto, temor a la competencia y al margen, aunque un gestor (Achord) llama a la empresa «excelente» y «no barata» [17,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REX Shares (ETF DRNZ) y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Visión de largo plazo: demanda de defensa, capacidad nueva y márgenes del 55-60 %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fundadores venden y no recompran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 326 M USD vendidos en 2026 sin ninguna compra ni recompra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y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bajó del 72 % al ≈ 65 %, dentro del rango objetivo de la empresa (65-72 %)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y pedidos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+112 % en el 1S26 y objetivo de 355 M; la cartera bajó en el 2T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fondos extranjeros (Fidelity)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declarado (política del fondo); queda ≈ 4 % que podría venderse [21].</w:t>
            </w:r>
          </w:p>
        </w:tc>
      </w:tr>
    </w:tbl>
    <w:p>
      <w:pPr>
        <w:spacing w:after="160" w:before="0"/>
      </w:pPr>
    </w:p>
    <w:p>
      <w:pPr>
        <w:spacing w:after="100"/>
      </w:pPr>
      <w:r>
        <w:t xml:space="preserve">El sentimiento ha pasado de euforia (diciembre-marzo) a desconfianza: la acción ha caído un 52 % y la prensa israelí habla de ventas de los fundadores y de fondos, no de resultados [21, 28]. Esto es lo contrario de la capitulación típica de una oportunidad: no hay un mal trimestre que asuste, sino información de quien mejor conoce la empresa. Para un inversor contrario, la señal útil sería una compra de directivos o una recompra.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35 (16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explica la causa (créditos fiscales, regularizaciones, mezcla de países) y no lo proyectes en el DCF. Explicación: El 9,6 % de 2025 es real y repetible en parte: NextVision es «empresa tecnológica preferente» (tipo del 12 % sobre el beneficio industrial, 7,5 % en zona de desarrollo) y en 2025 parte del ingreso financiero tributó con ventajas [1]. En el 1S26 el tipo fue del 9,5 % [4]. El DCF y el BPA usan un 13 %, por encima, por prudencia: el beneficio tecnológico preferente tiene límites de tamaño y la ley puede cambiar.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1,7 % en 2033e frente al 1,3 %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33,9 % real: genera una variación de circulante de 60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170 M de flujo libre medio en sus tres primeros años, frente a 49 M de media real en los tres últimos: justifica el salto (circulante, inversión, márgenes) o ajusta los supuestos. Explicación: El flujo libre real de 2023-2025 (≈ 49 M USD de media) es de una empresa cuatro veces más pequeña: ventas de 52 a 168 M. En los 12 meses a junio de 2026 el flujo libre ya fue de ≈ 118 M USD con 250,7 M de ventas [4], y el objetivo de 2026 es de 355 M. El salto viene del tamaño, no de supuestos de margen o de circulante más favorables: el DCF proyecta un margen EBITDA que baja del 58 % al 40 % y un circulante del 30-33 % de las ventas, como el real.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(2,73) supone un 35,1 % anual desde 1,11 (2025): explícalo en valoracion.objetivo_12m.comentario o la confianza es baja. Explicación: El BPA de 2025 (1,11 USD) ya se ha superado en los 12 meses a junio de 2026 (1,55) y el 1S26 dio 0,968 por sí solo [4]. Medido desde el BPA de los últimos 12 meses (1,55 a junio de 2026), el base de 2028e (2,73) crece un 33 % anual durante 2,5 años, por debajo del crecimiento de ventas que la empresa ya tiene asegurado en 2026 (objetivo de 355 M frente a 168 M, +111 %) y del consenso (3,18 USD en 2027e) [24]. El BPA de 2028e solo crece un 6 % sobre el de 2027e.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consenso futuro); 2) Globes y Calcalist (sin cifra de consenso); 3) informes de la empresa (no lo dan)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deja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nicho militar de cámaras estabilizadas para drones pequeños y cuotas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(la empresa dice no tener datos de cuotas: competidores privados); 2) estudios de mercado citados (solo mercado amplio de cámaras para drones); 3) prensa israelí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mercado amplio (12.650 M USD) y una cuota estimada.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de los fundadores tras la colocación de junio de 2026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MAYA (403); 2) web de inversores (sin informes de tenencias); 3) Globes y Calcalist (no dan cifras por persona)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las de marzo de 2026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cierres y PER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(historia desde mayo de 2023); 2) MAYA (403); 3) prensa israelí (sin cierres)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tres años; la regla de 12 meses aplica el selector de historia corta.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concreta de la subida de febrero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inmediatos de la empresa en su web; 2) Globes y Calcalist; 3) búsqueda general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atribuye al sector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(Reddit, Stocktwits, Seeking Alpha, foros israelíes)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Reddit/Stocktwits/Seeking Alpha; 2) getquin y Webull; 3) foros israelíes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Sentimiento con prensa y fondos; confianza baja.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Periodic Report 2025 (informe anual con estados financieros auditados de 2025 y 2024, descripción del negocio, clientes, cartera, competencia, licencias,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NextVision Stabilized Systems Ltd. (traducción inglesa del informe a la ISA)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https://investor-relations.nextvision-sys.com/wp-content/uploads/2025/03/Periodic_Report_2025_isa.pdf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financieros consolidados de 2024 (columnas 2024 y 2023), traducción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https://investor-relations.nextvision-sys.com/wp-content/uploads/2025/03/NextVision-FS-2024-%D7%92%D7%A8%D7%A1%D7%94-%D7%9C%D7%AA%D7%A8%D7%92%D7%95%D7%9D-V5-2.pdf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(hebreo; estados financieros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 (ISA/TASE)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https://investor-relations.nextvision-sys.com/wp-content/uploads/2025/03/%D7%93%D7%95%D7%97_%D7%A9%D7%A0%D7%AA%D7%99_%D7%9E%D7%A2%D7%95%D7%93%D7%9B%D7%9F_2022_isa.pdf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consejo y estados financieros intermedios a 30-jun-2026 (1S26), traducción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https://investor-relations.nextvision-sys.com/wp-content/uploads/2026/05/ENG_-_Clean_ENG_isa.pdf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a 31-mar-2026 (1T26), traducción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https://investor-relations.nextvision-sys.com/wp-content/uploads/2026/05/Q126_ENG_v4_isa.pdf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a 30-sep-2025 (9M25), traducción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https://investor-relations.nextvision-sys.com/wp-content/uploads/2025/03/ENG_Q3_2025_isa.pdf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agosto de 2026 (resultados del 2T26, objetivo de ingresos de 355 M USD, cartera, capacidad)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https://investor-relations.nextvision-sys.com/wp-content/uploads/2026/08/Agu2026_En_isa.pdf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marzo de 2026 (resultados de 2025, cartera de 288 M USD por año de entrega)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https://investor-relations.nextvision-sys.com/wp-content/uploads/2026/03/NextVision_March2026_En_isa.pdf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inmediato: actualización del objetivo de crecimiento de 2026 (hebreo)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 (ISA/TASE)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https://investor-relations.nextvision-sys.com/wp-content/uploads/2026/08/%D7%93%D7%99%D7%95%D7%95%D7%97_%D7%9E%D7%99%D7%99%D7%93%D7%99_-_%D7%A2%D7%93%D7%9B%D7%95%D7%9F_%D7%99%D7%A2%D7%93_%D7%A6%D7%9E%D7%99%D7%97%D7%94_isa.pdf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precio de la oferta global de septiembre de 2025 (9,5 M de acciones nuevas a 146 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https://investor-relations.nextvision-sys.com/wp-content/uploads/2025/09/Project-Noa-Pricing-Press-Release-Draft-9.16.2025-005.pdf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de noviembre de 2025 (objetivo de ingresos de 2025: 160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https://investor-relations.nextvision-sys.com/wp-content/uploads/2025/11/NextVisionPresentation_Nov2025_En.pdf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 Camera Market (12.650 M USD en 2025; 14.870 M en 2026 a 54.380 M en 2034, +17,6 % anual), citado en el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https://www.fortunebusinessinsights.com/drone-camera-market-115435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 Camera Market (10.890 M USD en 2024; 110.310 M en 2033), citado en el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Straits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https://straitsresearch.com/report/drone-camera-market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Small Drones Market (21.340 M USD en 2024; 128.750 M en 2032), citado en el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https://www.fortunebusinessinsights.com/small-drones-market-102227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Defensa: ficha sectorial corta (perímetro, márgenes, comparables, mediana de PER de 19,6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(sectores/defensa-2026-10-15.md)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sectores/defensa-2026-10-15.md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Teledyne, AeroVironment, Elbit, Kratos, Hensoldt, Exosens, Theon, Mercury y OSI (ventas, EBITDA,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not to like about Next Vision's financials?» (margen, cartera, temor a la competencia)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https://en.globes.co.il/en/article-1001551935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colocación secundaria de los fundadores (≈ 200 M USD, Jefferies, UBS, Needham; bloqueo de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https://investor-relations.nextvision-sys.com/wp-content/uploads/2026/06/THIS-ANNOUNCEMENT-AND-THE-INFORMATION-CONTAINED-HEREIN-IS-RESTRICTED-AND-IS-NOT-FOR-RELEASE.pdf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Vision founders sell shares for $200m»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https://en.globes.co.il/en/article-1001546291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israelí sobre las ventas de los fundadores fuera de bolsa (enero de 2026, a 228 ILS) y su historial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Calcalist (Ctech)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https://www.calcalistech.com/ctechnews/article/mphngw37e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exits most of NextVision stake… sending shares lower»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Dealroom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https://dealroom.co/news/160236-fidelity-exits-most-of-nextvision-stake-for-425m-sending-shares-lower/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execs cash in on soaring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https://en.globes.co.il/en/article-1001458354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NXSN.TA, ^TA125.TA e ITA (corregida la unidad de NXSN: ILS hasta el 15-may-2026, agorot después): bolsa-corregida.mjs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https://finance.yahoo.com/quote/NXSN.TA/history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NXSN y comparables (BPA y ventas 2026-2027, objetivos, recomendaciones; precio de cierre del 19-oct-2026, 14:29 UTC):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https://finance.yahoo.com/quote/NXSN.TA/analysis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representativo ILS/USD (3,110 el 19-oct-2026; cierres de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Israel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https://www.boi.org.il/en/economic-roles/financial-markets/exchange-rates/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shares plunge… Fidelity sale» (−12,7 % el 6-oct y −11,4 % el 7-oct)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Calcalist (Ctech)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https://www.calcalistech.com/ctechnews/article/u0r0myniq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inmediatos de pedidos: 24 M USD (6-oct-2026, entrega ene-jun 2027, pendiente de aprobación regulatoria), 3,5 M (29-sep) y aprobación de 2,7 M (8-sep)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 (ISA/TASE)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https://investor-relations.nextvision-sys.com/wp-content/uploads/2026/10/150-report-061026-002.pdf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Broker sube el objetivo de NextVision a 421 ILS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Freedom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https://fbroker.kz/en/news/51447-freedom-broker-povysil-celevuiu-cena-izrailskoi-texnokompanii-nextvision-ru-2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Entrada de NextVision en el índice TA-35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NextVision Stabilized Systems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https://investor-relations.nextvision-sys.com/wp-content/uploads/2025/11/NextVision-TA35.pdf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«Tue: Next Vision soars» (16-dic-2025) y pedido de 60 M USD (Calcalist)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https://en.globes.co.il/en/article-1001529374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Securities listed on Tel Aviv Stock Exchange (TASE): acceso de clientes no residentes en Israel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https://ibkb.interactivebrokers.com/fr/node/3382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DRNZ Spotlight: NextVision (comentario del ETF de drones de REX Shares; ≈ 12,8 % del fondo)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 Shares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https://www.rexshares.com/?p=2849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de usuarios de Simply Wall St sobre NXSN («la demanda de defensa y la capacidad sostendrán 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https://www.simplywall.st/narratives/2gt2tork-long-term-defense-demand-and-capacity-expansion-will-support-future-earnings-power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86,0 %</w:t>
      </w:r>
      <w:r>
        <w:t xml:space="preserve"> · Secciones con menos del 60 % de campos cubiertos: </w:t>
      </w:r>
      <w:r>
        <w:rPr>
          <w:b/>
          <w:bCs/>
        </w:rPr>
        <w:t xml:space="preserve">capital</w:t>
      </w:r>
      <w:r>
        <w:t xml:space="preserve"> · Generado el 19 oct 2026.</w:t>
      </w:r>
    </w:p>
    <w:p>
      <w:pPr>
        <w:pStyle w:val="Nota"/>
        <w:spacing w:after="100"/>
      </w:pPr>
      <w:r>
        <w:t xml:space="preserve">Cifras en millones de USD (moneda funcional y de presentación de la empresa); la acción cotiza en la bolsa de Tel Aviv en agorot (ILA, centésimas de shekel). Precio: cierre del 19-oct-2026 (18.790 agorot = 187,90 ILS), pasado a USD con el tipo representativo del Banco de Israel de ese día (3,110 ILS/USD: 60,42 USD) [25]; los precios en ILA que da el informe usan ese mismo tipo. Las cuentas oficiales se tomaron de los informes publicados en la web de inversores de la empresa (MAYA, el sistema de la Autoridad de Valores, devuelve 403): anuales auditados de 2021-2025 e intermedios del 1T26 y 1S26 [1, 2, 3, 4, 5]. La serie de precios de Yahoo cambia de unidad el 18-may-2026 (ILS antes, agorot después) y se corrigió a mano; empieza en mayo de 2023, así que la historia del PER solo tiene tres años [23]. Sin consenso trimestral ni de EBITDA (4 analistas). La acción se puede comprar desde Interactive Brokers en la propia bolsa de Tel Aviv (permiso de negociación «Israel», para no residentes) [33]; también cotiza fuera de mercado en EE. UU. como NXSNF, con poca liquidez.</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NextVision Stabilized Systems Ltd. (NXSN)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(43,02 – 131,64)</c:v>
                </c:pt>
                <c:pt idx="1">
                  <c:v>Precio objetivo de los analistas (90,10 – 142,79)</c:v>
                </c:pt>
                <c:pt idx="2">
                  <c:v>Comparables: PER NTM (68,54 – 104,60)</c:v>
                </c:pt>
                <c:pt idx="3">
                  <c:v>DCF (WACC y g ± 0,5) (26,55 – 29,70)</c:v>
                </c:pt>
                <c:pt idx="4">
                  <c:v>Escenarios (bajista – alcista) (17,06 – 35,07)</c:v>
                </c:pt>
                <c:pt idx="5">
                  <c:v>DCF con la prima implícita del mercado (4,2 %)</c:v>
                </c:pt>
                <c:pt idx="6">
                  <c:v>Precio actual (60,42)</c:v>
                </c:pt>
              </c:strCache>
            </c:strRef>
          </c:cat>
          <c:val>
            <c:numRef>
              <c:f>Hoja1!$B$2:$B$8</c:f>
              <c:numCache>
                <c:formatCode>#,##0</c:formatCode>
                <c:ptCount val="7"/>
                <c:pt idx="0">
                  <c:v>43.02</c:v>
                </c:pt>
                <c:pt idx="1">
                  <c:v>90.1</c:v>
                </c:pt>
                <c:pt idx="2">
                  <c:v>68.54</c:v>
                </c:pt>
                <c:pt idx="3">
                  <c:v>26.55</c:v>
                </c:pt>
                <c:pt idx="4">
                  <c:v>17.06</c:v>
                </c:pt>
                <c:pt idx="5">
                  <c:v>30.19</c:v>
                </c:pt>
                <c:pt idx="6">
                  <c:v>60.12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(43,02 – 131,64)</c:v>
                </c:pt>
                <c:pt idx="1">
                  <c:v>Precio objetivo de los analistas (90,10 – 142,79)</c:v>
                </c:pt>
                <c:pt idx="2">
                  <c:v>Comparables: PER NTM (68,54 – 104,60)</c:v>
                </c:pt>
                <c:pt idx="3">
                  <c:v>DCF (WACC y g ± 0,5) (26,55 – 29,70)</c:v>
                </c:pt>
                <c:pt idx="4">
                  <c:v>Escenarios (bajista – alcista) (17,06 – 35,07)</c:v>
                </c:pt>
                <c:pt idx="5">
                  <c:v>DCF con la prima implícita del mercado (4,2 %)</c:v>
                </c:pt>
                <c:pt idx="6">
                  <c:v>Precio actual (60,42)</c:v>
                </c:pt>
              </c:strCache>
            </c:strRef>
          </c:cat>
          <c:val>
            <c:numRef>
              <c:f>Hoja1!$C$2:$C$8</c:f>
              <c:numCache>
                <c:formatCode>#,##0</c:formatCode>
                <c:ptCount val="7"/>
                <c:pt idx="0">
                  <c:v>88.61999999999998</c:v>
                </c:pt>
                <c:pt idx="1">
                  <c:v>52.69</c:v>
                </c:pt>
                <c:pt idx="2">
                  <c:v>36.05999999999999</c:v>
                </c:pt>
                <c:pt idx="3">
                  <c:v>3.1499999999999986</c:v>
                </c:pt>
                <c:pt idx="4">
                  <c:v>18.01</c:v>
                </c:pt>
                <c:pt idx="5">
                  <c:v>2.7399999999999984</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Cámaras estabilizadas para drones y plataformas terrestres</c:v>
                </c:pt>
              </c:strCache>
            </c:strRef>
          </c:tx>
          <c:spPr>
            <a:solidFill>
              <a:srgbClr val="2A78D6"/>
            </a:solidFill>
            <a:ln w="12700">
              <a:noFill/>
            </a:ln>
          </c:spPr>
          <c:invertIfNegative val="0"/>
          <c:cat>
            <c:strRef>
              <c:f>Hoja1!$A$2:$A$4</c:f>
              <c:strCache>
                <c:ptCount val="3"/>
                <c:pt idx="0">
                  <c:v>2023</c:v>
                </c:pt>
                <c:pt idx="1">
                  <c:v>2024</c:v>
                </c:pt>
                <c:pt idx="2">
                  <c:v>2025</c:v>
                </c:pt>
              </c:strCache>
            </c:strRef>
          </c:cat>
          <c:val>
            <c:numRef>
              <c:f>Hoja1!$B$2:$B$4</c:f>
              <c:numCache>
                <c:formatCode>#,##0</c:formatCode>
                <c:ptCount val="3"/>
                <c:pt idx="0">
                  <c:v>51.944</c:v>
                </c:pt>
                <c:pt idx="1">
                  <c:v>114.934</c:v>
                </c:pt>
                <c:pt idx="2">
                  <c:v>168.354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Cámaras estabilizadas para drones y plataformas terrestres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Norteamérica</c:v>
                </c:pt>
                <c:pt idx="2">
                  <c:v>Israel</c:v>
                </c:pt>
                <c:pt idx="3">
                  <c:v>Resto del mundo</c:v>
                </c:pt>
              </c:strCache>
            </c:strRef>
          </c:cat>
          <c:val>
            <c:numRef>
              <c:f>Hoja1!$B$2:$B$5</c:f>
              <c:numCache>
                <c:formatCode>0"%"</c:formatCode>
                <c:ptCount val="4"/>
                <c:pt idx="0">
                  <c:v>56.3</c:v>
                </c:pt>
                <c:pt idx="1">
                  <c:v>29.2</c:v>
                </c:pt>
                <c:pt idx="2">
                  <c:v>10.6</c:v>
                </c:pt>
                <c:pt idx="3">
                  <c:v>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(Fortune Business Insights; 2027e-2028e interpolados al +17,6 % anual que prevé el estudio))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12650</c:v>
                </c:pt>
                <c:pt idx="1">
                  <c:v>14870</c:v>
                </c:pt>
                <c:pt idx="2">
                  <c:v>17487</c:v>
                </c:pt>
                <c:pt idx="3">
                  <c:v>20565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NextVision</c:v>
                </c:pt>
                <c:pt idx="1">
                  <c:v>Trillium Engineering (privada)</c:v>
                </c:pt>
                <c:pt idx="2">
                  <c:v>Edge Autonomy / Octopus (de Redwire)</c:v>
                </c:pt>
                <c:pt idx="3">
                  <c:v>Controp (privada)</c:v>
                </c:pt>
                <c:pt idx="4">
                  <c:v>Hood Tech Vision (privada)</c:v>
                </c:pt>
                <c:pt idx="5">
                  <c:v>Micro-con (privada)</c:v>
                </c:pt>
                <c:pt idx="6">
                  <c:v>Teledyne FLIR</c:v>
                </c:pt>
              </c:strCache>
            </c:strRef>
          </c:cat>
          <c:val>
            <c:numRef>
              <c:f>Hoja1!$B$2:$B$8</c:f>
              <c:numCache>
                <c:formatCode>0.0"%"</c:formatCode>
                <c:ptCount val="7"/>
                <c:pt idx="0">
                  <c:v>60.3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15.033</c:v>
                </c:pt>
                <c:pt idx="1">
                  <c:v>26.049</c:v>
                </c:pt>
                <c:pt idx="2">
                  <c:v>51.944</c:v>
                </c:pt>
                <c:pt idx="3">
                  <c:v>114.934</c:v>
                </c:pt>
                <c:pt idx="4">
                  <c:v>168.354</c:v>
                </c:pt>
                <c:pt idx="5">
                  <c:v>355</c:v>
                </c:pt>
                <c:pt idx="6">
                  <c:v>490</c:v>
                </c:pt>
                <c:pt idx="7">
                  <c:v>563</c:v>
                </c:pt>
                <c:pt idx="8">
                  <c:v>620</c:v>
                </c:pt>
                <c:pt idx="9">
                  <c:v>663</c:v>
                </c:pt>
                <c:pt idx="10">
                  <c:v>703</c:v>
                </c:pt>
                <c:pt idx="11">
                  <c:v>738</c:v>
                </c:pt>
                <c:pt idx="12">
                  <c:v>768</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7.047</c:v>
                </c:pt>
                <c:pt idx="1">
                  <c:v>13.436</c:v>
                </c:pt>
                <c:pt idx="2">
                  <c:v>29.738</c:v>
                </c:pt>
                <c:pt idx="3">
                  <c:v>74.146</c:v>
                </c:pt>
                <c:pt idx="4">
                  <c:v>103.841</c:v>
                </c:pt>
                <c:pt idx="5">
                  <c:v>206</c:v>
                </c:pt>
                <c:pt idx="6">
                  <c:v>265</c:v>
                </c:pt>
                <c:pt idx="7">
                  <c:v>282</c:v>
                </c:pt>
                <c:pt idx="8">
                  <c:v>291</c:v>
                </c:pt>
                <c:pt idx="9">
                  <c:v>298</c:v>
                </c:pt>
                <c:pt idx="10">
                  <c:v>302</c:v>
                </c:pt>
                <c:pt idx="11">
                  <c:v>303</c:v>
                </c:pt>
                <c:pt idx="12">
                  <c:v>307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62.6</c:v>
                </c:pt>
                <c:pt idx="1">
                  <c:v>66.3</c:v>
                </c:pt>
                <c:pt idx="2">
                  <c:v>68.6</c:v>
                </c:pt>
                <c:pt idx="3">
                  <c:v>72.1</c:v>
                </c:pt>
                <c:pt idx="4">
                  <c:v>69.8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46.9</c:v>
                </c:pt>
                <c:pt idx="1">
                  <c:v>51.6</c:v>
                </c:pt>
                <c:pt idx="2">
                  <c:v>57.3</c:v>
                </c:pt>
                <c:pt idx="3">
                  <c:v>64.5</c:v>
                </c:pt>
                <c:pt idx="4">
                  <c:v>61.7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43.8</c:v>
                </c:pt>
                <c:pt idx="1">
                  <c:v>49.4</c:v>
                </c:pt>
                <c:pt idx="2">
                  <c:v>55.3</c:v>
                </c:pt>
                <c:pt idx="3">
                  <c:v>63.5</c:v>
                </c:pt>
                <c:pt idx="4">
                  <c:v>60.3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38.2</c:v>
                </c:pt>
                <c:pt idx="1">
                  <c:v>42.8</c:v>
                </c:pt>
                <c:pt idx="2">
                  <c:v>53.1</c:v>
                </c:pt>
                <c:pt idx="3">
                  <c:v>57.8</c:v>
                </c:pt>
                <c:pt idx="4">
                  <c:v>61.6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62.3</c:v>
                </c:pt>
                <c:pt idx="3">
                  <c:v>56.7</c:v>
                </c:pt>
                <c:pt idx="4">
                  <c:v>86.3</c:v>
                </c:pt>
                <c:pt idx="5">
                  <c:v>137.7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62.3</c:v>
                </c:pt>
                <c:pt idx="3">
                  <c:v>56.7</c:v>
                </c:pt>
                <c:pt idx="4">
                  <c:v>86.3</c:v>
                </c:pt>
                <c:pt idx="5">
                  <c:v>137.7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c:v>
                </c:pt>
                <c:pt idx="1">
                  <c:v>36</c:v>
                </c:pt>
                <c:pt idx="2">
                  <c:v>53</c:v>
                </c:pt>
                <c:pt idx="3">
                  <c:v>20</c:v>
                </c:pt>
                <c:pt idx="4">
                  <c:v>26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213</c:v>
                </c:pt>
                <c:pt idx="1">
                  <c:v>215</c:v>
                </c:pt>
                <c:pt idx="2">
                  <c:v>356</c:v>
                </c:pt>
                <c:pt idx="3">
                  <c:v>255</c:v>
                </c:pt>
                <c:pt idx="4">
                  <c:v>385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108</c:v>
                </c:pt>
                <c:pt idx="2">
                  <c:v>102</c:v>
                </c:pt>
                <c:pt idx="3">
                  <c:v>67</c:v>
                </c:pt>
                <c:pt idx="4">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3.5179999999999993</c:v>
                </c:pt>
                <c:pt idx="1">
                  <c:v>14.129999999999999</c:v>
                </c:pt>
                <c:pt idx="2">
                  <c:v>20.082</c:v>
                </c:pt>
                <c:pt idx="3">
                  <c:v>65.67</c:v>
                </c:pt>
                <c:pt idx="4">
                  <c:v>60.39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5.742</c:v>
                </c:pt>
                <c:pt idx="1">
                  <c:v>11.149</c:v>
                </c:pt>
                <c:pt idx="2">
                  <c:v>27.572</c:v>
                </c:pt>
                <c:pt idx="3">
                  <c:v>66.396</c:v>
                </c:pt>
                <c:pt idx="4">
                  <c:v>103.664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115.7</c:v>
                </c:pt>
                <c:pt idx="1">
                  <c:v>264</c:v>
                </c:pt>
                <c:pt idx="2">
                  <c:v>343.4</c:v>
                </c:pt>
                <c:pt idx="3">
                  <c:v>470.1</c:v>
                </c:pt>
                <c:pt idx="4">
                  <c:v>255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13.4</c:v>
                </c:pt>
                <c:pt idx="1">
                  <c:v>13.4</c:v>
                </c:pt>
                <c:pt idx="2">
                  <c:v>13.4</c:v>
                </c:pt>
                <c:pt idx="3">
                  <c:v>13.4</c:v>
                </c:pt>
                <c:pt idx="4">
                  <c:v>13.4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c:v>
                </c:pt>
                <c:pt idx="1">
                  <c:v>21.3</c:v>
                </c:pt>
                <c:pt idx="2">
                  <c:v>40.4</c:v>
                </c:pt>
                <c:pt idx="3">
                  <c:v>61</c:v>
                </c:pt>
                <c:pt idx="4">
                  <c:v>27.5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-6.05</c:v>
                </c:pt>
                <c:pt idx="1">
                  <c:v>-4.01</c:v>
                </c:pt>
                <c:pt idx="2">
                  <c:v>-2.3</c:v>
                </c:pt>
                <c:pt idx="3">
                  <c:v>-1.65</c:v>
                </c:pt>
                <c:pt idx="4">
                  <c:v>-5.38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1.369</c:v>
                </c:pt>
                <c:pt idx="1">
                  <c:v>2.855</c:v>
                </c:pt>
                <c:pt idx="2">
                  <c:v>5.574</c:v>
                </c:pt>
                <c:pt idx="3">
                  <c:v>13.786</c:v>
                </c:pt>
                <c:pt idx="4">
                  <c:v>33.198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2</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Yosef Sandler (fundador)</c:v>
                </c:pt>
                <c:pt idx="1">
                  <c:v>Menora Mivtachim</c:v>
                </c:pt>
                <c:pt idx="2">
                  <c:v>Harel</c:v>
                </c:pt>
                <c:pt idx="3">
                  <c:v>Migdal</c:v>
                </c:pt>
                <c:pt idx="4">
                  <c:v>Chen Golan (presidente)</c:v>
                </c:pt>
                <c:pt idx="5">
                  <c:v>FMR (Fidelity)</c:v>
                </c:pt>
                <c:pt idx="6">
                  <c:v>Boris Kipnis (director técnico)</c:v>
                </c:pt>
                <c:pt idx="7">
                  <c:v>Nachman Benchaya</c:v>
                </c:pt>
              </c:strCache>
            </c:strRef>
          </c:cat>
          <c:val>
            <c:numRef>
              <c:f>Hoja1!$B$2:$B$9</c:f>
              <c:numCache>
                <c:formatCode>0.0"%"</c:formatCode>
                <c:ptCount val="8"/>
                <c:pt idx="0">
                  <c:v>6.02</c:v>
                </c:pt>
                <c:pt idx="1">
                  <c:v>5.92</c:v>
                </c:pt>
                <c:pt idx="2">
                  <c:v>5.2</c:v>
                </c:pt>
                <c:pt idx="3">
                  <c:v>5.1</c:v>
                </c:pt>
                <c:pt idx="4">
                  <c:v>4.4</c:v>
                </c:pt>
                <c:pt idx="5">
                  <c:v>4</c:v>
                </c:pt>
                <c:pt idx="6">
                  <c:v>3.24</c:v>
                </c:pt>
                <c:pt idx="7">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102.5</c:v>
                </c:pt>
                <c:pt idx="1">
                  <c:v>247.3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29.4</c:v>
                </c:pt>
                <c:pt idx="1">
                  <c:v>50.6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0.0"x"</c:formatCode>
                <c:ptCount val="3"/>
                <c:pt idx="0">
                  <c:v>20.1</c:v>
                </c:pt>
                <c:pt idx="1">
                  <c:v>16.8</c:v>
                </c:pt>
                <c:pt idx="2">
                  <c:v>54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0.0"x"</c:formatCode>
                <c:ptCount val="3"/>
                <c:pt idx="0">
                  <c:v>20.1</c:v>
                </c:pt>
                <c:pt idx="1">
                  <c:v>20.1</c:v>
                </c:pt>
                <c:pt idx="2">
                  <c:v>20.1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112</c:v>
                </c:pt>
                <c:pt idx="1">
                  <c:v>182</c:v>
                </c:pt>
                <c:pt idx="2">
                  <c:v>217</c:v>
                </c:pt>
                <c:pt idx="3">
                  <c:v>231</c:v>
                </c:pt>
                <c:pt idx="4">
                  <c:v>234</c:v>
                </c:pt>
                <c:pt idx="5">
                  <c:v>238</c:v>
                </c:pt>
                <c:pt idx="6">
                  <c:v>239</c:v>
                </c:pt>
                <c:pt idx="7">
                  <c:v>244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1028</c:v>
                </c:pt>
                <c:pt idx="1">
                  <c:v>975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60,42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17.06</c:v>
                </c:pt>
                <c:pt idx="1">
                  <c:v>27.98</c:v>
                </c:pt>
                <c:pt idx="2">
                  <c:v>35.07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(43,02 – 131,64)</c:v>
                </c:pt>
                <c:pt idx="1">
                  <c:v>Precio objetivo de los analistas (90,10 – 142,79)</c:v>
                </c:pt>
                <c:pt idx="2">
                  <c:v>Comparables: PER NTM (68,54 – 104,60)</c:v>
                </c:pt>
                <c:pt idx="3">
                  <c:v>DCF (WACC y g ± 0,5) (26,55 – 29,70)</c:v>
                </c:pt>
                <c:pt idx="4">
                  <c:v>Escenarios (bajista – alcista) (17,06 – 35,07)</c:v>
                </c:pt>
                <c:pt idx="5">
                  <c:v>DCF con la prima implícita del mercado (4,2 %)</c:v>
                </c:pt>
                <c:pt idx="6">
                  <c:v>Precio actual (60,42)</c:v>
                </c:pt>
              </c:strCache>
            </c:strRef>
          </c:cat>
          <c:val>
            <c:numRef>
              <c:f>Hoja1!$B$2:$B$8</c:f>
              <c:numCache>
                <c:formatCode>#,##0</c:formatCode>
                <c:ptCount val="7"/>
                <c:pt idx="0">
                  <c:v>43.02</c:v>
                </c:pt>
                <c:pt idx="1">
                  <c:v>90.1</c:v>
                </c:pt>
                <c:pt idx="2">
                  <c:v>68.54</c:v>
                </c:pt>
                <c:pt idx="3">
                  <c:v>26.55</c:v>
                </c:pt>
                <c:pt idx="4">
                  <c:v>17.06</c:v>
                </c:pt>
                <c:pt idx="5">
                  <c:v>30.19</c:v>
                </c:pt>
                <c:pt idx="6">
                  <c:v>60.12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(43,02 – 131,64)</c:v>
                </c:pt>
                <c:pt idx="1">
                  <c:v>Precio objetivo de los analistas (90,10 – 142,79)</c:v>
                </c:pt>
                <c:pt idx="2">
                  <c:v>Comparables: PER NTM (68,54 – 104,60)</c:v>
                </c:pt>
                <c:pt idx="3">
                  <c:v>DCF (WACC y g ± 0,5) (26,55 – 29,70)</c:v>
                </c:pt>
                <c:pt idx="4">
                  <c:v>Escenarios (bajista – alcista) (17,06 – 35,07)</c:v>
                </c:pt>
                <c:pt idx="5">
                  <c:v>DCF con la prima implícita del mercado (4,2 %)</c:v>
                </c:pt>
                <c:pt idx="6">
                  <c:v>Precio actual (60,42)</c:v>
                </c:pt>
              </c:strCache>
            </c:strRef>
          </c:cat>
          <c:val>
            <c:numRef>
              <c:f>Hoja1!$C$2:$C$8</c:f>
              <c:numCache>
                <c:formatCode>#,##0</c:formatCode>
                <c:ptCount val="7"/>
                <c:pt idx="0">
                  <c:v>88.61999999999998</c:v>
                </c:pt>
                <c:pt idx="1">
                  <c:v>52.69</c:v>
                </c:pt>
                <c:pt idx="2">
                  <c:v>36.05999999999999</c:v>
                </c:pt>
                <c:pt idx="3">
                  <c:v>3.1499999999999986</c:v>
                </c:pt>
                <c:pt idx="4">
                  <c:v>18.01</c:v>
                </c:pt>
                <c:pt idx="5">
                  <c:v>2.7399999999999984</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