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Default Extension="xlsx" ContentType="application/vnd.openxmlformats-officedocument.spreadsheetml.sheet"/>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charts/chart4.xml" ContentType="application/vnd.openxmlformats-officedocument.drawingml.chart+xml"/>
  <Override PartName="/word/charts/chart5.xml" ContentType="application/vnd.openxmlformats-officedocument.drawingml.chart+xml"/>
  <Override PartName="/word/charts/chart6.xml" ContentType="application/vnd.openxmlformats-officedocument.drawingml.chart+xml"/>
  <Override PartName="/word/charts/chart7.xml" ContentType="application/vnd.openxmlformats-officedocument.drawingml.chart+xml"/>
  <Override PartName="/word/charts/chart8.xml" ContentType="application/vnd.openxmlformats-officedocument.drawingml.chart+xml"/>
  <Override PartName="/word/charts/chart9.xml" ContentType="application/vnd.openxmlformats-officedocument.drawingml.chart+xml"/>
  <Override PartName="/word/charts/chart10.xml" ContentType="application/vnd.openxmlformats-officedocument.drawingml.chart+xml"/>
  <Override PartName="/word/charts/chart11.xml" ContentType="application/vnd.openxmlformats-officedocument.drawingml.chart+xml"/>
  <Override PartName="/word/charts/chart12.xml" ContentType="application/vnd.openxmlformats-officedocument.drawingml.chart+xml"/>
  <Override PartName="/word/charts/chart13.xml" ContentType="application/vnd.openxmlformats-officedocument.drawingml.chart+xml"/>
  <Override PartName="/word/charts/chart14.xml" ContentType="application/vnd.openxmlformats-officedocument.drawingml.chart+xml"/>
  <Override PartName="/word/charts/chart15.xml" ContentType="application/vnd.openxmlformats-officedocument.drawingml.chart+xml"/>
  <Override PartName="/word/charts/chart16.xml" ContentType="application/vnd.openxmlformats-officedocument.drawingml.chart+xml"/>
  <Override PartName="/word/charts/chart17.xml" ContentType="application/vnd.openxmlformats-officedocument.drawingml.chart+xml"/>
  <Override PartName="/word/charts/chart18.xml" ContentType="application/vnd.openxmlformats-officedocument.drawingml.chart+xml"/>
  <Override PartName="/word/charts/chart19.xml" ContentType="application/vnd.openxmlformats-officedocument.drawingml.chart+xml"/>
  <Override PartName="/word/charts/chart20.xml" ContentType="application/vnd.openxmlformats-officedocument.drawingml.chart+xml"/>
  <Override PartName="/word/charts/chart21.xml" ContentType="application/vnd.openxmlformats-officedocument.drawingml.chart+xml"/>
  <Override PartName="/word/charts/chart22.xml" ContentType="application/vnd.openxmlformats-officedocument.drawingml.chart+xml"/>
  <Override PartName="/word/charts/chart23.xml" ContentType="application/vnd.openxmlformats-officedocument.drawingml.chart+xml"/>
  <Override PartName="/word/charts/chart24.xml" ContentType="application/vnd.openxmlformats-officedocument.drawingml.chart+xml"/>
  <Override PartName="/word/charts/chart25.xml" ContentType="application/vnd.openxmlformats-officedocument.drawingml.chart+xml"/>
  <Override PartName="/word/charts/chart26.xml" ContentType="application/vnd.openxmlformats-officedocument.drawingml.chart+xml"/>
  <Override PartName="/word/charts/chart27.xml" ContentType="application/vnd.openxmlformats-officedocument.drawingml.chart+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600"/>
      </w:pPr>
      <w:r>
        <w:rPr>
          <w:rFonts w:ascii="Calibri" w:cs="Calibri" w:eastAsia="Calibri" w:hAnsi="Calibri"/>
          <w:b/>
          <w:bCs/>
          <w:color w:val="2A78D6"/>
          <w:spacing w:val="40"/>
          <w:sz w:val="18"/>
          <w:szCs w:val="18"/>
        </w:rPr>
        <w:t xml:space="preserve">ANÁLISIS DE EMPRESA COTIZADA</w:t>
      </w:r>
    </w:p>
    <w:p>
      <w:pPr>
        <w:pStyle w:val="Title"/>
      </w:pPr>
      <w:r>
        <w:t xml:space="preserve">Adyen N.V.</w:t>
      </w:r>
    </w:p>
    <w:p>
      <w:pPr>
        <w:spacing w:after="60"/>
        <w:rPr>
          <w:color w:val="52514E"/>
          <w:sz w:val="22"/>
          <w:szCs w:val="22"/>
        </w:rPr>
      </w:pPr>
      <w:r>
        <w:rPr>
          <w:color w:val="52514E"/>
          <w:sz w:val="22"/>
          <w:szCs w:val="22"/>
        </w:rPr>
        <w:t xml:space="preserve">ADYEN · Euronext Ámsterdam · ISIN NL0012969182 · Financieros</w:t>
      </w:r>
    </w:p>
    <w:p>
      <w:pPr>
        <w:spacing w:after="360"/>
        <w:rPr>
          <w:color w:val="52514E"/>
          <w:sz w:val="18"/>
          <w:szCs w:val="18"/>
        </w:rPr>
      </w:pPr>
      <w:r>
        <w:rPr>
          <w:color w:val="52514E"/>
          <w:sz w:val="18"/>
          <w:szCs w:val="18"/>
        </w:rPr>
        <w:t xml:space="preserve">Fecha de corte de los datos: </w:t>
      </w:r>
      <w:r>
        <w:rPr>
          <w:b/>
          <w:bCs/>
          <w:color w:val="52514E"/>
          <w:sz w:val="18"/>
          <w:szCs w:val="18"/>
        </w:rPr>
        <w:t xml:space="preserve">12 oct 2026</w:t>
      </w:r>
      <w:r>
        <w:rPr>
          <w:color w:val="52514E"/>
          <w:sz w:val="18"/>
          <w:szCs w:val="18"/>
        </w:rPr>
        <w:t xml:space="preserve"> · Divisa: </w:t>
      </w:r>
      <w:r>
        <w:rPr>
          <w:b/>
          <w:bCs/>
          <w:color w:val="52514E"/>
          <w:sz w:val="18"/>
          <w:szCs w:val="18"/>
        </w:rPr>
        <w:t xml:space="preserve">EUR</w:t>
      </w:r>
      <w:r>
        <w:rPr>
          <w:color w:val="52514E"/>
          <w:sz w:val="18"/>
          <w:szCs w:val="18"/>
        </w:rPr>
        <w:t xml:space="preserve"> · Cifras en </w:t>
      </w:r>
      <w:r>
        <w:rPr>
          <w:b/>
          <w:bCs/>
          <w:color w:val="52514E"/>
          <w:sz w:val="18"/>
          <w:szCs w:val="18"/>
        </w:rPr>
        <w:t xml:space="preserve">millones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Recomendación</w:t>
            </w:r>
          </w:p>
          <w:p>
            <w:pPr>
              <w:spacing w:after="0"/>
            </w:pPr>
            <w:r>
              <w:rPr>
                <w:rFonts w:ascii="Calibri" w:cs="Calibri" w:eastAsia="Calibri" w:hAnsi="Calibri"/>
                <w:b/>
                <w:bCs/>
                <w:color w:val="1F2A3C"/>
                <w:sz w:val="26"/>
                <w:szCs w:val="26"/>
              </w:rPr>
              <w:t xml:space="preserve">Mantener</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Precio</w:t>
            </w:r>
          </w:p>
          <w:p>
            <w:pPr>
              <w:spacing w:after="0"/>
            </w:pPr>
            <w:r>
              <w:rPr>
                <w:rFonts w:ascii="Calibri" w:cs="Calibri" w:eastAsia="Calibri" w:hAnsi="Calibri"/>
                <w:b/>
                <w:bCs/>
                <w:color w:val="1F2A3C"/>
                <w:sz w:val="26"/>
                <w:szCs w:val="26"/>
              </w:rPr>
              <w:t xml:space="preserve">886,10 EUR</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Objetivo 12 m</w:t>
            </w:r>
          </w:p>
          <w:p>
            <w:pPr>
              <w:spacing w:after="0"/>
            </w:pPr>
            <w:r>
              <w:rPr>
                <w:rFonts w:ascii="Calibri" w:cs="Calibri" w:eastAsia="Calibri" w:hAnsi="Calibri"/>
                <w:b/>
                <w:bCs/>
                <w:color w:val="1F2A3C"/>
                <w:sz w:val="26"/>
                <w:szCs w:val="26"/>
              </w:rPr>
              <w:t xml:space="preserve">1.089,51 EUR</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Rentabilidad 12 m</w:t>
            </w:r>
          </w:p>
          <w:p>
            <w:pPr>
              <w:spacing w:after="0"/>
            </w:pPr>
            <w:r>
              <w:rPr>
                <w:rFonts w:ascii="Calibri" w:cs="Calibri" w:eastAsia="Calibri" w:hAnsi="Calibri"/>
                <w:b/>
                <w:bCs/>
                <w:color w:val="1F2A3C"/>
                <w:sz w:val="26"/>
                <w:szCs w:val="26"/>
              </w:rPr>
              <w:t xml:space="preserve">+23,0 % (base +19,6 %)</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Valor intrínseco</w:t>
            </w:r>
          </w:p>
          <w:p>
            <w:pPr>
              <w:spacing w:after="0"/>
            </w:pPr>
            <w:r>
              <w:rPr>
                <w:rFonts w:ascii="Calibri" w:cs="Calibri" w:eastAsia="Calibri" w:hAnsi="Calibri"/>
                <w:b/>
                <w:bCs/>
                <w:color w:val="1F2A3C"/>
                <w:sz w:val="26"/>
                <w:szCs w:val="26"/>
              </w:rPr>
              <w:t xml:space="preserve">908,88 EUR · mercado 1.110,27</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Convicción</w:t>
            </w:r>
          </w:p>
          <w:p>
            <w:pPr>
              <w:spacing w:after="0"/>
            </w:pPr>
            <w:r>
              <w:rPr>
                <w:rFonts w:ascii="Calibri" w:cs="Calibri" w:eastAsia="Calibri" w:hAnsi="Calibri"/>
                <w:b/>
                <w:bCs/>
                <w:color w:val="1F2A3C"/>
                <w:sz w:val="26"/>
                <w:szCs w:val="26"/>
              </w:rPr>
              <w:t xml:space="preserve">Baja</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Capitalización</w:t>
            </w:r>
          </w:p>
          <w:p>
            <w:pPr>
              <w:spacing w:after="0"/>
            </w:pPr>
            <w:r>
              <w:rPr>
                <w:rFonts w:ascii="Calibri" w:cs="Calibri" w:eastAsia="Calibri" w:hAnsi="Calibri"/>
                <w:b/>
                <w:bCs/>
                <w:color w:val="1F2A3C"/>
                <w:sz w:val="26"/>
                <w:szCs w:val="26"/>
              </w:rPr>
              <w:t xml:space="preserve">28.081 M</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EV/EBITDA próx. 12 m</w:t>
            </w:r>
          </w:p>
          <w:p>
            <w:pPr>
              <w:spacing w:after="0"/>
            </w:pPr>
            <w:r>
              <w:rPr>
                <w:rFonts w:ascii="Calibri" w:cs="Calibri" w:eastAsia="Calibri" w:hAnsi="Calibri"/>
                <w:b/>
                <w:bCs/>
                <w:color w:val="1F2A3C"/>
                <w:sz w:val="26"/>
                <w:szCs w:val="26"/>
              </w:rPr>
              <w:t xml:space="preserve">12,8x</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Deuda neta aj. / EBITDA</w:t>
            </w:r>
          </w:p>
          <w:p>
            <w:pPr>
              <w:spacing w:after="0"/>
            </w:pPr>
            <w:r>
              <w:rPr>
                <w:rFonts w:ascii="Calibri" w:cs="Calibri" w:eastAsia="Calibri" w:hAnsi="Calibri"/>
                <w:b/>
                <w:bCs/>
                <w:color w:val="1F2A3C"/>
                <w:sz w:val="26"/>
                <w:szCs w:val="26"/>
              </w:rPr>
              <w:t xml:space="preserve">-3,9x</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r>
    </w:tbl>
    <w:p>
      <w:pPr>
        <w:spacing w:after="20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Nombre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Adyen N.V.</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Ticker / ISIN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ADYEN / NL0012969182</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Euronext Ámsterdam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Índice de referencia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AEX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Sector / industria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Financieros / Servicios de transacciones y procesamiento de pagos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Sede · fundación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Ámsterdam · 2006</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Empleados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4.771</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Web</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www.adyen.com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(fecha)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886,10 (9 oct 2026)</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52 semanas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772,40 – 1.600,80</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Acciones diluidas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31,7</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Free float</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89,5 %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Capitalización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28.081 M EUR</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Valor empresa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22.759 M EUR</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Volumen medio diario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 124 M EUR/día (133.000 acciones/día, 3 meses)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Próximos resultados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28 oct 2026</w:t>
            </w:r>
          </w:p>
        </w:tc>
      </w:tr>
    </w:tbl>
    <w:p>
      <w:pPr>
        <w:spacing w:after="160" w:before="0"/>
      </w:pPr>
    </w:p>
    <w:p>
      <w:pPr>
        <w:pStyle w:val="Heading2"/>
      </w:pPr>
      <w:r>
        <w:t xml:space="preserve">Contenido</w:t>
      </w:r>
    </w:p>
    <w:p>
      <w:pPr>
        <w:pStyle w:val="ListParagraph"/>
        <w:numPr>
          <w:ilvl w:val="0"/>
          <w:numId w:val="2"/>
        </w:numPr>
        <w:spacing w:after="40"/>
      </w:pPr>
      <w:r>
        <w:rPr>
          <w:sz w:val="18"/>
          <w:szCs w:val="18"/>
        </w:rPr>
        <w:t xml:space="preserve">Síntesis y recomendación (una página)</w:t>
      </w:r>
    </w:p>
    <w:p>
      <w:pPr>
        <w:pStyle w:val="ListParagraph"/>
        <w:numPr>
          <w:ilvl w:val="0"/>
          <w:numId w:val="2"/>
        </w:numPr>
        <w:spacing w:after="40"/>
      </w:pPr>
      <w:r>
        <w:rPr>
          <w:sz w:val="18"/>
          <w:szCs w:val="18"/>
        </w:rPr>
        <w:t xml:space="preserve">Resumen ejecutivo</w:t>
      </w:r>
    </w:p>
    <w:p>
      <w:pPr>
        <w:pStyle w:val="ListParagraph"/>
        <w:numPr>
          <w:ilvl w:val="0"/>
          <w:numId w:val="2"/>
        </w:numPr>
        <w:spacing w:after="40"/>
      </w:pPr>
      <w:r>
        <w:rPr>
          <w:sz w:val="18"/>
          <w:szCs w:val="18"/>
        </w:rPr>
        <w:t xml:space="preserve">Parte I — Negocio y sector: 1. Historia · 2. Modelo de negocio · 3. Sector y mercado · 4. Posición competitiva</w:t>
      </w:r>
    </w:p>
    <w:p>
      <w:pPr>
        <w:pStyle w:val="ListParagraph"/>
        <w:numPr>
          <w:ilvl w:val="0"/>
          <w:numId w:val="2"/>
        </w:numPr>
        <w:spacing w:after="40"/>
      </w:pPr>
      <w:r>
        <w:rPr>
          <w:sz w:val="18"/>
          <w:szCs w:val="18"/>
        </w:rPr>
        <w:t xml:space="preserve">Parte II — Finanzas: 5. Cuenta de resultados · 6. Resultados recientes · 7. Balance y circulante · 8. Flujos de caja · 9. Calidad contable · 10. Rentabilidad · 11. Deuda y solvencia · 12. Asignación de capital</w:t>
      </w:r>
    </w:p>
    <w:p>
      <w:pPr>
        <w:pStyle w:val="ListParagraph"/>
        <w:numPr>
          <w:ilvl w:val="0"/>
          <w:numId w:val="2"/>
        </w:numPr>
        <w:spacing w:after="40"/>
      </w:pPr>
      <w:r>
        <w:rPr>
          <w:sz w:val="18"/>
          <w:szCs w:val="18"/>
        </w:rPr>
        <w:t xml:space="preserve">Parte III — Equipo y gobierno: 13. Equipo directivo · 14. Gobierno corporativo</w:t>
      </w:r>
    </w:p>
    <w:p>
      <w:pPr>
        <w:pStyle w:val="ListParagraph"/>
        <w:numPr>
          <w:ilvl w:val="0"/>
          <w:numId w:val="2"/>
        </w:numPr>
        <w:spacing w:after="40"/>
      </w:pPr>
      <w:r>
        <w:rPr>
          <w:sz w:val="18"/>
          <w:szCs w:val="18"/>
        </w:rPr>
        <w:t xml:space="preserve">Parte IV — Mercado y valoración: 15. Consenso · 16. Bolsa · 17. Múltiplos históricos · 18. Comparables · 19. Transacciones · 20. DCF · 21. Escenarios · 22. Suma de partes · 23. Síntesis</w:t>
      </w:r>
    </w:p>
    <w:p>
      <w:pPr>
        <w:pStyle w:val="ListParagraph"/>
        <w:numPr>
          <w:ilvl w:val="0"/>
          <w:numId w:val="2"/>
        </w:numPr>
        <w:spacing w:after="40"/>
      </w:pPr>
      <w:r>
        <w:rPr>
          <w:sz w:val="18"/>
          <w:szCs w:val="18"/>
        </w:rPr>
        <w:t xml:space="preserve">Parte V — Tesis, riesgos y seguimiento: 24. Catalizadores · 25. Riesgos y pre-mortem · 26. ESG · 27. Preguntas abiertas · 28. Sentimiento en foros y comentarios</w:t>
      </w:r>
    </w:p>
    <w:p>
      <w:pPr>
        <w:pStyle w:val="ListParagraph"/>
        <w:numPr>
          <w:ilvl w:val="0"/>
          <w:numId w:val="2"/>
        </w:numPr>
        <w:spacing w:after="40"/>
      </w:pPr>
      <w:r>
        <w:rPr>
          <w:sz w:val="18"/>
          <w:szCs w:val="18"/>
        </w:rPr>
        <w:t xml:space="preserve">Anexos: controles de calidad, información no disponible y fuentes</w:t>
      </w:r>
    </w:p>
    <w:p>
      <w:pPr>
        <w:pStyle w:val="ListParagraph"/>
        <w:numPr>
          <w:ilvl w:val="0"/>
          <w:numId w:val="2"/>
        </w:numPr>
        <w:spacing w:after="40"/>
      </w:pPr>
      <w:r>
        <w:rPr>
          <w:sz w:val="18"/>
          <w:szCs w:val="18"/>
        </w:rPr>
        <w:t xml:space="preserve">Las secciones sin información verificable no se imprimen; quedan listadas en el anexo «Información no disponible».</w:t>
      </w:r>
    </w:p>
    <w:p>
      <w:r>
        <w:br w:type="page"/>
      </w:r>
    </w:p>
    <w:p>
      <w:pPr>
        <w:pStyle w:val="Heading1"/>
      </w:pPr>
      <w:r>
        <w:t xml:space="preserve">Síntesis y recomendación</w:t>
      </w:r>
    </w:p>
    <w:p>
      <w:pPr>
        <w:spacing w:after="100"/>
      </w:pPr>
      <w:r>
        <w:rPr>
          <w:b/>
          <w:bCs/>
        </w:rPr>
        <w:t xml:space="preserve">Mantener</w:t>
      </w:r>
      <w:r>
        <w:t xml:space="preserve"> · Convicción Baja · Objetivo a 12 meses </w:t>
      </w:r>
      <w:r>
        <w:rPr>
          <w:b/>
          <w:bCs/>
        </w:rPr>
        <w:t xml:space="preserve">1.089,51 EUR</w:t>
      </w:r>
      <w:r>
        <w:t xml:space="preserve"> frente a 886,10 · Rentabilidad a 12 meses </w:t>
      </w:r>
      <w:r>
        <w:rPr>
          <w:b/>
          <w:bCs/>
        </w:rPr>
        <w:t xml:space="preserve">+23,0 % (base +19,6 %)</w:t>
      </w:r>
      <w:r>
        <w:t xml:space="preserve"> · Valor intrínseco 908,88 EUR · con la prima implícita del mercado: 1.110,27 (+25,3 %) · Alcista / bajista +28,2 % / -25,6 %</w:t>
      </w:r>
    </w:p>
    <w:p>
      <w:pPr>
        <w:spacing w:after="100"/>
      </w:pPr>
      <w:r>
        <w:rPr>
          <w:b/>
        </w:rPr>
        <w:t xml:space="preserve">La recomendación y por qué.</w:t>
      </w:r>
      <w:r>
        <w:t xml:space="preserve"> Mantener, con convicción baja. El valor objetivo es de 908,88 EUR frente a un precio de 886,10 EUR (cierre del 9-oct-2026): una rentabilidad total esperada del 2,6 % a doce meses, sin dividendo, con una asimetría de 1,10x (alcista +28,2 %, bajista −25,6 %). Con la prima de riesgo que hoy descuenta el mercado (4,20 %), el objetivo sube a 1.110,27 EUR (+25,3 %): la regla relativa da Comprar, pero un Comprar solo relativo exige al menos un 5 % con nuestro coste de capital, y no llega. La convicción es baja porque las dos reglas discrepan y la diferencia es de tasa de descuento (beta de 1,50), no de cifras: subiría si el 3T26 (28-oct) confirma un volumen por encima del 20 % con la tasa media estable, y bajaría si la guía de 2027 queda por debajo del 18 %.</w:t>
      </w:r>
    </w:p>
    <w:p>
      <w:pPr>
        <w:spacing w:after="100"/>
      </w:pPr>
      <w:r>
        <w:rPr>
          <w:b/>
        </w:rPr>
        <w:t xml:space="preserve">El negocio.</w:t>
      </w:r>
      <w:r>
        <w:t xml:space="preserve"> Adyen procesa 1,55 billones EUR al año con una sola plataforma y licencias bancarias propias, con un margen EBITDA del 52,7 % en 2025 y un ROIC del 158,0 %, frente a ROIC de un dígito en los procesadores que crecieron comprando [26, 28, 29]. La calidad sostiene el crecimiento solo en parte: crecer no exige capital, pero el caso base pide pasar del 5,6 % al entorno del 9-10 % del volumen de las redes con la tasa media bajando, frente a Stripe, que ya procesa más [30].</w:t>
      </w:r>
    </w:p>
    <w:p>
      <w:pPr>
        <w:spacing w:after="100"/>
      </w:pPr>
      <w:r>
        <w:rPr>
          <w:b/>
        </w:rPr>
        <w:t xml:space="preserve">Finanzas.</w:t>
      </w:r>
      <w:r>
        <w:t xml:space="preserve"> El ingreso neto creció un 18,4 % en 2025 y un 19 % en el 1S26 (21 % a divisa constante) [11], con un flujo libre de 1.072,8 M (101 % del beneficio). La caja bruta de 12.392,8 M es en su mayoría de comerciantes: la propia es de 4.908,6 M [11]. Los intereses de esa caja de terceros valen unos 1.100 M (estimación propia), unos 35 EUR por acción.</w:t>
      </w:r>
    </w:p>
    <w:p>
      <w:pPr>
        <w:spacing w:after="100"/>
      </w:pPr>
      <w:r>
        <w:rPr>
          <w:b/>
        </w:rPr>
        <w:t xml:space="preserve">Equipo y gobierno.</w:t>
      </w:r>
      <w:r>
        <w:t xml:space="preserve"> El gobierno protege al minoritario (una acción, un voto salvo el quórum reforzado de los estatutos; el co-CEO cobra solo fijo) [38], pero la guía de medio plazo se ha rebajado tres veces desde 2022 y el director financiero se fue en agosto de 2026 con tres años en el cargo [43, 48, 51, 58].</w:t>
      </w:r>
    </w:p>
    <w:p>
      <w:pPr>
        <w:spacing w:after="100"/>
      </w:pPr>
      <w:r>
        <w:rPr>
          <w:b/>
        </w:rPr>
        <w:t xml:space="preserve">Valoración.</w:t>
      </w:r>
      <w:r>
        <w:t xml:space="preserve"> El DCF da 939,87 EUR con un WACC del 11,65 %; los escenarios ponderados, 918,75; los comparables, 703,93, aunque pesan poco porque crecen un 4,5 % de mediana. El DCF inverso dice que el precio descuenta un crecimiento del 11,7 % en 2027e-2035e, frente al 12,9 % de nuestro caso base, que ya está por debajo del consenso: el mercado ha dejado de pagar la historia de crecimiento (16,9x el EBITDA, frente a 31-143x al cierre de cada año desde 2019) y espera una desaceleración algo más rápida que la nuestra. No vemos un error claro del mercado con nuestra tasa; sí con la suya.</w:t>
      </w:r>
    </w:p>
    <w:p>
      <w:pPr>
        <w:spacing w:after="100"/>
      </w:pPr>
      <w:r>
        <w:rPr>
          <w:b/>
        </w:rPr>
        <w:t xml:space="preserve">Riesgos y catalizadores.</w:t>
      </w:r>
      <w:r>
        <w:t xml:space="preserve"> El mayor riesgo es la cuota frente a Stripe (bajista, −25,6 %); el segundo, la tasa media: cada punto básico permanente mueve el valor un 10-15 %. Los foros de particulares están divididos tras devolver toda la subida de los resultados de agosto [96, 97]; no señalan un riesgo nuevo. Catalizadores: el 3T26 del 28-oct-2026 y la guía de 2027 en febrero de 2027.</w:t>
      </w:r>
    </w:p>
    <w:p>
      <w:pPr>
        <w:spacing w:after="100"/>
      </w:pPr>
      <w:r>
        <w:rPr>
          <w:b/>
        </w:rPr>
        <w:t xml:space="preserve">Qué cambiaría la decisión.</w:t>
      </w:r>
      <w:r>
        <w:t xml:space="preserve"> Compraríamos por debajo de 865,25 EUR y venderíamos por encima de 1.215,17 EUR. También pasaríamos a Comprar con un crecimiento del volumen del 3T26 por encima del 22 % y la tasa media en 16,5 pb o más, y a Vender si la guía de 2027 queda por debajo del 16 %.</w:t>
      </w:r>
    </w:p>
    <w:p>
      <w:r>
        <w:br w:type="page"/>
      </w:r>
    </w:p>
    <w:p>
      <w:pPr>
        <w:pStyle w:val="Heading1"/>
      </w:pPr>
      <w:r>
        <w:t xml:space="preserve">Resumen ejecutivo</w:t>
      </w:r>
    </w:p>
    <w:p>
      <w:pPr>
        <w:pStyle w:val="Confianza"/>
        <w:spacing w:after="100"/>
      </w:pPr>
      <w:r>
        <w:t xml:space="preserve">Confianza: Media</w:t>
      </w:r>
    </w:p>
    <w:p>
      <w:pPr>
        <w:spacing w:after="100"/>
      </w:pPr>
      <w:r>
        <w:rPr>
          <w:b/>
          <w:bCs/>
        </w:rPr>
        <w:t xml:space="preserve">Recomendación: Mantener</w:t>
      </w:r>
      <w:r>
        <w:t xml:space="preserve"> · Convicción: Baja · Horizonte: 12 meses · Objetivo a 12 meses: </w:t>
      </w:r>
      <w:r>
        <w:rPr>
          <w:b/>
          <w:bCs/>
        </w:rPr>
        <w:t xml:space="preserve">1.089,51 EUR</w:t>
      </w:r>
      <w:r>
        <w:t xml:space="preserve"> (rentabilidad +23,0 % (base +19,6 %)) · Valor intrínseco: 908,88 EUR (+2,6 % sobre 886,10) · con la prima implícita del mercado: 1.110,27 (+25,3 %)</w:t>
      </w:r>
    </w:p>
    <w:p>
      <w:pPr>
        <w:spacing w:after="100"/>
      </w:pPr>
      <w:r>
        <w:t xml:space="preserve">Adyen es la plataforma de pagos con mejor economía unitaria de Europa: procesó 1.394,3 mil millones EUR en 2025 con un ingreso neto de 2.364,2 M, un margen EBITDA del 52,7 % y sin deuda [1, 5]. Su ROIC, sin la caja propia, es del 158,0 %, y ha ganado cuota sin comprar empresas hasta 2026: del ≈ 1,7 % al 5,6 % del volumen de las grandes redes entre 2019 y 2024 [17, 22].</w:t>
      </w:r>
    </w:p>
    <w:p>
      <w:pPr>
        <w:spacing w:after="100"/>
      </w:pPr>
      <w:r>
        <w:t xml:space="preserve">El precio ya no descuenta esa historia. A 886,10 EUR, Adyen cotiza a 16,9x el EBITDA de los últimos doce meses y 19,7x el beneficio de los próximos doce, un 68 % por debajo de su mediana histórica, tras caer un 39,6 % en un año [62]. El DCF inverso implica un crecimiento medio del 11,7 % en 2027e-2035e, algo por debajo de nuestro caso base (12,9 %), que a su vez está por debajo del consenso.</w:t>
      </w:r>
    </w:p>
    <w:p>
      <w:pPr>
        <w:spacing w:after="100"/>
      </w:pPr>
      <w:r>
        <w:t xml:space="preserve">Para comprar hay que creer una de dos cosas: que el crecimiento del volumen se mantiene por encima del 20 % con la tasa media estable (el alcista, +28,2 %), o que el coste de capital correcto es el que hoy pide el mercado (9,73 %) y no el nuestro (11,65 %). Con nuestras cifras y nuestra tasa, el precio está cerca del valor; con la tasa del mercado, hay un 25 % de recorrido. La desaceleración, la presión de Stripe y la salida del director financiero explican por qué el mercado exige más rentabilidad.</w:t>
      </w:r>
    </w:p>
    <w:p>
      <w:pPr>
        <w:pStyle w:val="Heading2"/>
      </w:pPr>
      <w:r>
        <w:t xml:space="preserve">La decisión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425"/>
        <w:gridCol w:w="3213"/>
      </w:tblGrid>
      <w:tr>
        <w:trPr>
          <w:cantSplit/>
          <w:tblHeader/>
        </w:trPr>
        <w:tc>
          <w:tcPr>
            <w:tcW w:type="dxa" w:w="64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Elemento de la decisión</w:t>
            </w:r>
          </w:p>
        </w:tc>
        <w:tc>
          <w:tcPr>
            <w:tcW w:type="dxa" w:w="32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Objetivo a 12 meses (nuestro PER × nuestro BPA 2028e, ponderado 25/50/25)</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1.089,51 EUR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 / base / alcista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17,0x × 43,35 = 736,95 · 20,0x × 52,97 = 1.059,40 · 26,0x × 57,78 = 1.502,28</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a 12 meses: ponderada / del base (con dividendo)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23,0 % / 19,6 %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de múltiplos aplicada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v2: base = mín(actual, mediana 5 a) con la historia al cierre; bajista mín. 5 a o base × 0,85; alcista techo base × 1,30 (selector de método: desrateada: la mediana adelantada (54,4x) es 2,7 veces el PER de hoy (20x); la historia es de otro régimen y decide la v2)</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Objetivo medio de los analistas (solo contraste)</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1.378,31 (nuestro base -23,1 %)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intrínseco (síntesis ponderada, largo plazo)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908,88 EUR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Potencial sobre el precio actual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por dividendo ordinario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 alcista /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28,2 % / -25,6 %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(ganancia alcista / pérdida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1,10x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anual implícita en el precio frente al WACC y al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12,3 % frente a 11,7 % y 9,7 %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objetivo con la prima implícita del mercado (4,2 %, WACC 9,7 %)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1.110,27 EUR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25,3 %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5,05x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absoluta (frente a su coste de capital)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Mantener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relativa (frente a lo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Comprar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anual implícito en el precio (2027e-2035e) frente al previsto para su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11,7 % frente a 4,0 %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calidad de la empresa sostiene el crecimiento previsto?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En parte (13,7 % anual proyectado; sin inversión neta)</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Señal del valor intrínseco (regla del DCF, referencia)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Mantener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según la regla a 12 meses (Comprar: ponderada ≥ 15 %, base ≥ 12 % y valor intrínseco ≥ precio; Vender: ponderada ≤ -10 %)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Comprar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Convicción según los criterios (las reglas discrepan (absoluta Mantener, relativa Comprar))</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Baja</w:t>
            </w:r>
          </w:p>
        </w:tc>
      </w:tr>
    </w:tbl>
    <w:p>
      <w:pPr>
        <w:spacing w:after="160" w:before="0"/>
      </w:pPr>
    </w:p>
    <w:p>
      <w:pPr>
        <w:pStyle w:val="Nota"/>
        <w:spacing w:after="100"/>
      </w:pPr>
      <w:r>
        <w:t xml:space="preserve">Regla (método v2): la recomendación sigue al objetivo a 12 meses, que es nuestro PER × nuestro BPA del ejercicio que mirará el mercado dentro de un año, con la misma regla de múltiplos para todas las empresas (base: el menor entre el PER actual y la mediana de 5 años; bajista: el mínimo de 5 años, o el base −15 % si ya cotiza por debajo; alcista: la media histórica o la de los comparables, sin pasar de base +30 %), ponderado con las probabilidades de los escenarios. Comprar si la rentabilidad ponderada es ≥ 15 %, la del base ≥ 12 % y el valor intrínseco no queda por debajo del precio; Vender si la ponderada es ≤ −10 %; Mantener en el resto. El consenso de analistas solo se compara. El valor intrínseco (DCF) es la referencia a largo plazo; su regla, la de siempre: Comprar si la rentabilidad total esperada a 12 meses es ≥ 15 % y el alcista gana al menos lo que pierde el bajista; Vender si es ≤ −10 %, o negativa con asimetría &lt; 0,5; Mantener en el resto. Se aplica dos veces: con el WACC del análisis (regla absoluta: ¿rinde más que su coste de capital?) y con el WACC que resulta de la prima de riesgo implícita del mercado (regla relativa: ¿rinde más que lo que hoy pide el mercado, ajustado por su beta?). Manda la relativa, salvo que las dos se contradigan (una Comprar y otra Vender): entonces, Mantener.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8032"/>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Acción</w:t>
            </w:r>
          </w:p>
        </w:tc>
        <w:tc>
          <w:tcPr>
            <w:tcW w:type="dxa" w:w="8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 qué precio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Comprar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debajo de 908,88 (ponderada a 12 meses ≥ 15 %, base ≥ 12 % y precio ≤ valor intrínseco)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Mantener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Entre 908,88 y 1.210,56</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Vender o reducir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Por encima de 1.210,56 (ponderada a 12 meses ≤ -10 %)</w:t>
            </w:r>
          </w:p>
        </w:tc>
      </w:tr>
    </w:tbl>
    <w:p>
      <w:pPr>
        <w:spacing w:after="160" w:before="0"/>
      </w:pPr>
    </w:p>
    <w:p>
      <w:pPr>
        <w:pStyle w:val="Heading2"/>
      </w:pPr>
      <w:r>
        <w:t xml:space="preserve">Qué cambiaría la recomendación</w:t>
      </w:r>
    </w:p>
    <w:p>
      <w:pPr>
        <w:pStyle w:val="ListParagraph"/>
        <w:numPr>
          <w:ilvl w:val="0"/>
          <w:numId w:val="2"/>
        </w:numPr>
        <w:spacing w:after="60"/>
      </w:pPr>
      <w:r>
        <w:t xml:space="preserve">Precio por debajo de 865,25 EUR: pasaríamos a Comprar.</w:t>
      </w:r>
    </w:p>
    <w:p>
      <w:pPr>
        <w:pStyle w:val="ListParagraph"/>
        <w:numPr>
          <w:ilvl w:val="0"/>
          <w:numId w:val="2"/>
        </w:numPr>
        <w:spacing w:after="60"/>
      </w:pPr>
      <w:r>
        <w:t xml:space="preserve">Precio por encima de 1.215,17 EUR: pasaríamos a Vender.</w:t>
      </w:r>
    </w:p>
    <w:p>
      <w:pPr>
        <w:pStyle w:val="ListParagraph"/>
        <w:numPr>
          <w:ilvl w:val="0"/>
          <w:numId w:val="2"/>
        </w:numPr>
        <w:spacing w:after="60"/>
      </w:pPr>
      <w:r>
        <w:t xml:space="preserve">Volumen del 3T26 por encima del 22 % con la tasa media en 16,5 pb o más: Comprar.</w:t>
      </w:r>
    </w:p>
    <w:p>
      <w:pPr>
        <w:pStyle w:val="ListParagraph"/>
        <w:numPr>
          <w:ilvl w:val="0"/>
          <w:numId w:val="2"/>
        </w:numPr>
        <w:spacing w:after="60"/>
      </w:pPr>
      <w:r>
        <w:t xml:space="preserve">Guía de crecimiento de 2027 por debajo del 16 % a divisa constante: Vender.</w:t>
      </w:r>
    </w:p>
    <w:p>
      <w:pPr>
        <w:pStyle w:val="ListParagraph"/>
        <w:numPr>
          <w:ilvl w:val="0"/>
          <w:numId w:val="2"/>
        </w:numPr>
        <w:spacing w:after="60"/>
      </w:pPr>
      <w:r>
        <w:t xml:space="preserve">Margen EBITDA del 2S26 por debajo del 50 % sin explicación de las compras: revisar a Vender.</w:t>
      </w:r>
    </w:p>
    <w:p>
      <w:pPr>
        <w:pStyle w:val="Heading2"/>
      </w:pPr>
      <w:r>
        <w:t xml:space="preserve">Dónde discrepamos del mercado</w:t>
      </w:r>
    </w:p>
    <w:p>
      <w:pPr>
        <w:keepNext/>
        <w:spacing w:after="100"/>
      </w:pPr>
      <w:r>
        <w:rPr>
          <w:b/>
          <w:bCs/>
        </w:rPr>
        <w:t xml:space="preserve">Lo que descuenta el precio.</w:t>
      </w:r>
    </w:p>
    <w:p>
      <w:pPr>
        <w:spacing w:after="100"/>
      </w:pPr>
      <w:r>
        <w:t xml:space="preserve">El precio descuenta que Adyen crece un 11,7 % anual en 2027e-2035e, con un margen en torno al 55 %, y exige una rentabilidad implícita del 12,3 %: una desaceleración rápida desde el 19-21 % actual. Es la reacción a tres rebajas de la horquilla de medio plazo y a la competencia de Stripe; la acción cotiza a 16,9x el EBITDA, el mínimo de su historia en bolsa.</w:t>
      </w:r>
    </w:p>
    <w:p>
      <w:pPr>
        <w:keepNext/>
        <w:spacing w:after="100"/>
      </w:pPr>
      <w:r>
        <w:rPr>
          <w:b/>
          <w:bCs/>
        </w:rPr>
        <w:t xml:space="preserve">Lo que creemos nosotros.</w:t>
      </w:r>
    </w:p>
    <w:p>
      <w:pPr>
        <w:spacing w:after="100"/>
      </w:pPr>
      <w:r>
        <w:t xml:space="preserve">Nuestro caso base es solo algo mejor (12,9 % de crecimiento medio y 56 % de margen) y está por debajo del consenso en 2027e-2028e. Además valoramos el flotante de comerciantes (1.100 M) que el DCF sobre el EBITDA no recoge. No tenemos una visión distinta de la del mercado sobre las cifras: la diferencia está en la tasa.</w:t>
      </w:r>
    </w:p>
    <w:p>
      <w:pPr>
        <w:keepNext/>
        <w:spacing w:after="100"/>
      </w:pPr>
      <w:r>
        <w:rPr>
          <w:b/>
          <w:bCs/>
        </w:rPr>
        <w:t xml:space="preserve">Por qué podemos tener razón.</w:t>
      </w:r>
    </w:p>
    <w:p>
      <w:pPr>
        <w:spacing w:after="100"/>
      </w:pPr>
      <w:r>
        <w:t xml:space="preserve">Con la prima implícita del mercado (4,20 %), el mismo caso base vale 1.167,46 EUR; con nuestra prima histórica (5,5 %) y una beta de 1,50, 939,87 EUR. Si la beta correcta de un negocio sin deuda y con un 52 % de margen se parece más a 1,2-1,3 que a 1,5, el precio deja de ser justo y pasa a barato.</w:t>
      </w:r>
    </w:p>
    <w:p>
      <w:pPr>
        <w:keepNext w:val="false"/>
        <w:spacing w:after="160" w:before="120"/>
        <w:jc w:val="center"/>
      </w:pPr>
      <w:r>
        <w:drawing>
          <wp:inline xmlns:wp="http://schemas.openxmlformats.org/drawingml/2006/wordprocessingDrawing" distT="0" distB="0" distL="0" distR="0">
            <wp:extent cx="5760000" cy="2880000"/>
            <wp:effectExtent l="0" t="0" r="0" b="0"/>
            <wp:docPr id="1001" name="Gráfico 1" descr="Valor por acción según cada método (EUR) · precio actual 886,10"/>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939,87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703,93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-20,6 %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 precedentes (no se usa)</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691,75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-21,9 %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918,75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+3,7 %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35 %</w:t>
            </w:r>
          </w:p>
        </w:tc>
      </w:tr>
    </w:tbl>
    <w:p>
      <w:pPr>
        <w:spacing w:after="160" w:before="0"/>
      </w:pPr>
    </w:p>
    <w:p>
      <w:pPr>
        <w:pStyle w:val="Heading2"/>
      </w:pPr>
      <w:r>
        <w:t xml:space="preserve">A favor</w:t>
      </w:r>
    </w:p>
    <w:p>
      <w:pPr>
        <w:pStyle w:val="ListParagraph"/>
        <w:numPr>
          <w:ilvl w:val="0"/>
          <w:numId w:val="2"/>
        </w:numPr>
        <w:spacing w:after="60"/>
      </w:pPr>
      <w:r>
        <w:rPr>
          <w:b/>
        </w:rPr>
        <w:t xml:space="preserve">Economía unitaria excepcional</w:t>
      </w:r>
      <w:r>
        <w:t xml:space="preserve">: margen EBITDA del 52,7 % y ROIC del 158,0 % en 2025, sin deuda financiera.</w:t>
      </w:r>
    </w:p>
    <w:p>
      <w:pPr>
        <w:pStyle w:val="ListParagraph"/>
        <w:numPr>
          <w:ilvl w:val="0"/>
          <w:numId w:val="2"/>
        </w:numPr>
        <w:spacing w:after="60"/>
      </w:pPr>
      <w:r>
        <w:rPr>
          <w:b/>
        </w:rPr>
        <w:t xml:space="preserve">Crecimiento todavía alto</w:t>
      </w:r>
      <w:r>
        <w:t xml:space="preserve">: ingreso neto +19 % en el 1S26 (+21 % a divisa constante) y volumen +24 % [11].</w:t>
      </w:r>
    </w:p>
    <w:p>
      <w:pPr>
        <w:pStyle w:val="ListParagraph"/>
        <w:numPr>
          <w:ilvl w:val="0"/>
          <w:numId w:val="2"/>
        </w:numPr>
        <w:spacing w:after="60"/>
      </w:pPr>
      <w:r>
        <w:rPr>
          <w:b/>
        </w:rPr>
        <w:t xml:space="preserve">Valoración en mínimos</w:t>
      </w:r>
      <w:r>
        <w:t xml:space="preserve">: 16,9x el EBITDA LTM, frente a 31-143x al cierre de cada año desde 2019.</w:t>
      </w:r>
    </w:p>
    <w:p>
      <w:pPr>
        <w:pStyle w:val="ListParagraph"/>
        <w:numPr>
          <w:ilvl w:val="0"/>
          <w:numId w:val="2"/>
        </w:numPr>
        <w:spacing w:after="60"/>
      </w:pPr>
      <w:r>
        <w:rPr>
          <w:b/>
        </w:rPr>
        <w:t xml:space="preserve">Caja propia de 4.908,6 M</w:t>
      </w:r>
      <w:r>
        <w:t xml:space="preserve"> más un flotante que vale unos 1.100 M (estimación propia), el 21 % de la capitalización.</w:t>
      </w:r>
    </w:p>
    <w:p>
      <w:pPr>
        <w:pStyle w:val="ListParagraph"/>
        <w:numPr>
          <w:ilvl w:val="0"/>
          <w:numId w:val="2"/>
        </w:numPr>
        <w:spacing w:after="60"/>
      </w:pPr>
      <w:r>
        <w:rPr>
          <w:b/>
        </w:rPr>
        <w:t xml:space="preserve">Conversión en caja del 103 %</w:t>
      </w:r>
      <w:r>
        <w:t xml:space="preserve"> del beneficio acumulado en 2019-2025 (4.338 M de flujo libre).</w:t>
      </w:r>
    </w:p>
    <w:p>
      <w:pPr>
        <w:pStyle w:val="Heading2"/>
      </w:pPr>
      <w:r>
        <w:t xml:space="preserve">En contra</w:t>
      </w:r>
    </w:p>
    <w:p>
      <w:pPr>
        <w:pStyle w:val="ListParagraph"/>
        <w:numPr>
          <w:ilvl w:val="0"/>
          <w:numId w:val="2"/>
        </w:numPr>
        <w:spacing w:after="60"/>
      </w:pPr>
      <w:r>
        <w:rPr>
          <w:b/>
        </w:rPr>
        <w:t xml:space="preserve">Rentabilidad esperada del 2,6 %</w:t>
      </w:r>
      <w:r>
        <w:t xml:space="preserve"> con nuestro coste de capital, por debajo del mínimo para comprar.</w:t>
      </w:r>
    </w:p>
    <w:p>
      <w:pPr>
        <w:pStyle w:val="ListParagraph"/>
        <w:numPr>
          <w:ilvl w:val="0"/>
          <w:numId w:val="2"/>
        </w:numPr>
        <w:spacing w:after="60"/>
      </w:pPr>
      <w:r>
        <w:rPr>
          <w:b/>
        </w:rPr>
        <w:t xml:space="preserve">Guía rebajada tres veces</w:t>
      </w:r>
      <w:r>
        <w:t xml:space="preserve"> desde 2022 y director financiero fuera en agosto de 2026 [43, 48, 51, 58].</w:t>
      </w:r>
    </w:p>
    <w:p>
      <w:pPr>
        <w:pStyle w:val="ListParagraph"/>
        <w:numPr>
          <w:ilvl w:val="0"/>
          <w:numId w:val="2"/>
        </w:numPr>
        <w:spacing w:after="60"/>
      </w:pPr>
      <w:r>
        <w:rPr>
          <w:b/>
        </w:rPr>
        <w:t xml:space="preserve">Tasa media a la baja</w:t>
      </w:r>
      <w:r>
        <w:t xml:space="preserve">: de 17,0 pb en 2025 a 16,2 pb en el 1S26; cada punto básico mueve el valor un 10-15 % [6].</w:t>
      </w:r>
    </w:p>
    <w:p>
      <w:pPr>
        <w:pStyle w:val="ListParagraph"/>
        <w:numPr>
          <w:ilvl w:val="0"/>
          <w:numId w:val="2"/>
        </w:numPr>
        <w:spacing w:after="60"/>
      </w:pPr>
      <w:r>
        <w:rPr>
          <w:b/>
        </w:rPr>
        <w:t xml:space="preserve">Stripe más grande</w:t>
      </w:r>
      <w:r>
        <w:t xml:space="preserve">: 1,9 billones USD procesados en 2025, por encima de Adyen [30].</w:t>
      </w:r>
    </w:p>
    <w:p>
      <w:pPr>
        <w:pStyle w:val="ListParagraph"/>
        <w:numPr>
          <w:ilvl w:val="0"/>
          <w:numId w:val="2"/>
        </w:numPr>
        <w:spacing w:after="60"/>
      </w:pPr>
      <w:r>
        <w:rPr>
          <w:b/>
        </w:rPr>
        <w:t xml:space="preserve">Primeras compras</w:t>
      </w:r>
      <w:r>
        <w:t xml:space="preserve"> (≈ 1.040 M) sin múltiplo publicado y con un punto de dilución del margen [11].</w:t>
      </w:r>
    </w:p>
    <w:p>
      <w:pPr>
        <w:pStyle w:val="Heading2"/>
      </w:pPr>
      <w:r>
        <w:t xml:space="preserve">Qué tiene que pasar para que la tesis funcione</w:t>
      </w:r>
    </w:p>
    <w:p>
      <w:pPr>
        <w:spacing w:after="100"/>
      </w:pPr>
      <w:r>
        <w:t xml:space="preserve">La tesis depende de que el volumen siga creciendo por encima del 20 % sin que la tasa media caiga más de un punto básico al año. La señal de que no se cumple sería una actualización del 3T26 (28-oct) con un volumen por debajo del 18 % o una guía de 2027 por debajo del 18 % a divisa constante; la de que el mercado se equivoca, un volumen por encima del 22 % con la tasa media estable en 16,5 pb o más.</w:t>
      </w:r>
    </w:p>
    <w:p>
      <w:pPr>
        <w:pStyle w:val="Heading2"/>
      </w:pPr>
      <w:r>
        <w:t xml:space="preserve">Indicadores de seguimiento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71"/>
        <w:gridCol w:w="1482"/>
        <w:gridCol w:w="1482"/>
        <w:gridCol w:w="4203"/>
      </w:tblGrid>
      <w:tr>
        <w:trPr>
          <w:cantSplit/>
          <w:tblHeader/>
        </w:trPr>
        <w:tc>
          <w:tcPr>
            <w:tcW w:type="dxa" w:w="24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Nivel actual</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Umbral de alerta</w:t>
            </w:r>
          </w:p>
        </w:tc>
        <w:tc>
          <w:tcPr>
            <w:tcW w:type="dxa" w:w="42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del volumen procesado</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+24 % en el 1S26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Por debajo del 18 %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 la parte de volumen del puente de ingresos.</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Tasa media (ingreso neto / volumen)</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16,2 pb en el 1S26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Por debajo de 15,5 pb</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Cada punto básico permanente mueve el valor un 10-15 %.</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EBITDA</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49,2 % en el 1S26 (52,7 % en 2025)</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Por debajo del 50 % en el 2S26</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objetivo de más del 55 % en 2028 sostiene el caso base.</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del ingreso neto a divisa constante</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+21 % en el 1S26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Guía de 2027 por debajo del 18 %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precio ya descuenta un 11,7 % medio; una guía menor acercaría el bajista.</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Caja propia</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4.898 M (jun-26)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Nuevas compras por más de 1.000 M</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Mide la disciplina en la asignación de capital.</w:t>
            </w:r>
          </w:p>
        </w:tc>
      </w:tr>
    </w:tbl>
    <w:p>
      <w:pPr>
        <w:spacing w:after="160" w:before="0"/>
      </w:pPr>
    </w:p>
    <w:p>
      <w:pPr>
        <w:pStyle w:val="Heading2"/>
      </w:pPr>
      <w:r>
        <w:t xml:space="preserve">Datos clave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EV/EBITDA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16,9x / 12,8x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PER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24,9x / 19,7x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19,0x</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EV/Ventas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8,84x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FCF</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3,8 %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dividendo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0,0 %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de ingresos (2019-2025)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28,1 %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52,4 %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ROIC último ejercicio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158,0 %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WACC</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11,7 %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(contable · ajustada)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-3,3x · -3,9x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Gobierno (criterios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 de 13</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r>
        <w:br w:type="page"/>
      </w:r>
    </w:p>
    <w:p>
      <w:pPr>
        <w:pStyle w:val="Parte"/>
      </w:pPr>
      <w:r>
        <w:t xml:space="preserve">Parte I — Negocio y sector</w:t>
      </w:r>
    </w:p>
    <w:p>
      <w:pPr>
        <w:pStyle w:val="Heading1"/>
      </w:pPr>
      <w:r>
        <w:t xml:space="preserve">1. Historia e hitos</w:t>
      </w:r>
    </w:p>
    <w:p>
      <w:pPr>
        <w:pStyle w:val="Confianza"/>
        <w:spacing w:after="100"/>
      </w:pPr>
      <w:r>
        <w:t xml:space="preserve">Confianza: Media</w:t>
      </w:r>
    </w:p>
    <w:p>
      <w:pPr>
        <w:spacing w:after="100"/>
      </w:pPr>
      <w:r>
        <w:t xml:space="preserve">Pieter van der Does y Arnout Schuijff fundaron Adyen en Ámsterdam en 2006, tras haber vendido Bibit, otro procesador de pagos [1, 36]. Desde el principio construyó una plataforma única propia en lugar de comprar sistemas ajenos, y es rentable desde 2011 [36]. Obtuvo la licencia de adquirencia paneuropea en 2012 y la licencia bancaria europea en 2017, lo que la convirtió en banco adquirente supervisado por De Nederlandsche Bank [1, 36]. Salió a bolsa en Euronext Ámsterdam el 13 de junio de 2018, el mismo año en que eBay la eligió como procesador principal [36]. Después añadió la emisión de tarjetas (2019), licencias bancarias en EE. UU. y Reino Unido y productos financieros para plataformas [1, 36]. Desde 2023 la dirigen dos consejeros delegados, Pieter van der Does e Ingo Uytdehaage [1]. En julio de 2026 cerró sus primeras compras relevantes, Talon.One y Orb [36].</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33"/>
        <w:gridCol w:w="8505"/>
      </w:tblGrid>
      <w:tr>
        <w:trPr>
          <w:cantSplit/>
          <w:tblHeader/>
        </w:trPr>
        <w:tc>
          <w:tcPr>
            <w:tcW w:type="dxa" w:w="11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8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Hito</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2006</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Fundación en Ámsterdam por Pieter van der Does y Arnout Schuijff [1, 36].</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2011</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Primer año con beneficio; Ingo Uytdehaage entra como director financiero [1, 36].</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2012</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Licencia de adquirencia paneuropea y oficinas en San Francisco, París y Londres [36].</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2014</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Ronda de 250 M USD liderada por General Atlantic [36].</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2017</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Licencia bancaria europea (entidad de crédito supervisada por DNB) y licencias de adquirencia en Singapur, Hong Kong, Australia y Nueva Zelanda [1, 36].</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2018</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Acuerdo con eBay como procesador principal (enero) y salida a bolsa en Euronext Ámsterdam el 13 de junio [36].</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2019</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Lanzamiento de Adyen Issuing (tarjetas virtuales y físicas) y oficinas en Tokio y Bombay [36].</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2023</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Ingo Uytdehaage pasa a consejero delegado junto a Pieter van der Does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Ataque DDoS el 21 de abril sobre los centros de datos europeos; conexión directa a las redes de tarjetas en India y lanzamiento de Dynamic Identification [1, 35].</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2026</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Cierre de las compras de Talon.One (fidelización y promociones) y Orb (facturación) en julio [36].</w:t>
            </w:r>
          </w:p>
        </w:tc>
      </w:tr>
    </w:tbl>
    <w:p>
      <w:pPr>
        <w:spacing w:after="160" w:before="0"/>
      </w:pPr>
    </w:p>
    <w:p>
      <w:pPr>
        <w:pStyle w:val="Heading1"/>
      </w:pPr>
      <w:r>
        <w:t xml:space="preserve">2. Modelo de negocio</w:t>
      </w:r>
    </w:p>
    <w:p>
      <w:pPr>
        <w:pStyle w:val="Confianza"/>
        <w:spacing w:after="100"/>
      </w:pPr>
      <w:r>
        <w:t xml:space="preserve">Confianza: Alta</w:t>
      </w:r>
    </w:p>
    <w:p>
      <w:pPr>
        <w:spacing w:after="100"/>
      </w:pPr>
      <w:r>
        <w:t xml:space="preserve">Adyen es una plataforma de pagos y servicios financieros construida entera en casa y operada con licencias bancarias propias en la UE, EE. UU. y Reino Unido, sin depender de bancos socios para las actividades críticas [1]. Organiza su actividad comercial en tres pilares: Digital (empresas nativas online: suscripciones, viajes, movilidad), Unified Commerce (pagos online y en tienda para grandes minoristas, hostelería y restauración) y Platforms (software y marketplaces que integran pagos, cuentas, emisión de tarjetas y préstamos para sus propios clientes) [1]. En 2025 procesó 1.394.300 M EUR de volumen (+8 %), de los que 310.900 M EUR (22 %) fueron en punto de venta, y el 84 % fue volumen en el que Adyen presta toda la cadena (pasarela, gestión de riesgo y adquirencia) [1, 5]. Tiene 4.771 empleados equivalentes y 29 oficinas en 21 países; los ingresos netos de 2025 se repartieron un 58 % EMEA, 27 % Norteamérica, 10 % Asia-Pacífico y 6 % Latinoamérica [1].</w:t>
      </w:r>
    </w:p>
    <w:p>
      <w:pPr>
        <w:pStyle w:val="Heading2"/>
      </w:pPr>
      <w:r>
        <w:t xml:space="preserve">Cómo gana dinero</w:t>
      </w:r>
    </w:p>
    <w:p>
      <w:pPr>
        <w:spacing w:after="100"/>
      </w:pPr>
      <w:r>
        <w:t xml:space="preserve">Cobra una comisión por transacción sobre el volumen procesado; las tasas de intercambio y de las redes (Visa, Mastercard) se repercuten al comercio y quedan fuera de los ingresos netos, que fueron 2.364,2 M EUR en 2025 (+18 %; +21 % a tipo constante) [1]. La tasa media (take rate) fue de 17,0 puntos básicos del volumen en 2025 frente a 15,5 en 2024, por la mezcla de comercios y no por subidas de precio [1]. El negocio es casi todo transaccional y recurrente: el crecimiento viene sobre todo de clientes existentes y la baja anual de clientes es inferior al 1 % [1]. El coste principal es el personal (756,2 M EUR, +8 %), de modo que el apalancamiento operativo es alto: el margen EBITDA pasó del 50 % al 53 % y la inversión fue el 5 % de los ingresos netos [1]. En el primer semestre de 2026 el volumen creció un 24 % (803.800 M EUR) y los ingresos netos un 19 % (1.302,9 M EUR) [6]. Los ingresos financieros por saldos en bancos centrales y comerciales (267,6 M EUR en 2025) quedan fuera de los ingresos netos y dependen de los tipos de interés [1].</w:t>
      </w:r>
    </w:p>
    <w:p>
      <w:pPr>
        <w:pStyle w:val="Heading2"/>
      </w:pPr>
      <w:r>
        <w:t xml:space="preserve">Segmentos (2025)</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678"/>
        <w:gridCol w:w="1320"/>
        <w:gridCol w:w="1320"/>
        <w:gridCol w:w="1320"/>
      </w:tblGrid>
      <w:tr>
        <w:trPr>
          <w:cantSplit/>
          <w:tblHeader/>
        </w:trPr>
        <w:tc>
          <w:tcPr>
            <w:tcW w:type="dxa" w:w="316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Segmento</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del total</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Crecimiento</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Digital</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1.335</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56,5 %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+8,6 %</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Unified Commerce</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765</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32,4 %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+29,6 %</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Platforms</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264</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11,2 %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+49,8 %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02" name="Gráfico 2" descr="Ingresos por segmento (EU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
              </a:graphicData>
            </a:graphic>
          </wp:inline>
        </w:drawing>
      </w:r>
    </w:p>
    <w:p>
      <w:pPr>
        <w:keepNext w:val="false"/>
        <w:spacing w:after="160" w:before="120"/>
        <w:jc w:val="center"/>
      </w:pPr>
      <w:r>
        <w:drawing>
          <wp:inline xmlns:wp="http://schemas.openxmlformats.org/drawingml/2006/wordprocessingDrawing" distT="0" distB="0" distL="0" distR="0">
            <wp:extent cx="5760000" cy="2340000"/>
            <wp:effectExtent l="0" t="0" r="0" b="0"/>
            <wp:docPr id="1003" name="Gráfico 3" descr="Peso de cada segmento en los ingresos (2025)"/>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3"/>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031"/>
        <w:gridCol w:w="1302"/>
        <w:gridCol w:w="1305"/>
      </w:tblGrid>
      <w:tr>
        <w:trPr>
          <w:cantSplit/>
          <w:tblHeader/>
        </w:trPr>
        <w:tc>
          <w:tcPr>
            <w:tcW w:type="dxa" w:w="31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Ingresos por segmento</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2024</w:t>
            </w:r>
          </w:p>
        </w:tc>
        <w:tc>
          <w:tcPr>
            <w:tcW w:type="dxa" w:w="13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2025</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Digital</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1.230</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1.335</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Unified Commerce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591</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765</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Platforms</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176</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264</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04" name="Gráfico 4" descr="Ingresos por geografía, según origen (% del total)"/>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4"/>
              </a:graphicData>
            </a:graphic>
          </wp:inline>
        </w:drawing>
      </w:r>
    </w:p>
    <w:p>
      <w:pPr>
        <w:pStyle w:val="Heading2"/>
      </w:pPr>
      <w:r>
        <w:t xml:space="preserve">Clientes, recurrencia y poder de precios</w:t>
      </w:r>
    </w:p>
    <w:p>
      <w:pPr>
        <w:spacing w:after="100"/>
      </w:pPr>
      <w:r>
        <w:t xml:space="preserve">Adyen sirve a grandes empresas y plataformas globales; no publica el peso de su primer cliente ni de los diez primeros, pero reconoce que los grandes comercios trabajan con varios procesadores y pueden mover volumen a otro, y que incorporar un cliente de gran volumen puede subir temporalmente la concentración [1]. La baja de clientes siguió por debajo del 1 % en 2025, excluido un comercio [1]. El poder de precios es limitado en las grandes cuentas: la propia compañía declara un apetito de riesgo moderado ante la competencia en precio y renuncia a contratos cuando el precio es insostenible [1]. La tasa media subió de 15,5 a 17,0 puntos básicos en 2025 por mezcla de clientes, no por subidas de tarifa [1]. Los clientes de enrutamiento de Adyen Uplift ahorraron de media un 9,62 % en tasas de intercambio y de red y tuvieron un 42 % menos de falsos positivos de fraude, un argumento de retención más que de precio [1]. En Platforms, 31 clientes procesaron más de 1.000 M EUR cada uno en 2025 [1].</w:t>
      </w:r>
    </w:p>
    <w:p>
      <w:pPr>
        <w:pStyle w:val="Heading2"/>
      </w:pPr>
      <w:r>
        <w:t xml:space="preserve">Indicadores operativos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0"/>
        <w:gridCol w:w="1220"/>
        <w:gridCol w:w="1220"/>
        <w:gridCol w:w="1098"/>
        <w:gridCol w:w="3660"/>
      </w:tblGrid>
      <w:tr>
        <w:trPr>
          <w:cantSplit/>
          <w:tblHeader/>
        </w:trPr>
        <w:tc>
          <w:tcPr>
            <w:tcW w:type="dxa" w:w="24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Anterior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Variación</w:t>
            </w:r>
          </w:p>
        </w:tc>
        <w:tc>
          <w:tcPr>
            <w:tcW w:type="dxa" w:w="366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Volumen procesado (mil millones EUR)</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1.285,9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1.394,3 (2025); 1.549,1 LTM jun-26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+8 % (2025); +24 % en 1S26</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2025 frenado por la salida de volumen de un gran cliente de Digital; sin él, +19 % en el 3T25 [5, 6, 13].</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Take rate (ingreso neto / volumen, pb)</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15,5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 (2025); 16,2 en 1S26; 16,6 LTM</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pb</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Serie: 22,3 (2019), 22,5 (2020), 19,4 (2021), 17,3 (2022), 16,8 (2023). Cae al entrar volumen de grandes clientes con precio escalonado; repunta en 2025 por mezcla [1, 5, 8, 9].</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Volumen en tienda (POS, % del total)</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18 %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22 % (2025); 22 % en 1S26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 pp</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310,9 mil millones de EUR en 2025 [5].</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EBITDA</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49,7 %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52,7 % (2025); 49,2 % en 1S26 (50 % sin costes de las compras)</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pp</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Objetivo: por encima del 55 % en 2028; 2026 un punto por debajo de 2025 por la dilución de las compras [6, 11, 15].</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Plantilla (FTE)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4.345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4.771 (2025); 5.020 (jun-26)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+426 en 2025; +249 en 1S26</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Objetivo 2026: 550-650 incorporaciones netas [5, 6, 14].</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 (miles de millones)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29,2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34,0 (2025); 19,3 en 1S26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[5, 6]</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Ingreso neto por región 1S26 (M EUR)</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EMEA 1.360,7; NA 633,3; APAC 236,5; LatAm 133,8 (2025)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EMEA 722,5; NA 358,1; APAC 136,9; LatAm 85,3 (1S26)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1S26: EMEA +15 %, NA +23 % (+30 % cc), APAC +23 %, LatAm +43 %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lugar de facturación pedido por el comerciante [1, 11].</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Terminales en tienda (Unified Commerce, miles)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368 (1T25)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453 (1T26)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+85</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Más 315.000 terminales de plataformas [14].</w:t>
            </w:r>
          </w:p>
        </w:tc>
      </w:tr>
    </w:tbl>
    <w:p>
      <w:pPr>
        <w:spacing w:after="160" w:before="0"/>
      </w:pPr>
    </w:p>
    <w:p>
      <w:pPr>
        <w:pStyle w:val="Heading1"/>
      </w:pPr>
      <w:r>
        <w:t xml:space="preserve">3. Sector y mercado</w:t>
      </w:r>
    </w:p>
    <w:p>
      <w:pPr>
        <w:pStyle w:val="Confianza"/>
        <w:spacing w:after="100"/>
      </w:pPr>
      <w:r>
        <w:t xml:space="preserve">Confianza: Media</w:t>
      </w:r>
    </w:p>
    <w:p>
      <w:pPr>
        <w:spacing w:after="100"/>
      </w:pPr>
      <w:r>
        <w:t xml:space="preserve">El mercado relevante es el procesamiento y la adquirencia de pagos para comercios: aceptar, autorizar y liquidar pagos con tarjeta y otros métodos (monederos, cuenta a cuenta) online y en tienda, en todo el mundo. Se mide en volumen porque es la base sobre la que cobran los adquirentes. Uso como perímetro el volumen de pagos (sin retiradas de efectivo) de las cinco grandes redes internacionales de tarjetas (Visa, Mastercard, American Express, JCB y Diners/Discover), que publica Visa en su 10-K con datos de The Nilson Report [17, 18, 19, 20, 21, 22]; no incluye UnionPay ni las redes domésticas, que Adyen apenas toca. Lo contrasto con la estadística del BCE para la zona del euro, donde los pagos con tarjeta sumaron unos 3,5 billones EUR en 2025 [32, 33], y con el fondo de ingresos de McKinsey: 2,5 billones USD de ingresos del sector de pagos en 2024, con un 46 % de margen financiero, perímetro mucho más amplio que la adquirencia [31]. El TCAC previsto (4 %) es el de esos ingresos según McKinsey hasta 2029, no el del volumen [31].</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Tamaño del 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 23,8 billones USD de volumen de pagos con tarjeta de las cinco redes internacionales en 2024 (≈ 22,9 billones EUR al tipo del BCE de 31-dic-2024, 1,0389) [18, 34]; Visa sola procesó 13,9 billones USD en los doce meses a junio de 2025 [17]. En ingresos, el sector de pagos generó 2,5 billones USD en 2024 [31]; el fondo de ingresos netos de la adquirencia no se publica en las fuentes consultadas.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 en el ciclo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Madurez del ciclo</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histórico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9,0 %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previsto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4,0 %</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Estructura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Moderadamente concentrada</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5" name="Gráfico 5" descr="Tamaño del mercado (miles de millones de USD (volumen de pagos de Visa, Mastercard, American Express, JCB y Diners/Discover, año natural)) · «e» = previsión"/>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5"/>
              </a:graphicData>
            </a:graphic>
          </wp:inline>
        </w:drawing>
      </w:r>
    </w:p>
    <w:p>
      <w:pPr>
        <w:pStyle w:val="Heading2"/>
      </w:pPr>
      <w:r>
        <w:t xml:space="preserve">Motores de la demanda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3"/>
        <w:gridCol w:w="876"/>
        <w:gridCol w:w="1251"/>
        <w:gridCol w:w="5008"/>
      </w:tblGrid>
      <w:tr>
        <w:trPr>
          <w:cantSplit/>
          <w:tblHeader/>
        </w:trPr>
        <w:tc>
          <w:tcPr>
            <w:tcW w:type="dxa" w:w="25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Motor</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Horizonte</w:t>
            </w:r>
          </w:p>
        </w:tc>
        <w:tc>
          <w:tcPr>
            <w:tcW w:type="dxa" w:w="50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Sustitución del efectivo por pagos electrónicos</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efectivo bajó al 46 % de los pagos mundiales en 2024 desde el 50 % en 2023 [31]; el volumen de las cinco redes creció un 9,0 % anual en 2019-2024 [18, 22].</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Comercio electrónico y pagos a distancia</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 la zona del euro, los pagos a distancia fueron el 30 % del valor de los pagos con tarjeta en el segundo semestre de 2025, frente al 28 % un año antes [32].</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Pago en tienda sin contacto y comercio unificado</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Los pagos sin contacto en terminal crecieron un 11,9 % en número en el segundo semestre de 2025 en la zona del euro [32]; el volumen en punto de venta de Adyen pasó del 18 % al 22 % de su total en 2025 [1].</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Consumo nominal e inflación</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valor de los pagos con tarjeta en la zona del euro creció un 8,7 % y un 6,9 % en los dos semestres de 2025 [32, 33]; Adyen señala que la presión de la inflación sobre su volumen se moderó en 2025 [1].</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Métodos de menor margen y presión de precios</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McKinsey prevé que los ingresos del sector crezcan solo un 4 % anual hasta 2029 por el paso a cuenta a cuenta y monederos y la presión de tarifas en tarjetas [31].</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Tipos de interés</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margen financiero fue el 46 % de los ingresos del sector en 2024 y crecerá un 2 % anual [31]; Adyen ingresó 267,6 M EUR financieros en 2025, fuera de sus ingresos netos [1].</w:t>
            </w:r>
          </w:p>
        </w:tc>
      </w:tr>
    </w:tbl>
    <w:p>
      <w:pPr>
        <w:spacing w:after="160" w:before="0"/>
      </w:pPr>
    </w:p>
    <w:p>
      <w:pPr>
        <w:pStyle w:val="Heading2"/>
      </w:pPr>
      <w:r>
        <w:t xml:space="preserve">Las cinco fuerzas</w:t>
      </w:r>
    </w:p>
    <w:p>
      <w:pPr>
        <w:keepNext w:val="false"/>
        <w:spacing w:after="160" w:before="120"/>
        <w:jc w:val="center"/>
      </w:pPr>
      <w:r>
        <w:drawing>
          <wp:inline xmlns:wp="http://schemas.openxmlformats.org/drawingml/2006/wordprocessingDrawing" distT="0" distB="0" distL="0" distR="0">
            <wp:extent cx="5760000" cy="2700000"/>
            <wp:effectExtent l="0" t="0" r="0" b="0"/>
            <wp:docPr id="1006" name="Gráfico 6" descr="Cinco fuerzas: intensidad (1 = favorable, 5 = desfavorabl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6"/>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1204"/>
        <w:gridCol w:w="6025"/>
      </w:tblGrid>
      <w:tr>
        <w:trPr>
          <w:cantSplit/>
          <w:tblHeader/>
        </w:trPr>
        <w:tc>
          <w:tcPr>
            <w:tcW w:type="dxa" w:w="24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Fuerza</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Intensidad (1-5)</w:t>
            </w:r>
          </w:p>
        </w:tc>
        <w:tc>
          <w:tcPr>
            <w:tcW w:type="dxa" w:w="60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Justificación</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Rivalidad</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Stripe procesó 1,9 billones USD en 2025, más que Adyen [30]; Global Payments compró Worldpay en enero de 2026 [27]; Worldline y Nexi registraron deterioros de fondo de comercio de 4.700 M y 3.700 M EUR en 2025 por la caída de valor de los adquirentes tradicionales [28, 29].</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clientes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Los grandes comercios reparten volumen entre varios procesadores y negocian precio; Adyen acepta perder contratos con precios insostenibles [1]. PayPal cedió volumen de Braintree en 2025 al renegociar precios con comercios [24].</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proveedores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Visa y Mastercard, proveedores de la red, tienen márgenes operativos del 60,0 % y el 57,6 % [17, 23]; sus tasas se repercuten al comercio, pero limitan el margen total del comercio y alimentan la presión regulatoria [17].</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Amenaza de entrada</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Exige licencias bancarias y de adquirencia en cada región, conexión directa con las redes y escala: Adyen tardó desde 2012 en sumar licencias en la UE, EE. UU. y Reino Unido [1, 36]. Los entrantes compiten por tramos de la cadena (orquestación, pasarelas) [1].</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Amenaza de sustitutos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Los monederos ya son cerca del 30 % del volumen mundial en punto de venta y los pagos de cuenta a cuenta ganan peso [31]; Worldline ya lanza Wero en Alemania [28]. Adyen procesa también estos métodos, pero con menor tasa.</w:t>
            </w:r>
          </w:p>
        </w:tc>
      </w:tr>
    </w:tbl>
    <w:p>
      <w:pPr>
        <w:spacing w:after="160" w:before="0"/>
      </w:pPr>
    </w:p>
    <w:p>
      <w:pPr>
        <w:pStyle w:val="Heading2"/>
      </w:pPr>
      <w:r>
        <w:t xml:space="preserve">Ciclo</w:t>
      </w:r>
    </w:p>
    <w:p>
      <w:pPr>
        <w:spacing w:after="100"/>
      </w:pPr>
      <w:r>
        <w:t xml:space="preserve">El volumen de las cinco redes crece a un ritmo nominal de un dígito alto (+7 % en 2024 [18]; Visa +7 % y Mastercard +9 % en 2025 [17, 23]), por debajo del +23 % de 2021 y sin aceleración. En 2020 el volumen cayó un 1,9 % (de 15.425 a 15.133 miles de millones USD) por el hundimiento de los viajes y se recuperó un 23 % en 2021 [20, 21, 22]; en 2022 la inflación empujó el valor nominal un 8,9 % [19, 20]. Para 2008-09 no hay serie en las fuentes leídas. El sector es poco cíclico en volumen, pero sí en ingresos financieros, que McKinsey ve estancados con la bajada de tipos [31].</w:t>
      </w:r>
    </w:p>
    <w:p>
      <w:pPr>
        <w:pStyle w:val="Heading2"/>
      </w:pPr>
      <w:r>
        <w:t xml:space="preserve">Regulación</w:t>
      </w:r>
    </w:p>
    <w:p>
      <w:pPr>
        <w:spacing w:after="100"/>
      </w:pPr>
      <w:r>
        <w:t xml:space="preserve">Adyen es entidad de crédito supervisada por De Nederlandsche Bank: cualquier nombramiento en sus consejos exige su aprobación y la solvencia y liquidez se rigen por la normativa bancaria europea [1]. El reglamento europeo de tasas de intercambio limita esas tasas y la exclusividad de red en el EEE [17]. La compañía está adaptándose a la nueva normativa europea de servicios de pago (PSD3 y su reglamento) y a los estándares de seguridad PCI [1]. En Reino Unido, el regulador de pagos revisa las tasas de red y procesamiento y propone limitar el intercambio transfronterizo Reino Unido-UE [17]; en EE. UU. puede reintroducirse la Credit Card Competition Act sobre el enrutamiento de las tarjetas de crédito [17]. La resiliencia operativa (DORA) y la regulación de criptoactivos (MiCA) afectan a todo el sector, pero no he encontrado en las fuentes leídas su efecto en cifras para Adyen.</w:t>
      </w:r>
    </w:p>
    <w:p>
      <w:pPr>
        <w:pStyle w:val="Heading2"/>
      </w:pPr>
      <w:r>
        <w:t xml:space="preserve">Tendencias y disrupción</w:t>
      </w:r>
    </w:p>
    <w:p>
      <w:pPr>
        <w:spacing w:after="100"/>
      </w:pPr>
      <w:r>
        <w:t xml:space="preserve">Tres cambios dominan. Primero, la inteligencia artificial aplicada al riesgo y al enrutamiento: Adyen Uplift ahorró a sus clientes un 9,62 % en tasas y el enrutamiento inteligente en EE. UU. un 9,2 % de coste en las transacciones evaluadas [1]; con más volumen, mejores datos, lo que favorece a las plataformas grandes y únicas. Segundo, el comercio mediante agentes de IA, que Visa y Adyen ya preparan y que la compañía ve como un canal más, no como un atajo que la saque de la cadena [1, 17]. Tercero, los métodos alternativos: monederos (≈ 30 % del punto de venta mundial), cuenta a cuenta y monedas estables, que McKinsey ve integrados por los adquirentes en una sola solución [31]. Adyen gana con el primero y puede perder margen con el tercero si la mezcla se desplaza a métodos de menor tasa.</w:t>
      </w:r>
    </w:p>
    <w:p>
      <w:pPr>
        <w:pStyle w:val="Heading1"/>
      </w:pPr>
      <w:r>
        <w:t xml:space="preserve">4. Posición competitiva y foso</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Cuota de 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5,6 %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Uno de los mayores adquirentes globales para grandes empresas y plataformas: 1.394.300 M EUR procesados en 2025 [1], por detrás de Stripe (1,9 billones USD, ≈ 1,62 billones EUR) [30] y por delante de Nexi (837.000 M EUR) [29]; su volumen casi se duplicó desde 767.500 M EUR en 2022 [5, 8]. Estimación propia de cuota: el volumen de Adyen de 2024 (1.285.900 M EUR, ≈ 1,34 billones USD al tipo de 31-dic-2024) equivale al 5,6 % del volumen de las cinco redes internacionales de tarjetas (23,8 billones USD) [5, 18, 34]; es un máximo, porque el volumen de Adyen incluye también monederos y otros métodos que no pasan por esas redes.</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Estrecho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Tendencia del 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Estable</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6"/>
        <w:gridCol w:w="847"/>
        <w:gridCol w:w="953"/>
        <w:gridCol w:w="1059"/>
        <w:gridCol w:w="847"/>
        <w:gridCol w:w="847"/>
        <w:gridCol w:w="3179"/>
      </w:tblGrid>
      <w:tr>
        <w:trPr>
          <w:cantSplit/>
          <w:tblHeader/>
        </w:trPr>
        <w:tc>
          <w:tcPr>
            <w:tcW w:type="dxa" w:w="19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Competidor</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Cotiza</w:t>
            </w:r>
          </w:p>
        </w:tc>
        <w:tc>
          <w:tcPr>
            <w:tcW w:type="dxa" w:w="105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(M)</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Cuota</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w:t>
            </w:r>
          </w:p>
        </w:tc>
        <w:tc>
          <w:tcPr>
            <w:tcW w:type="dxa" w:w="3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Cómo compite</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Stripe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UU./Irlanda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Privada. Procesó 1,9 billones USD en 2025, el 1,6 % del PIB mundial (≈ 1,62 billones EUR al tipo de 31-dic-2025) [30, 34]. Competidor más directo en Digital y Platforms; no publica ingresos ni margen.</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Fiserv (Clover, adquirencia)</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FI</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18.037</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27,5 %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Ingresos de 21.193 M USD en 2025; el segmento Merchant facturó 10.140 M USD con margen operativo del 34,5 % (37,0 % en 2024) [26]. Fuerte en pymes de EE. UU. con Clover y en adquirencia bancaria.</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PayPal (incl. Braintree)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PYPL</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28.231</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7,1 %</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18,3 %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Ingresos de 33.172 M USD en 2025; volumen total 1,79 billones USD (+7 %) [24]. Braintree compite con Adyen en grandes cuentas digitales; en 2025 renegoció precios y perdió volumen en el primer semestre [24]. Cuota sobre las cinco redes con el volumen de 2024 (1,68 billones USD), máximo por incluir pagos entre particulares.</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Block (Square)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XYZ</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20.590</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Ingresos de 24.194 M USD en 2025 (incluye venta de bitcoin); Square procesó 250.000 M USD para más de 4,5 millones de vendedores [25]. Compite en pymes y mediana empresa, no en las grandes cuentas de Adyen.</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Global Payments (con Worldpay desde ene-2026)</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GPN</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6.558</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22,8 %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Ingresos de 7.706 M USD en 2025 sin el negocio de emisores (en venta) y antes de integrar Worldpay, comprado en enero de 2026 [27]. La suma la convierte en uno de los mayores adquirentes del mundo.</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Worldline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Francia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WLN</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4.030</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Ingresos de 4.030 M EUR en 2025 (−2,7 %), de ellos 3.238 M EUR en servicios a comercios; EBITDA ajustado del 18,3 % y deterioro de fondo de comercio de 4.700 M EUR, de modo que el resultado operativo publicado es fuertemente negativo [28]. Vende negocios y prepara una ampliación de capital de 500 M EUR [28].</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Nexi</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Italia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NEXI</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3.590</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26,4 %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Ingresos netos publicados de 3.590 M EUR en 2025 y EBITDA de 1.908 M EUR; el margen es el resultado antes de partidas no recurrentes (EBITDA menos 962 M EUR de amortizaciones), porque el deterioro de 3.700 M EUR deja el resultado operativo en negativo [29]. Merchant Solutions procesó 837.000 M EUR (+4,9 % en número de operaciones) [29].</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Visa (red, no competidor directo)</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34.069</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56,5 %</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60,0 %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Ejercicio a septiembre de 2025: ingresos netos de 40.000 M USD (al tipo de 30-sep-2025) [17, 34]. Cuota en el volumen de las cinco redes en 2024 (13.433 de 23.769 miles de millones USD) [17]. Proveedor de red de Adyen, no rival en adquirencia.</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Mastercard (red, no competidor directo)</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27.907</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33,7 %</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57,6 %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Ingresos netos de 32.791 M USD en 2025 y volumen bruto (con efectivo) de 10,6 billones USD [23]. Cuota en el volumen de las cinco redes en 2024 (8.014 de 23.769 miles de millones USD) [17].</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7" name="Gráfico 7" descr="Margen EBIT: la empresa frente a sus competidores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7"/>
              </a:graphicData>
            </a:graphic>
          </wp:inline>
        </w:drawing>
      </w:r>
    </w:p>
    <w:p>
      <w:pPr>
        <w:pStyle w:val="Heading2"/>
      </w:pPr>
      <w:r>
        <w:t xml:space="preserve">Fuentes de ventaja competitiva</w:t>
      </w:r>
    </w:p>
    <w:p>
      <w:pPr>
        <w:keepNext w:val="false"/>
        <w:spacing w:after="160" w:before="120"/>
        <w:jc w:val="center"/>
      </w:pPr>
      <w:r>
        <w:drawing>
          <wp:inline xmlns:wp="http://schemas.openxmlformats.org/drawingml/2006/wordprocessingDrawing" distT="0" distB="0" distL="0" distR="0">
            <wp:extent cx="5760000" cy="1980000"/>
            <wp:effectExtent l="0" t="0" r="0" b="0"/>
            <wp:docPr id="1008" name="Gráfico 8" descr="Fuentes de ventaja competitiva (0 = inexistente, 5 = muy fuert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8"/>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24"/>
        <w:gridCol w:w="1235"/>
        <w:gridCol w:w="6179"/>
      </w:tblGrid>
      <w:tr>
        <w:trPr>
          <w:cantSplit/>
          <w:tblHeader/>
        </w:trPr>
        <w:tc>
          <w:tcPr>
            <w:tcW w:type="dxa" w:w="22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c>
          <w:tcPr>
            <w:tcW w:type="dxa" w:w="12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Puntuación (0-5)</w:t>
            </w:r>
          </w:p>
        </w:tc>
        <w:tc>
          <w:tcPr>
            <w:tcW w:type="dxa" w:w="6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Efectos de red</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es una red de dos lados como Visa, pero los datos de todo el volumen alimentan el riesgo y el enrutamiento: Uplift redujo un 42 % los falsos positivos y Dynamic Identification usa la actividad de toda la plataforma [1]. Cuanto más volumen, mejores modelos.</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Costes de cambio</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Baja de clientes inferior al 1 % en 2025 y crecimiento sobre todo con clientes existentes [1], pero los grandes comercios trabajan con varios procesadores y pueden mover volumen sin salir del todo [1].</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Intangibles (marca, patentes, licencias)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Licencias bancarias propias en la UE, EE. UU. y Reino Unido y conexión directa con las redes (incluida RuPay en India en 2025) [1]; pocos competidores operan sin bancos socios en las tres regiones.</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Ventaja en costes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Una sola plataforma desarrollada en casa: margen EBITDA del 53 % con 4.771 empleados y una inversión del 5 % de los ingresos [1], frente al 18,3 % de EBITDA ajustado de Worldline, que mantiene plataformas heredadas que aún está cerrando [16].</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Escala eficiente</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3</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1,39 billones EUR procesados en 2025 [1], pero Stripe es mayor (1,9 billones USD) [18] y Global Payments ganó escala con Worldpay [15]; el mercado admite varios grandes y el precio se negocia cuenta a cuenta.</w:t>
            </w:r>
          </w:p>
        </w:tc>
      </w:tr>
    </w:tbl>
    <w:p>
      <w:pPr>
        <w:spacing w:after="160" w:before="0"/>
      </w:pPr>
    </w:p>
    <w:p>
      <w:pPr>
        <w:pStyle w:val="Heading2"/>
      </w:pPr>
      <w:r>
        <w:t xml:space="preserve">Amenazas</w:t>
      </w:r>
    </w:p>
    <w:p>
      <w:pPr>
        <w:spacing w:after="100"/>
      </w:pPr>
      <w:r>
        <w:t xml:space="preserve">La principal es Stripe, mayor en volumen (1,9 billones USD en 2025 [30]) y fuerte en Digital y Platforms, los pilares que más pesan en Adyen [1]. Segunda, la presión de precios en grandes cuentas: los comercios reparten volumen entre varios procesadores y Adyen reconoce que algunos rivales compran cuota con precio [1]; la subida de la tasa media a 17,0 puntos básicos se debe a la mezcla y puede revertir si vuelven grandes comercios de menor tasa. Tercera, los métodos alternativos (cuenta a cuenta, monederos con ≈ 30 % del punto de venta mundial y monedas estables), que reducen la tasa por transacción [31]. Cuarta, la consolidación de Global Payments con Worldpay [27]. La probabilidad de una erosión fuerte del margen en cinco años la considero baja-media, porque la baja de clientes sigue por debajo del 1 % [1].</w:t>
      </w:r>
    </w:p>
    <w:p>
      <w:r>
        <w:br w:type="page"/>
      </w:r>
    </w:p>
    <w:p>
      <w:pPr>
        <w:pStyle w:val="Parte"/>
      </w:pPr>
      <w:r>
        <w:t xml:space="preserve">Parte II — Finanzas</w:t>
      </w:r>
    </w:p>
    <w:p>
      <w:pPr>
        <w:pStyle w:val="Heading1"/>
      </w:pPr>
      <w:r>
        <w:t xml:space="preserve">5. Cuenta de resultados</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54"/>
        <w:gridCol w:w="973"/>
        <w:gridCol w:w="778"/>
        <w:gridCol w:w="876"/>
        <w:gridCol w:w="827"/>
        <w:gridCol w:w="827"/>
        <w:gridCol w:w="778"/>
        <w:gridCol w:w="827"/>
        <w:gridCol w:w="681"/>
        <w:gridCol w:w="681"/>
        <w:gridCol w:w="736"/>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9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c>
          <w:tcPr>
            <w:tcW w:type="dxa" w:w="7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Tipo imp.</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2019</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534</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317</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59,3 %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295</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55,1 %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234</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7,67</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684</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+28,1 %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403</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58,8 %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374</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54,6 %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261</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8,51</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1.002</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+46,4 %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630</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62,9 %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595</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59,4 %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470</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15,31</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1.330</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+32,8 %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728</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54,8 %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665</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50,0 %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564</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18,17</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1.626</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+22,2 %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743</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45,7 %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658</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40,4 %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698</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22,41</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1.996</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+22,8 %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992</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49,7 %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888</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44,5 %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925</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29,59</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2.364</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+18,4 %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1.246</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52,7 %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1.110</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46,9 %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1.063</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33,61</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24 %</w:t>
            </w:r>
          </w:p>
        </w:tc>
      </w:tr>
    </w:tbl>
    <w:p>
      <w:pPr>
        <w:spacing w:after="160" w:before="0"/>
      </w:pPr>
    </w:p>
    <w:p>
      <w:pPr>
        <w:spacing w:after="100"/>
      </w:pPr>
      <w:r>
        <w:t xml:space="preserve">Crecimiento anual compuesto 2019-2025: ingresos </w:t>
      </w:r>
      <w:r>
        <w:rPr>
          <w:b/>
          <w:bCs/>
        </w:rPr>
        <w:t xml:space="preserve">28,1 %</w:t>
      </w:r>
      <w:r>
        <w:t xml:space="preserve">, EBITDA </w:t>
      </w:r>
      <w:r>
        <w:rPr>
          <w:b/>
          <w:bCs/>
        </w:rPr>
        <w:t xml:space="preserve">25,6 %</w:t>
      </w:r>
      <w:r>
        <w:t xml:space="preserve">, BPA </w:t>
      </w:r>
      <w:r>
        <w:rPr>
          <w:b/>
          <w:bCs/>
        </w:rPr>
        <w:t xml:space="preserve">27,9 %</w:t>
      </w:r>
      <w:r>
        <w:t xml:space="preserve">.</w:t>
      </w:r>
    </w:p>
    <w:p>
      <w:pPr>
        <w:keepNext w:val="false"/>
        <w:spacing w:after="160" w:before="120"/>
        <w:jc w:val="center"/>
      </w:pPr>
      <w:r>
        <w:drawing>
          <wp:inline xmlns:wp="http://schemas.openxmlformats.org/drawingml/2006/wordprocessingDrawing" distT="0" distB="0" distL="0" distR="0">
            <wp:extent cx="5760000" cy="2700000"/>
            <wp:effectExtent l="0" t="0" r="0" b="0"/>
            <wp:docPr id="1009" name="Gráfico 9" descr="Ingresos y EBITDA (EUR, millones) · «e» = proyección propia del DCF"/>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9"/>
              </a:graphicData>
            </a:graphic>
          </wp:inline>
        </w:drawing>
      </w:r>
    </w:p>
    <w:p>
      <w:pPr>
        <w:keepNext w:val="false"/>
        <w:spacing w:after="160" w:before="120"/>
        <w:jc w:val="center"/>
      </w:pPr>
      <w:r>
        <w:drawing>
          <wp:inline xmlns:wp="http://schemas.openxmlformats.org/drawingml/2006/wordprocessingDrawing" distT="0" distB="0" distL="0" distR="0">
            <wp:extent cx="5760000" cy="2700000"/>
            <wp:effectExtent l="0" t="0" r="0" b="0"/>
            <wp:docPr id="1010" name="Gráfico 10" descr="Márgenes (% de ingres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0"/>
              </a:graphicData>
            </a:graphic>
          </wp:inline>
        </w:drawing>
      </w:r>
    </w:p>
    <w:p>
      <w:pPr>
        <w:spacing w:after="100"/>
      </w:pPr>
      <w:r>
        <w:t xml:space="preserve">El ingreso neto se multiplicó por 4,4 entre 2019 (534,3 M) y 2025 (2.364,2 M), sin compras: todo el crecimiento es orgánico hasta el cierre de Talon.One y Orb el 1-jul-2026, que la empresa espera que sumen un punto de crecimiento en 2026 [1, 11]. El ritmo se ha moderado: +46 % en 2021, +33 % en 2022, +22 % en 2023, +23 % en 2024 y +18 % en 2025 (+21 % a divisa constante) [5, 7, 8, 9]. El margen EBITDA tocó máximo en 2021 (62,9 %), cayó 1.720 pb hasta el 45,7 % de 2023 al acelerar la contratación (sueldos y salarios de 199,1 M en 2021 a 514,3 M en 2023) y se recupera con el apalancamiento operativo: 49,7 % en 2024 y 52,7 % en 2025 [5, 8, 9]. El beneficio neto crece más que el EBIT desde 2023 por los intereses de la caja (incluida la de comerciantes) en bancos centrales y comerciales: los ingresos financieros pasaron de 1,0 M (2021) a 29,3 M (2022), 246,4 M (2023), 349,8 M (2024) y 267,6 M (2025), un 19 % del BAI de 2025; con tipos más bajos frenaron el beneficio en 2025 [1, 2]. En 1S26 el ingreso neto creció un 19 % (21 % a divisa constante) y el EBITDA un 18 % [11].</w:t>
      </w:r>
    </w:p>
    <w:p>
      <w:pPr>
        <w:pStyle w:val="Heading2"/>
      </w:pPr>
      <w:r>
        <w:t xml:space="preserve">Ajustes y partidas no recurrentes</w:t>
      </w:r>
    </w:p>
    <w:p>
      <w:pPr>
        <w:spacing w:after="100"/>
      </w:pPr>
      <w:r>
        <w:t xml:space="preserve">Ingresos = ingresos netos (net revenue), la medida que usa la dirección y la única comparable en toda la serie: hasta 2023 los ingresos NIIF incluían interchange y tasas de esquema (ingresos brutos de 5.995,4 M en 2021 y 8.935,6 M en 2022, frente a 1.001,5 M y 1.330,2 M netos); desde 2024 la cuenta parte de los «non-interest revenue» (2.646,9 M en 2025) menos los costes de entidades financieras (193,0 M) y el coste de los terminales vendidos (102,3 M), más el margen de intereses de los productos financieros (12,6 M en 2025) [1, 5, 9]. Por eso no hay coste de ventas separado: lo que se descuenta ya está antes del ingreso neto. El EBITDA es el que publica Adyen (resultado de explotación más amortizaciones, con NIIF 16), sin ajustes; incluye la remuneración en acciones (42,4 M en 2025). No recurrentes: 6,0 M de costes de las compras de Talon.One y Orb en 1S26, sacados del EBITDA de los últimos doce meses [11]; los «otros resultados financieros» de 2020 (−42,7 M) y 2023 (+43,4 M) recogen sobre todo la revalorización del warrant concedido a eBay, fuera del EBITDA [2, 3]. 2019 está reexpresado por la corrección de comisiones de esquema duplicadas detectada en 2020 (ingreso neto antes publicado: 496,7 M) [4, 10].</w:t>
      </w:r>
    </w:p>
    <w:p>
      <w:pPr>
        <w:pStyle w:val="Heading1"/>
      </w:pPr>
      <w:r>
        <w:t xml:space="preserve">6. Resultados recientes</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62"/>
        <w:gridCol w:w="1220"/>
        <w:gridCol w:w="1220"/>
        <w:gridCol w:w="1220"/>
        <w:gridCol w:w="1220"/>
        <w:gridCol w:w="1220"/>
        <w:gridCol w:w="976"/>
      </w:tblGrid>
      <w:tr>
        <w:trPr>
          <w:cantSplit/>
          <w:tblHeader/>
        </w:trPr>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interanual</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orgánico</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1S23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739</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+21,5 %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43,3 %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2S23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887</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+22,9 %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47,7 %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1S24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+23,6 %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46,3 %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2S24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+22,1 %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569</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52,6 %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1S25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+19,7 %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49,7 %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15,22</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2S25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1.271</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+17,4 %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702</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55,3 %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1S26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1.303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+19,1 %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642</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49,2 %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17,18</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1" name="Gráfico 11" descr="Crecimiento interanual por trimestr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1"/>
              </a:graphicData>
            </a:graphic>
          </wp:inline>
        </w:drawing>
      </w:r>
    </w:p>
    <w:p>
      <w:pPr>
        <w:pStyle w:val="Heading2"/>
      </w:pPr>
      <w:r>
        <w:t xml:space="preserve">Lo que dijo la dirección en las últimas presentaciones</w:t>
      </w:r>
    </w:p>
    <w:p>
      <w:pPr>
        <w:spacing w:after="100"/>
      </w:pPr>
      <w:r>
        <w:rPr>
          <w:b/>
        </w:rPr>
        <w:t xml:space="preserve">H2 2025 (11-feb-2026).</w:t>
      </w:r>
      <w:r>
        <w:t xml:space="preserve"> Tras el Investor Day de noviembre de 2025, en el que Adyen sustituyó el objetivo plurianual por una guía anual de crecimiento, la dirección dio para 2026 un crecimiento del ingreso neto del 20-22 % a divisa constante, un margen EBITDA «en línea con 2025» con 550-650 incorporaciones netas, capex de hasta el 5 % del ingreso neto y el objetivo de margen EBITDA por encima del 55 % en 2028 [12, 16]. Justificó la menor visibilidad (6-12 meses) y esperaba un crecimiento del volumen de mercado similar al de 2025 [12].</w:t>
      </w:r>
    </w:p>
    <w:p>
      <w:pPr>
        <w:spacing w:after="100"/>
      </w:pPr>
      <w:r>
        <w:rPr>
          <w:b/>
        </w:rPr>
        <w:t xml:space="preserve">H1 2026 (13-ago-2026).</w:t>
      </w:r>
      <w:r>
        <w:t xml:space="preserve"> El discurso cambia: Adyen se presenta como «sistema operativo financiero completo» y no solo como empresa de pagos, tras cerrar Talon.One y Orb el 1-jul-2026 [11, 15]. Subió la guía a 21-23 % a divisa constante, con un punto por las compras (dos en el segundo semestre) y el negocio orgánico sin cambios; el margen EBITDA de 2026 quedará un punto por debajo de 2025 por la dilución de las compras, y el capex sube al 7 % del ingreso neto al adelantar a 2026 inversión en centros de datos de 2027 por la escasez de capacidad de cómputo [11, 15]. Habló por primera vez la directora financiera interina, Hwa Tsao, que sustituye a Ethan Tandowsky [15]. Las comunicaciones publicadas son discursos preparados y no incluyen la sesión de preguntas; no hemos podido leer qué preguntaron los analistas (ver huecos).</w:t>
      </w:r>
    </w:p>
    <w:p>
      <w:pPr>
        <w:pStyle w:val="Heading1"/>
      </w:pPr>
      <w:r>
        <w:t xml:space="preserve">7. Balance y capital circulante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58"/>
        <w:gridCol w:w="1064"/>
        <w:gridCol w:w="1171"/>
        <w:gridCol w:w="958"/>
        <w:gridCol w:w="851"/>
        <w:gridCol w:w="958"/>
        <w:gridCol w:w="851"/>
        <w:gridCol w:w="958"/>
        <w:gridCol w:w="958"/>
        <w:gridCol w:w="911"/>
      </w:tblGrid>
      <w:tr>
        <w:trPr>
          <w:cantSplit/>
          <w:tblHeader/>
        </w:trPr>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06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Activo total</w:t>
            </w:r>
          </w:p>
        </w:tc>
        <w:tc>
          <w:tcPr>
            <w:tcW w:type="dxa" w:w="1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Fondo com. + intang.</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Caja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fin.</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neta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Patrimonio</w:t>
            </w:r>
          </w:p>
        </w:tc>
        <w:tc>
          <w:tcPr>
            <w:tcW w:type="dxa" w:w="91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DN/EBITDA</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2019</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2.609</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918</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4.159</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1.218</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5.776</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1.641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-1.498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1.810</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7.620</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2.096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-1.893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2.416</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9.568</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2.844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-2.620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3.151</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11.425</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3.939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-3.711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4.232</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12.257</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4.987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-4.735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5.285</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-3,8x</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38"/>
        <w:gridCol w:w="1472"/>
        <w:gridCol w:w="1338"/>
        <w:gridCol w:w="1338"/>
        <w:gridCol w:w="1338"/>
        <w:gridCol w:w="1472"/>
        <w:gridCol w:w="1342"/>
      </w:tblGrid>
      <w:tr>
        <w:trPr>
          <w:cantSplit/>
          <w:tblHeader/>
        </w:trPr>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 / ventas</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cobro</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inventario</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pago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Ciclo de caja (días)</w:t>
            </w:r>
          </w:p>
        </w:tc>
        <w:tc>
          <w:tcPr>
            <w:tcW w:type="dxa" w:w="13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Liquidez corriente</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2019</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148</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144</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0,4 %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34</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93</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-34</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1,7x</w:t>
            </w:r>
          </w:p>
        </w:tc>
      </w:tr>
    </w:tbl>
    <w:p>
      <w:pPr>
        <w:spacing w:after="160" w:before="0"/>
      </w:pPr>
    </w:p>
    <w:p>
      <w:pPr>
        <w:pStyle w:val="Nota"/>
        <w:spacing w:after="100"/>
      </w:pPr>
      <w:r>
        <w:t xml:space="preserve">Días de inventario y de pago calculados sobre costes operativos de caja (ingresos − EBITDA), por ser una cuenta por naturaleza.</w:t>
      </w:r>
    </w:p>
    <w:p>
      <w:pPr>
        <w:pStyle w:val="Nota"/>
        <w:spacing w:after="100"/>
      </w:pPr>
      <w:r>
        <w:t xml:space="preserve">Cambio de perímetro (2020: el activo total crece un 59 % y los ingresos un 28 %). Los ratios de balance de ese año (días, circulante, deuda neta / EBITDA, ROIC) y los indicadores de calidad contable no son comparables con los anteriores.</w:t>
      </w:r>
    </w:p>
    <w:p>
      <w:pPr>
        <w:keepNext w:val="false"/>
        <w:spacing w:after="160" w:before="120"/>
        <w:jc w:val="center"/>
      </w:pPr>
      <w:r>
        <w:drawing>
          <wp:inline xmlns:wp="http://schemas.openxmlformats.org/drawingml/2006/wordprocessingDrawing" distT="0" distB="0" distL="0" distR="0">
            <wp:extent cx="5760000" cy="2340000"/>
            <wp:effectExtent l="0" t="0" r="0" b="0"/>
            <wp:docPr id="1012" name="Gráfico 12" descr="Capital circulante en día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2"/>
              </a:graphicData>
            </a:graphic>
          </wp:inline>
        </w:drawing>
      </w:r>
    </w:p>
    <w:p>
      <w:pPr>
        <w:spacing w:after="100"/>
      </w:pPr>
      <w:r>
        <w:t xml:space="preserve">Adyen no tiene deuda financiera: solo arrendamientos (252,4 M en 2025, 409,4 M en jun-26 por nuevas oficinas y centros de datos) [1, 11]. La caja propia creció de 729,5 M (2019) a 4.987,3 M (2025), en línea con el patrimonio (918 M a 5.285 M) porque no reparte dividendos ni recompra acciones [1, 4]. El circulante comercial es pequeño y negativo (clientes 217 M y existencias 77 M frente a proveedores 285 M en 2025). Las variaciones de los saldos de comerciantes mueven la caja bruta en miles de millones de un cierre a otro (+1.187 M en 2022, −313 M en 2025, +1.726 M en 1S26) sin cambiar la caja propia; por eso se excluyen de la caja y del flujo operativo. En jun-26 la caja propia bajó ligeramente (4.898,3 M) por el pago anticipado de 655,2 M de Talon.One [11].</w:t>
      </w:r>
    </w:p>
    <w:p>
      <w:pPr>
        <w:pStyle w:val="Heading1"/>
      </w:pPr>
      <w:r>
        <w:t xml:space="preserve">8. Flujos de caja</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97"/>
        <w:gridCol w:w="1107"/>
        <w:gridCol w:w="886"/>
        <w:gridCol w:w="886"/>
        <w:gridCol w:w="886"/>
        <w:gridCol w:w="886"/>
        <w:gridCol w:w="997"/>
        <w:gridCol w:w="997"/>
        <w:gridCol w:w="997"/>
        <w:gridCol w:w="999"/>
      </w:tblGrid>
      <w:tr>
        <w:trPr>
          <w:cantSplit/>
          <w:tblHeader/>
        </w:trPr>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Flujo operativo</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 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ventas</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amort.</w:t>
            </w:r>
          </w:p>
        </w:tc>
        <w:tc>
          <w:tcPr>
            <w:tcW w:type="dxa" w:w="9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por acción</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2019</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234</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9,51</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261</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9,66</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470</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15,86</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564</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14,44</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698</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23,46</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925</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32,37</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1.246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1.073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1.063</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101 %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5,3 %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0,9x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33,94</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3" name="Gráfico 13" descr="Flujo de caja libre frente a beneficio neto (EU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3"/>
              </a:graphicData>
            </a:graphic>
          </wp:inline>
        </w:drawing>
      </w:r>
    </w:p>
    <w:p>
      <w:pPr>
        <w:spacing w:after="100"/>
      </w:pPr>
      <w:r>
        <w:t xml:space="preserve">Acumulado 2019-2025: FCF </w:t>
      </w:r>
      <w:r>
        <w:rPr>
          <w:b/>
          <w:bCs/>
        </w:rPr>
        <w:t xml:space="preserve">4.338</w:t>
      </w:r>
      <w:r>
        <w:t xml:space="preserve">, conversión </w:t>
      </w:r>
      <w:r>
        <w:rPr>
          <w:b/>
          <w:bCs/>
        </w:rPr>
        <w:t xml:space="preserve">103 %</w:t>
      </w:r>
      <w:r>
        <w:t xml:space="preserve"> del beneficio neto; adquisiciones 0, dividendos 0, recompras 18.</w:t>
      </w:r>
    </w:p>
    <w:p>
      <w:pPr>
        <w:spacing w:after="100"/>
      </w:pPr>
      <w:r>
        <w:rPr>
          <w:b/>
        </w:rPr>
        <w:t xml:space="preserve">Criterio.</w:t>
      </w:r>
      <w:r>
        <w:t xml:space="preserve"> El flujo de explotación se toma sin la variación de los saldos con comerciantes y entidades financieras, coherente con la caja propia del balance. Publicado frente a ajustado (M EUR): 2021 1.820,1 / 549,8; 2022 2.021,2 / 569,7; 2023 1.870,0 / 834,6; 2024 1.704,8 / 1.154,5; 2025 1.030,4 / 1.246,2; 1S26 2.280,9 / 595,5 [1, 2, 3, 11]. Los intereses cobrados y los impuestos van en explotación [1]. El capex es el de caja (inmovilizado material más desarrollo activado, este último solo 2,1 M en 2025) [1]. La conversión es alta: el flujo libre fue de 1.072,8 M en 2025, el 101 % del beneficio, y de 4.338 M acumulados en 2019-2025 (103 %). Casi todo el capex es de crecimiento (centros de datos que se amplían con el volumen); la empresa no separa el de mantenimiento. En 2026 sube al 7 % del ingreso neto por adelantar inversión de 2027, y los derechos de uso pasaron de 217,7 a 368,2 M en el semestre por nuevas oficinas y centros de datos [11, 15]. La emisión de acciones corresponde a opciones de empleados y, en 2021, al primer tramo del warrant de eBay [3].</w:t>
      </w:r>
    </w:p>
    <w:p>
      <w:pPr>
        <w:pStyle w:val="Heading1"/>
      </w:pPr>
      <w:r>
        <w:t xml:space="preserve">9. Calidad contable</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Auditor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PricewaterhouseCoopers Accountants N.V. (PwC)</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Años como auditor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Opinión del último informe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No leída: el informe del auditor no viene en el paquete iXBRL consultado; el informe anual no menciona salvedades.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Ejercicio analizado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2025</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3"/>
        <w:gridCol w:w="1147"/>
        <w:gridCol w:w="5738"/>
      </w:tblGrid>
      <w:tr>
        <w:trPr>
          <w:cantSplit/>
          <w:tblHeader/>
        </w:trPr>
        <w:tc>
          <w:tcPr>
            <w:tcW w:type="dxa" w:w="27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57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Altman Z</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3,91</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Zona segura (&gt; 2,99 seguro; &lt; 1,81 riesgo). No aplica a bancos ni aseguradoras, y subestima la solvencia de empresas con grandes anticipos de clientes o prefinanciación pública (contratistas, construcción), que inflan el pasivo.</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Piotroski F</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 / 8</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Fortaleza financiera alta (7-9).</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Beneish M</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-2,05</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debajo de −1,78: sin señal de manipulación. Aproximado: con cuenta por naturaleza, los índices de margen bruto y de gastos generales se fijan en 1.</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Flujo operativo / beneficio neto (acumulado)</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1,19x</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beneficio se cobra.</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710"/>
        <w:gridCol w:w="1928"/>
      </w:tblGrid>
      <w:tr>
        <w:trPr>
          <w:cantSplit/>
          <w:tblHeader/>
        </w:trPr>
        <w:tc>
          <w:tcPr>
            <w:tcW w:type="dxa" w:w="77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 Piotroski</w:t>
            </w:r>
          </w:p>
        </w:tc>
        <w:tc>
          <w:tcPr>
            <w:tcW w:type="dxa" w:w="19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Cumple</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Beneficio neto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ROA mejora</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&gt; beneficio neto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Baja el endeudamiento (deuda /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la liquidez corriente</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No emite acciones</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el margen bruto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n.d.</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Mejora la rotación del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Sí</w:t>
            </w:r>
          </w:p>
        </w:tc>
      </w:tr>
    </w:tbl>
    <w:p>
      <w:pPr>
        <w:spacing w:after="160" w:before="0"/>
      </w:pPr>
    </w:p>
    <w:p>
      <w:pPr>
        <w:pStyle w:val="Heading2"/>
      </w:pPr>
      <w:r>
        <w:t xml:space="preserve">Ajustes, criterios contables y remuneración en acciones</w:t>
      </w:r>
    </w:p>
    <w:p>
      <w:pPr>
        <w:spacing w:after="100"/>
      </w:pPr>
      <w:r>
        <w:t xml:space="preserve">PwC audita las cuentas y alcanzará el plazo máximo legal tras el ejercicio 2026; habrá auditor nuevo desde 2027, ya elegido en el 3T25 y pendiente de nombrar en la junta de 2026 [1]. Los años de PwC (9 al cierre de 2025) son estimación propia a partir de ese plazo máximo de diez años. </w:t>
      </w:r>
      <w:r>
        <w:rPr>
          <w:b/>
        </w:rPr>
        <w:t xml:space="preserve">Corrección de error en 2020</w:t>
      </w:r>
      <w:r>
        <w:t xml:space="preserve">: los controles detectaron comisiones de esquema registradas dos veces desde 2018, que infravaloraban el ingreso neto y el EBITDA; 2018-2019 se reexpresaron (ingreso neto de 2019 de 496,7 M a 534,3 M) y no afectó a la caja [4, 10]. </w:t>
      </w:r>
      <w:r>
        <w:rPr>
          <w:b/>
        </w:rPr>
        <w:t xml:space="preserve">Capitalización</w:t>
      </w:r>
      <w:r>
        <w:t xml:space="preserve">: mínima, el desarrollo activado fue de 2,1 M en 2025, frente a una plantilla mayoritariamente técnica, de modo que el EBITDA no se infla por activar gastos [1, 5]. </w:t>
      </w:r>
      <w:r>
        <w:rPr>
          <w:b/>
        </w:rPr>
        <w:t xml:space="preserve">Pagos en acciones</w:t>
      </w:r>
      <w:r>
        <w:t xml:space="preserve">: 42,4 M en 2025 (1,8 % del ingreso neto, 4 % del beneficio), dentro del EBITDA [1]. </w:t>
      </w:r>
      <w:r>
        <w:rPr>
          <w:b/>
        </w:rPr>
        <w:t xml:space="preserve">Reconocimiento de ingresos</w:t>
      </w:r>
      <w:r>
        <w:t xml:space="preserve">: por transacción y por ventas de terminales; los «activos por contrato» (sobre todo el warrant de eBay) se amortizan contra ingresos y casi han desaparecido (3,0 M en 2025 frente a 140 M en 2019) [1, 4]. </w:t>
      </w:r>
      <w:r>
        <w:rPr>
          <w:b/>
        </w:rPr>
        <w:t xml:space="preserve">Caja de comerciantes</w:t>
      </w:r>
      <w:r>
        <w:t xml:space="preserve">: hincha activo, pasivo y flujo operativo; los indicadores de Altman y Piotroski deben leerse con la caja propia. Tipo impositivo efectivo del 23,8 % en 2025, cercano al 25,8 % neerlandés [1].</w:t>
      </w:r>
    </w:p>
    <w:p>
      <w:pPr>
        <w:pStyle w:val="Heading2"/>
      </w:pPr>
      <w:r>
        <w:t xml:space="preserve">Señales de alerta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71"/>
        <w:gridCol w:w="976"/>
        <w:gridCol w:w="5491"/>
      </w:tblGrid>
      <w:tr>
        <w:trPr>
          <w:cantSplit/>
          <w:tblHeader/>
        </w:trPr>
        <w:tc>
          <w:tcPr>
            <w:tcW w:type="dxa" w:w="3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Nivel</w:t>
            </w:r>
          </w:p>
        </w:tc>
        <w:tc>
          <w:tcPr>
            <w:tcW w:type="dxa" w:w="549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Explicación</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Corrección de error contable en 2020 (comisiones de esquema duplicadas 2018-2019)</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Infravaloraba resultados, sin efecto en caja; se reforzaron controles [4, 10].</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publicado dominado por los saldos de comerciantes</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Pasa de 1.704,8 M (2024) a 1.030,4 M (2025) sin cambio en el negocio; usar el ajustado [1].</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Cambio de presentación de la cuenta en 2024 (ingresos netos de interchange y margen de intereses dentro del ingreso neto)</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Los ingresos NIIF no son comparables antes y después de 2024; el ingreso neto sí [7, 8].</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Rotación obligatoria del auditor en 2027 y cambio de director financiero en 2026</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Hwa Tsao, directora financiera interina desde agosto de 2026 [1, 15].</w:t>
            </w:r>
          </w:p>
        </w:tc>
      </w:tr>
    </w:tbl>
    <w:p>
      <w:pPr>
        <w:spacing w:after="160" w:before="0"/>
      </w:pPr>
    </w:p>
    <w:p>
      <w:pPr>
        <w:pStyle w:val="Heading1"/>
      </w:pPr>
      <w:r>
        <w:t xml:space="preserve">10. Rentabilidad sobre el capital</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26"/>
        <w:gridCol w:w="1126"/>
        <w:gridCol w:w="1126"/>
        <w:gridCol w:w="1126"/>
        <w:gridCol w:w="1251"/>
        <w:gridCol w:w="1251"/>
        <w:gridCol w:w="1251"/>
        <w:gridCol w:w="1381"/>
      </w:tblGrid>
      <w:tr>
        <w:trPr>
          <w:cantSplit/>
          <w:tblHeader/>
        </w:trPr>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ROE</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ROA</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neto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Rotación del activo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Apalancamiento</w:t>
            </w:r>
          </w:p>
        </w:tc>
        <w:tc>
          <w:tcPr>
            <w:tcW w:type="dxa" w:w="13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 invertido</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2019</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93,4 %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43,9 %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0,20x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2,84x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251</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106,4 %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24,4 %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38,1 %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0,20x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3,17x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284</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152,9 %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31,0 %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46,9 %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0,20x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3,28x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315</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124,6 %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26,7 %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42,4 %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0,20x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3,17x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418</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92,4 %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25,1 %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42,9 %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0,19x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3,09x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527</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127,4 %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25,1 %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46,4 %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0,19x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2,84x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526</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158,0 %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22,3 %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9,0 %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44,9 %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0,20x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2,49x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536</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4" name="Gráfico 14" descr="ROIC y ROE frente al coste del capital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4"/>
              </a:graphicData>
            </a:graphic>
          </wp:inline>
        </w:drawing>
      </w:r>
    </w:p>
    <w:p>
      <w:pPr>
        <w:spacing w:after="100"/>
      </w:pPr>
      <w:r>
        <w:rPr>
          <w:b/>
          <w:bCs/>
        </w:rPr>
        <w:t xml:space="preserve">ROIC incremental</w:t>
      </w:r>
      <w:r>
        <w:t xml:space="preserve"> (variación del NOPAT sobre variación del capital invertido en el periodo): 214,7 % · </w:t>
      </w:r>
      <w:r>
        <w:rPr>
          <w:b/>
          <w:bCs/>
        </w:rPr>
        <w:t xml:space="preserve">WACC</w:t>
      </w:r>
      <w:r>
        <w:t xml:space="preserve">: 11,7 %.</w:t>
      </w:r>
    </w:p>
    <w:p>
      <w:pPr>
        <w:spacing w:after="100"/>
      </w:pPr>
      <w:r>
        <w:t xml:space="preserve">Adyen crea valor con holgura desde que cotiza: el ROIC, calculado con la caja propia fuera del capital invertido, pasó del 93,4 % en 2019 al 158,0 % en 2025, frente a un WACC del 11,6 %. El capital operativo es mínimo (536 M en 2025: inmovilizado, derechos de uso y un circulante comercial casi nulo), de modo que el ROIC lo mueve el margen y no la rotación: el NOPAT subió de 487 M en 2023 a 846 M en 2025 con un capital invertido estable en torno a 530 M. El ROIC incremental de 2019-2025 supera el 200 %. El ROE es menor (22,3 % en 2025) porque el patrimonio incluye 4.987 M de caja propia que rinde intereses de mercado. Frente a los competidores, ninguno se acerca: los procesadores que han crecido comprando (Fiserv, Global Payments, Nexi, Worldline) tienen ROIC de un dígito o negativos por el fondo de comercio [77, 79, 81, 83]. Lo que vigilar es si las compras de 2026 (unos 1.040 M, casi el doble del capital operativo) diluyen ese ROIC [11].</w:t>
      </w:r>
    </w:p>
    <w:p>
      <w:pPr>
        <w:pStyle w:val="Heading1"/>
      </w:pPr>
      <w:r>
        <w:t xml:space="preserve">11. Deuda y solvencia</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 30 jun 2026</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-4.499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-3,3x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Pasivos asimilables a deuda (pensiones y otros)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-806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ajustada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-5.305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ajustada / EBITDA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-3,9x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Liquidez disponible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Caja bruta de 12.392,8 M a 30-jun-2026, de la que 8.097,4 M son saldos de comerciantes y entidades financieras; caja propia (criterio de Adyen: excluidos los pasivos y cobros a corto plazo con comerciantes) de 4.898,3 M, que la empresa redondea a 4.900 M y sitúa en unos 4.600 M neta de las compras de Talon.One y Orb [11]. Sin deuda financiera ni líneas de crédito relevantes; la caja se deposita sobre todo en bancos centrales [1].</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Rating</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S&amp;P: A- (emisor) [1, 11]. Perspectiva no consultada.</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5" name="Gráfico 15" descr="Deuda neta / EBITDA al cierre de cada ejercicio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5"/>
              </a:graphicData>
            </a:graphic>
          </wp:inline>
        </w:drawing>
      </w:r>
    </w:p>
    <w:p>
      <w:pPr>
        <w:pStyle w:val="Heading2"/>
      </w:pPr>
      <w:r>
        <w:t xml:space="preserve">Covenants, pasivos fuera de la deuda y contingencias</w:t>
      </w:r>
    </w:p>
    <w:p>
      <w:pPr>
        <w:spacing w:after="100"/>
      </w:pPr>
      <w:r>
        <w:rPr>
          <w:b/>
        </w:rPr>
        <w:t xml:space="preserve">Fondos de comerciantes (regla del puente).</w:t>
      </w:r>
      <w:r>
        <w:t xml:space="preserve"> La caja del balance incluye el dinero en tránsito de los comerciantes. A 31-dic-2025: caja 10.797,4 M; pasivos con comerciantes y entidades financieras 6.371,8 M (interchange y tasas de esquema por pagar y fondos de comerciantes en cuentas Adyen, incluida una reserva de 735,1 M para contracargos); cobros pendientes de comerciantes y entidades financieras 561,7 M [1]. Caja propia = 10.797,4 − 6.371,8 + 561,7 = 4.987,3 M: es la caja que usa el informe en el balance histórico, y las cuentas a cobrar y a pagar recogen solo las partidas comerciales. A 30-jun-2026: caja bruta 12.392,8 M, pasivos con comerciantes 8.097,4 M, cobros 602,8 M y caja propia 4.898,3 M, la misma cifra que publica Adyen («4.900 M excluidos los saldos de comerciantes») [11]. Esos saldos no son deuda ni caja libre, pero generan intereses: el informe los valora aparte (1.100 M, estimación propia, ver valoración). </w:t>
      </w:r>
      <w:r>
        <w:rPr>
          <w:b/>
        </w:rPr>
        <w:t xml:space="preserve">Otros</w:t>
      </w:r>
      <w:r>
        <w:t xml:space="preserve">: requisitos de capital como entidad de crédito (CRR/CRD) que inmovilizan parte de la caja propia [1]; warrant concedido a eBay registrado como derivado pasivo (35,8 M en 2019, 81,7 M en 2021, sin saldo en 2024-2025) [2, 3, 4]. Sin pensiones de prestación definida, garantías ni deuda financiera. Las compras de Talon.One y Orb se pagaron en caja y en acciones (69,8 M EUR y 33,2 M USD en acciones) [11].</w:t>
      </w:r>
    </w:p>
    <w:p>
      <w:pPr>
        <w:pStyle w:val="Heading1"/>
      </w:pPr>
      <w:r>
        <w:t xml:space="preserve">12. Asignación de capital</w:t>
      </w:r>
    </w:p>
    <w:p>
      <w:pPr>
        <w:pStyle w:val="Confianza"/>
        <w:spacing w:after="100"/>
      </w:pPr>
      <w:r>
        <w:t xml:space="preserve">Confianza: Alta</w:t>
      </w:r>
    </w:p>
    <w:p>
      <w:pPr>
        <w:spacing w:after="100"/>
      </w:pPr>
      <w:r>
        <w:t xml:space="preserve">Adyen no paga dividendo: su política es reinvertir el beneficio en el crecimiento y no ha pagado ninguno en los años presentados [1]. No ha recomprado acciones (ninguna en 2025) [1]. Su prioridad declarada es invertir en el negocio (plantilla, centros de datos, producto), mantener un balance fuerte con mucha liquidez para su licencia bancaria y su rating A- de S&amp;P, y conservar flexibilidad para oportunidades orgánicas o compras [16]. En 2026 hizo sus dos primeras compras relevantes y dice que seguirá evaluando «el uso óptimo de la caja» [11]. La dilución es baja: las acciones diluidas pasaron de 30,5 M (2019) a 31,6 M (2025), un 0,6 % anual, por los planes de empleados; las compras de 2026 añaden acciones por unos 100 M [1, 4, 11].</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26"/>
        <w:gridCol w:w="1126"/>
        <w:gridCol w:w="1251"/>
        <w:gridCol w:w="1251"/>
        <w:gridCol w:w="1251"/>
        <w:gridCol w:w="1251"/>
        <w:gridCol w:w="1251"/>
        <w:gridCol w:w="1131"/>
      </w:tblGrid>
      <w:tr>
        <w:trPr>
          <w:cantSplit/>
          <w:tblHeader/>
        </w:trPr>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Adquisiciones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Dividendos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Recompras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Ampliaciones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Retorno / B. neto</w:t>
            </w:r>
          </w:p>
        </w:tc>
        <w:tc>
          <w:tcPr>
            <w:tcW w:type="dxa" w:w="11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Acciones (M)</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2019</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30,5</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30,7</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30,7</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31,1</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31,2</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31,3</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1.073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31,6</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6" name="Gráfico 16" descr="Usos de la caja (EU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6"/>
              </a:graphicData>
            </a:graphic>
          </wp:inline>
        </w:drawing>
      </w:r>
    </w:p>
    <w:p>
      <w:pPr>
        <w:pStyle w:val="Heading2"/>
      </w:pPr>
      <w:r>
        <w:t xml:space="preserve">Historial de adquisiciones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64"/>
        <w:gridCol w:w="2141"/>
        <w:gridCol w:w="951"/>
        <w:gridCol w:w="1308"/>
        <w:gridCol w:w="3574"/>
      </w:tblGrid>
      <w:tr>
        <w:trPr>
          <w:cantSplit/>
          <w:tblHeader/>
        </w:trPr>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21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Objetivo</w:t>
            </w:r>
          </w:p>
        </w:tc>
        <w:tc>
          <w:tcPr>
            <w:tcW w:type="dxa" w:w="9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c>
          <w:tcPr>
            <w:tcW w:type="dxa" w:w="13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Financiación</w:t>
            </w:r>
          </w:p>
        </w:tc>
        <w:tc>
          <w:tcPr>
            <w:tcW w:type="dxa" w:w="357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Resultado</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2026</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Talon.One GmbH (Alemania): motor de promociones y fidelización en tiempo real</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750</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 (655 M pagados por anticipado en 1S26) y 69,8 M en acciones de Adyen</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Cerrada el 1-jul-2026; asignación del precio pendiente. Junto con Orb, +1 punto de crecimiento y −1 punto de margen EBITDA en 2026 [11].</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2026</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Orb Inc. (EE. UU.): facturación por uso para empresas digitales y de IA</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287</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Caja y 33,2 M USD en acciones; precio de 335 M USD (conversión a EUR estimación propia a ~1,17 USD/EUR)</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Cerrada el 1-jul-2026; asignación del precio pendiente [11].</w:t>
            </w:r>
          </w:p>
        </w:tc>
      </w:tr>
    </w:tbl>
    <w:p>
      <w:pPr>
        <w:spacing w:after="160" w:before="0"/>
      </w:pPr>
    </w:p>
    <w:p>
      <w:pPr>
        <w:spacing w:after="100"/>
      </w:pPr>
      <w:r>
        <w:t xml:space="preserve">Hasta 2025 la asignación de capital fue la más simple posible: todo el flujo se quedó en la empresa, el capex absorbió un 4-8 % del ingreso neto y la caja propia se multiplicó por 6,8 en seis años (de 729,5 M a 4.987,3 M), sin dividendos, recompras ni compras [1, 4]. El flujo libre acumulado de 2019-2025 fue de 4.338 M, con una conversión del 103 % del beneficio, y el ROIC incremental supera el 200 %: el crecimiento se financió solo. La pregunta para el comité es qué hace ahora con casi 5.000 M de caja propia: la dirección eligió en 2026 comprar (Talon.One y Orb, unos 1.040 M en total, sin múltiplo publicado y con un punto de dilución del margen) antes que repartir, y sigue sin dar una política de retribución al accionista [11, 15]. Parte de esa caja no es libre: la exigen los requisitos de capital y liquidez de la licencia bancaria [1]. Pagar unos 1.040 M por dos empresas de software con ingresos pequeños es la primera prueba de disciplina de esta dirección como compradora.</w:t>
      </w:r>
    </w:p>
    <w:p>
      <w:r>
        <w:br w:type="page"/>
      </w:r>
    </w:p>
    <w:p>
      <w:pPr>
        <w:pStyle w:val="Parte"/>
      </w:pPr>
      <w:r>
        <w:t xml:space="preserve">Parte III — Equipo y gobierno</w:t>
      </w:r>
    </w:p>
    <w:p>
      <w:pPr>
        <w:pStyle w:val="Heading1"/>
      </w:pPr>
      <w:r>
        <w:t xml:space="preserve">13. Equipo directivo</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63"/>
        <w:gridCol w:w="1527"/>
        <w:gridCol w:w="705"/>
        <w:gridCol w:w="940"/>
        <w:gridCol w:w="4703"/>
      </w:tblGrid>
      <w:tr>
        <w:trPr>
          <w:cantSplit/>
          <w:tblHeader/>
        </w:trPr>
        <w:tc>
          <w:tcPr>
            <w:tcW w:type="dxa" w:w="17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Nombre</w:t>
            </w:r>
          </w:p>
        </w:tc>
        <w:tc>
          <w:tcPr>
            <w:tcW w:type="dxa" w:w="15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7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9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capital</w:t>
            </w:r>
          </w:p>
        </w:tc>
        <w:tc>
          <w:tcPr>
            <w:tcW w:type="dxa" w:w="47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Trayectoria y resultados</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Pieter van der Does</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Cofundador y co-CEO (Management Board)</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2007</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2,92 %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Fue director comercial de Bibit antes de cofundar Adyen en 2006; consejero del Management Board desde 2007 y reelegido en la junta de 2026 hasta 2030 con el 99,95 % a favor [38, 39]. Tiene 922.539 acciones (sin cambios en 2025), un 2,92 % del capital (estimación propia sobre 31,55 millones de acciones en circulación); su última notificación en la AFM, de 2023, era del 2,98 %, frente al 4,81 % de 2018 [38, 39, 40]. Desde 2023 comparte el cargo de primer ejecutivo para poder atender su salud si hace falta [59].</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Ingo Uytdehaage</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Co-CEO (Management Board)</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2011</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0,62 %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Entró en el Management Board en 2011 como director financiero y es co-CEO desde 2023; su mandato actual vence en mayo de 2027 [38, 59]. Dirige personalmente la integración de Talon.One y Orb, cerradas el 1 de julio de 2026 [44]. Tiene 195.182 acciones (0,62 %, estimación propia) [38].</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Hwa Tsao</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Director financiero interino (no es consejero estatutario)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2026</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Vicepresidente sénior de Group Finance, con más de 20 años en finanzas en ServiceNow, HP y Citigroup; asumió la dirección financiera interina el 1 de septiembre de 2026 tras la salida de Ethan Tandowsky (CFO desde 2023, en Adyen desde 2016), anunciada el 27 de mayo de 2026 [43, 44]. El Supervisory Board busca un sucesor definitivo con un cazatalentos externo [44].</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Roelant Prins</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Director comercial (CCO, Management Board)</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2007</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0,91 %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CCO desde 2009 y consejero del Management Board desde 2007; reelegido en 2026 hasta 2030 con el 99,94 % a favor [38, 39]. Tiene 287.309 acciones (0,91 %, estimación propia) [38].</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Mariëtte Swart</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Directora de riesgos y cumplimiento (CRCO, Management Board)</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2020</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0,01 %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Fue la secretaria general que montó el equipo jurídico de Adyen, tras pasar por un bufete internacional; consejera del Management Board desde 2020, con mandato hasta mayo de 2027 [38]. Seguirá en el Management Board reducido a cuatro miembros desde principios de 2027 [39]. Tiene 2.305 acciones [38].</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Tom Adams</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Director de tecnología (CTO, Management Board)</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2024</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Dirigía la ingeniería de Cash App (Block); se incorporó en octubre de 2024 [38]. Cobró 3,25 millones de euros en 2025, con 1,08 millones de euros de bonificación de fichaje en acciones restringidas [38]. Saldrá del Management Board estatutario a principios de 2027, aunque seguirá en el nuevo Executive Board [39].</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Piero Overmars</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Presidente del Supervisory Board (saliente)</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2017</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0,00 %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Consejero desde enero de 2017 y presidente; no se presenta a la reelección y dejará el consejo hacia finales de 2026 [38, 45]. Le sucederá Herna Verhagen (exconsejera delegada de PostNL), nombrada en la junta de 2026 con el 95,62 % a favor [39, 45]. Tiene 1.094 acciones [38].</w:t>
            </w:r>
          </w:p>
        </w:tc>
      </w:tr>
    </w:tbl>
    <w:p>
      <w:pPr>
        <w:spacing w:after="160" w:before="0"/>
      </w:pPr>
    </w:p>
    <w:p>
      <w:pPr>
        <w:pStyle w:val="Heading2"/>
      </w:pPr>
      <w:r>
        <w:t xml:space="preserve">¿Cumple lo que promete?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3796"/>
        <w:gridCol w:w="3796"/>
        <w:gridCol w:w="1170"/>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prometió</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logró</w:t>
            </w:r>
          </w:p>
        </w:tc>
        <w:tc>
          <w:tcPr>
            <w:tcW w:type="dxa" w:w="117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Cumplió</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2021</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 medio plazo, tasa de crecimiento anual compuesta de los ingresos netos entre el «mid-twenties» y el «low-thirties»; margen EBITDA por encima del 65 % a largo plazo; capex de hasta el 5 % de los ingresos netos [52].</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Ingresos netos de 1.000 millones de euros, un 46 % más; margen EBITDA del 63 %; capex del 5 % [60].</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2022</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Objetivos sin cambios: crecimiento entre el «mid-twenties» y el «low-thirties», margen por encima del 65 % a largo plazo, capex de hasta el 5 % [53].</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Ingresos netos de 1.300 millones de euros, un 33 % más; margen EBITDA del 55 % (desde el 63 %) por la contratación acelerada; capex del 7 % [54].</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Parcial</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2023</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Los mismos objetivos hasta el día del inversor de noviembre de 2023, en el que se fijaron plazos: crecimiento anual entre el «low-twenties» y el «high-twenties» hasta 2026 incluido, margen EBITDA por encima del 50 % en 2026 y capex de hasta el 5 % [56, 58].</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Ingresos netos de 1.626 millones de euros, un 22 % más (por debajo del «mid-twenties»); margen EBITDA del 46 %; capex del 4 % [55].</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2024</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Crecimiento anual entre el «low-twenties» y el «high-twenties» hasta 2026; margen EBITDA por encima del 50 % en 2026; capex de hasta el 5 % [56].</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Ingresos netos de 1.996 millones de euros, un 23 % más; margen EBITDA del 50 %; capex del 5 % [57].</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Al principio, la misma horquilla de crecimiento hasta 2026; en octubre de 2025 se acota a entre el «low-twenties» y el «mid-twenties» hasta 2026, con un 2025 «en línea con el primer semestre»; margen por encima del 50 % en 2026 [50].</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Ingresos netos de 2.364 millones de euros, un 18 % más (un 21 % a tipo de cambio constante); margen EBITDA del 53 %; capex del 5 % [48].</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Parcial</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2026</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En noviembre de 2025, crecimiento entre el «low-twenties» y el «mid-twenties» y margen por encima del 55 % en 2028 [51]. En febrero de 2026 se concreta en un 20-22 % a tipo de cambio constante con un margen similar al de 2025, y se confirma en mayo [48, 49]. En agosto pasa al 21-23 % con las adquisiciones, con un margen un punto inferior al de 2025 y un capex de en torno al 7 % (frente al «hasta el 5 %») [47].</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En curso. Primer semestre: ingresos netos de 1.302,9 millones de euros, un 19 % más (un 21 % a tipo de cambio constante); margen EBITDA del 49 % (del 50 % sin costes de las adquisiciones); capex del 5 % [47]. Por ahora se cumple el margen superior al 50 % en 2026 del día del inversor de 2023; el capex se saldrá del objetivo.</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Parcial</w:t>
            </w:r>
          </w:p>
        </w:tc>
      </w:tr>
    </w:tbl>
    <w:p>
      <w:pPr>
        <w:spacing w:after="160" w:before="0"/>
      </w:pPr>
    </w:p>
    <w:p>
      <w:pPr>
        <w:spacing w:after="100"/>
      </w:pPr>
      <w:r>
        <w:t xml:space="preserve">La dirección acierta en el margen y falla en el crecimiento. Desde 2022 ha rebajado la horquilla de ingresos tres veces: del «mid-twenties a low-thirties» al «low a high-twenties» (noviembre de 2023), al «low a mid-twenties» (octubre de 2025) y a un 20-22 % para 2026 [47, 48, 50, 56]. El margen, en cambio, ha cumplido el suelo del 50 % un año antes de lo previsto [48]. En la cúpula hay estabilidad en lo esencial: los dos co-CEO y el CCO están en el Management Board desde 2007-2011 y los fundadores siguen siendo los principales accionistas internos [38]. Pero el director financiero se va con solo tres años en el cargo, en una salida que el presidente dijo que le había «sorprendido» por el momento elegido; hay un CFO interino que no es consejero; el presidente se jubila a finales de 2026, y desde 2027 llega un Executive Board de ocho personas [39, 43, 44, 45]. El plan de sucesión del primer ejecutivo descansa en el modelo de co-CEO [59].</w:t>
      </w:r>
    </w:p>
    <w:p>
      <w:pPr>
        <w:pStyle w:val="Heading1"/>
      </w:pPr>
      <w:r>
        <w:t xml:space="preserve">14. Gobierno corporativo</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Consejeros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13</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Independientes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54 %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Antigüedad media en el consejo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6,8 años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Criterios de buen gobierno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 de 13</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Cambios de presidente o primer ejecutivo (24 meses)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7" name="Gráfico 17" descr="Composición del consejo (número de consejer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7"/>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3"/>
        <w:gridCol w:w="1900"/>
        <w:gridCol w:w="1493"/>
        <w:gridCol w:w="814"/>
        <w:gridCol w:w="2988"/>
      </w:tblGrid>
      <w:tr>
        <w:trPr>
          <w:cantSplit/>
          <w:tblHeader/>
        </w:trPr>
        <w:tc>
          <w:tcPr>
            <w:tcW w:type="dxa" w:w="244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Consejero</w:t>
            </w:r>
          </w:p>
        </w:tc>
        <w:tc>
          <w:tcPr>
            <w:tcW w:type="dxa" w:w="190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14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81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29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Comisiones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Piero Overmars</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 del Supervisory Board (dejará el consejo hacia finales de 2026)</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2017</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 y Riesgos; Nombramientos y Retribuciones (en 2025)</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Caoimhe Keogan</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Vicepresidenta del Supervisory Board</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2021</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Nombramientos y Retribuciones (presidenta)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Adine Grate</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 del Supervisory Board</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2024</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 y Riesgos (presidenta desde 2026)</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Pamela Joseph</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 del Supervisory Board</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2019</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 y Riesgos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Steve van Wyk</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del Supervisory Board</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2025</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 y Riesgos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Herna Verhagen</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 del Supervisory Board; presidenta designada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2026</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 y Riesgos; Nombramientos y Retribuciones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Chris Vogelzang</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del Supervisory Board (nombrado en la junta extraordinaria del 7-10-2026 con el 99,79 % a favor [39])</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2026</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 y Riesgos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Pieter van der Does</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Cofundador y co-CEO (Management Board)</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Ejecutivo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2007</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Management Board</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Ingo Uytdehaage</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Co-CEO (Management Board)</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Ejecutivo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2011</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Management Board</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Roelant Prins</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CCO (Management Board)</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Ejecutivo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2007</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Management Board (hasta principios de 2027)</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Mariëtte Swart</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CRCO (Management Board)</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Ejecutivo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2020</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Management Board</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Brooke Nayden</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CHRO (Management Board)</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Ejecutivo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2023</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Management Board (hasta principios de 2027)</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Tom Adams</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CTO (Management Board)</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Ejecutivo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2024</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Management Board (hasta principios de 2027)</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236"/>
        <w:gridCol w:w="1984"/>
        <w:gridCol w:w="1418"/>
      </w:tblGrid>
      <w:tr>
        <w:trPr>
          <w:cantSplit/>
          <w:tblHeader/>
        </w:trPr>
        <w:tc>
          <w:tcPr>
            <w:tcW w:type="dxa" w:w="62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w:t>
            </w:r>
          </w:p>
        </w:tc>
        <w:tc>
          <w:tcPr>
            <w:tcW w:type="dxa" w:w="19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Dato</w:t>
            </w:r>
          </w:p>
        </w:tc>
        <w:tc>
          <w:tcPr>
            <w:tcW w:type="dxa" w:w="141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Consejeros independientes ≥ 50 % (≥ 33 % si hay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54 %</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Presidencia sin vínculo familiar ni profesional con el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control</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Presidente no ejecutivo, o consejero coordinador independiente</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ejecutivo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Comisión de auditoría con mayoría de independientes y presidida por uno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Ningún consejero «otro externo» con más de 12 años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Ninguno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Estabilidad de la cúpula: como mucho un cambio de presidente o primer ejecutivo en 24 meses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0 cambios</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Peor voto en contra sobre remuneración (3 juntas) ≤ 20 %</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5,6 % en contra</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Variable a largo plazo ligado a rentabilidad (ROIC, TSR, FCF)</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Una acción, un voto, sin blindajes ni límites de voto estatutarios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Sin operaciones vinculadas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hay</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Auditor con 10 años o menos en el cargo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9 años</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Opinión de auditoría sin salvedades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leída: el informe del auditor no viene en el paquete iXBRL consultado; el informe anual no menciona salvedades.</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Directivos compradores netos en 12 meses (o sin ventas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Sin operaciones</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Cumple</w:t>
            </w:r>
          </w:p>
        </w:tc>
      </w:tr>
    </w:tbl>
    <w:p>
      <w:pPr>
        <w:spacing w:after="160" w:before="0"/>
      </w:pPr>
    </w:p>
    <w:p>
      <w:pPr>
        <w:pStyle w:val="Heading2"/>
      </w:pPr>
      <w:r>
        <w:t xml:space="preserve">Accionariado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41"/>
        <w:gridCol w:w="1156"/>
        <w:gridCol w:w="1799"/>
        <w:gridCol w:w="3342"/>
      </w:tblGrid>
      <w:tr>
        <w:trPr>
          <w:cantSplit/>
          <w:tblHeader/>
        </w:trPr>
        <w:tc>
          <w:tcPr>
            <w:tcW w:type="dxa" w:w="33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Accionista</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capital</w:t>
            </w:r>
          </w:p>
        </w:tc>
        <w:tc>
          <w:tcPr>
            <w:tcW w:type="dxa" w:w="17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33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Movimientos recientes</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Temasek Holdings</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6,39 %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Fondo soberano (Singapur); 4,96 % en acciones y 1,43 % en derivados</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Sube desde el 4,97 % (20-10-2025) al 6,39 % (16-06-2026) [40]</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BlackRock Inc.</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4,75 %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Gestora; 5,54 % de los derechos de voto</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Notificación del 25-06-2026, en torno al umbral del 5 % de voto [40]</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 Rowe Price Group</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4,93 %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Gestora; 4,71 % de los derechos de voto</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Baja del 5,04 % (16-06-2026) al 4,93 % (26-06-2026) [40]</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Capital Research and Management Company</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5,04 %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Gestora; derechos de voto (el capital figura en 0 %)</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Sube del 3,11 % (19-02-2026) al 5,04 % (10-03-2026) [40]</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Pieter van der Does (cofundador y co-CEO)</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2,92 %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Directivo, participación indirecta</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922.539 acciones, sin cambios en 2025; 4,81 % en 2018 y 2,98 % en 2023 según la AFM [38, 40]</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Roelant Prins (CCO)</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0,91 %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Directivo</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287.309 acciones, sin cambios en 2025 [38]</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Ingo Uytdehaage (co-CEO)</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0,62 %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Directivo</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195.182 acciones, sin cambios en 2025 [38]</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WCM Investment Management</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2,98 %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Gestora</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Baja del 4,47 % (2024) a menos del 3 % (27-04-2026) [40]</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Goldman Sachs Group</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2,11 %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Banco, sobre todo derivados</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Supera el 3 % y vuelve a bajar en junio de 2026 (3,04 % y 2,11 %) [40]</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8" name="Gráfico 18" descr="Accionistas significativos (% del capital)"/>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8"/>
              </a:graphicData>
            </a:graphic>
          </wp:inline>
        </w:drawing>
      </w:r>
    </w:p>
    <w:p>
      <w:pPr>
        <w:pStyle w:val="Heading2"/>
      </w:pPr>
      <w:r>
        <w:t xml:space="preserve">Remuneración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Remuneración total del primer ejecutivo (2025)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0,87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Fijo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0,87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Variable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0,00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Variable a largo plazo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0,00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Peor voto a favor (3 juntas)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94,4 %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Peor voto en contra (3 juntas)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5,6 %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Ratio sobre salario medio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spacing w:after="100"/>
      </w:pPr>
      <w:r>
        <w:t xml:space="preserve">La remuneración es </w:t>
      </w:r>
      <w:r>
        <w:rPr>
          <w:b/>
        </w:rPr>
        <w:t xml:space="preserve">solo fija</w:t>
      </w:r>
      <w:r>
        <w:t xml:space="preserve">. Cada co-CEO cobró 869.608 euros en 2025: 833.458 euros de sueldo base y 36.150 euros de pensión y beneficios, sin variable ni acciones [38]. Es 8 veces la remuneración media de la plantilla (7 veces en 2024), una de las proporciones más bajas del AEX según la propia empresa [38]. El CFO, la CHRO y la CRCO reciben además acciones por el 100 % de su sueldo base (antes, el 50 %), con cinco años de permanencia obligatoria; el CTO cobró 3,25 millones de euros con su bonificación de fichaje [38]. La política, aprobada en 2023 para cuatro años, permite un variable en acciones que no se ha concedido nunca; no se ha aplicado ninguna cláusula de recuperación porque no hay variable que recuperar; la indemnización tiene un tope de un año de fijo [38]. La política no premia el crecimiento a cualquier precio, pero tampoco liga el pago a la rentabilidad ni al TSR. El voto en contra del informe de remuneraciones fue del 4,7 % en 2024, del 5,6 % en 2025 y del 4,1 % en 2026 [39].</w:t>
      </w:r>
    </w:p>
    <w:p>
      <w:pPr>
        <w:pStyle w:val="Heading2"/>
      </w:pPr>
      <w:r>
        <w:t xml:space="preserve">Operaciones vinculadas, estructura de control y defensas</w:t>
      </w:r>
    </w:p>
    <w:p>
      <w:pPr>
        <w:spacing w:after="100"/>
      </w:pPr>
      <w:r>
        <w:t xml:space="preserve">No hay accionista de control: el mayor es Temasek, con el 6,39 %, y los tres directivos con más acciones (Van der Does, Prins y Uytdehaage) suman un 4,4 % (estimación propia) [38, 40]. Cada acción da un voto y no hay acciones preferentes ni de prioridad, ni fundación de defensa: el informe anual no las menciona y el único «stichting» del registro de la AFM es la oficina de certificados de los empleados, que bajó del 13,42 % en 2018 al 2,57 % en 2019 [38, 40]. Sí hay un </w:t>
      </w:r>
      <w:r>
        <w:rPr>
          <w:b/>
        </w:rPr>
        <w:t xml:space="preserve">blindaje estatutario</w:t>
      </w:r>
      <w:r>
        <w:t xml:space="preserve">: para anular una propuesta vinculante de nombramiento o cesar a un consejero, los estatutos exigen una mayoría que represente la mitad del capital emitido, no el tercio que recomienda el código neerlandés (disposición 4.3.3). Es la única desviación del código que declara la empresa, y lo justifica por un antiguo pacto de accionistas [38]. La junta autorizó en 2026 emitir hasta un 10 % del capital y excluir el derecho de suscripción preferente durante 18 meses [39]. No hay posiciones cortas netas declaradas (≥ 0,5 %) en la AFM [42].</w:t>
      </w:r>
    </w:p>
    <w:p>
      <w:pPr>
        <w:pStyle w:val="Heading2"/>
      </w:pPr>
      <w:r>
        <w:t xml:space="preserve">Señales de alerta</w:t>
      </w:r>
    </w:p>
    <w:p>
      <w:pPr>
        <w:pStyle w:val="ListParagraph"/>
        <w:numPr>
          <w:ilvl w:val="0"/>
          <w:numId w:val="2"/>
        </w:numPr>
        <w:spacing w:after="60"/>
      </w:pPr>
      <w:r>
        <w:t xml:space="preserve">El director financiero, Ethan Tandowsky, se fue el 31 de agosto de 2026 con solo tres años en el cargo; el presidente dijo que le había «sorprendido» el momento elegido. El sustituto, Hwa Tsao, es interino y no es consejero estatutario [43, 44].</w:t>
      </w:r>
    </w:p>
    <w:p>
      <w:pPr>
        <w:pStyle w:val="ListParagraph"/>
        <w:numPr>
          <w:ilvl w:val="0"/>
          <w:numId w:val="2"/>
        </w:numPr>
        <w:spacing w:after="60"/>
      </w:pPr>
      <w:r>
        <w:t xml:space="preserve">Hay relevo en la presidencia: Piero Overmars deja el Supervisory Board hacia finales de 2026 y le sucederá Herna Verhagen. En la junta de 2026, su nombramiento tuvo un 4,4 % en contra, el más alto de esa junta [39, 45].</w:t>
      </w:r>
    </w:p>
    <w:p>
      <w:pPr>
        <w:pStyle w:val="ListParagraph"/>
        <w:numPr>
          <w:ilvl w:val="0"/>
          <w:numId w:val="2"/>
        </w:numPr>
        <w:spacing w:after="60"/>
      </w:pPr>
      <w:r>
        <w:t xml:space="preserve">Cambia el modelo de gestión desde principios de 2027: el Management Board estatutario se reduce a cuatro personas (los dos co-CEO, el CFO y la CRCO) y se crea un Executive Board de ocho; el CCO, la CHRO y el CTO dejan de ser consejeros estatutarios. La junta extraordinaria de 2026 solo lo debatió, sin votarlo [39].</w:t>
      </w:r>
    </w:p>
    <w:p>
      <w:pPr>
        <w:pStyle w:val="ListParagraph"/>
        <w:numPr>
          <w:ilvl w:val="0"/>
          <w:numId w:val="2"/>
        </w:numPr>
        <w:spacing w:after="60"/>
      </w:pPr>
      <w:r>
        <w:t xml:space="preserve">El auditor rota de PwC a EY para el ejercicio 2027, por obligación legal [39, 46].</w:t>
      </w:r>
    </w:p>
    <w:p>
      <w:pPr>
        <w:pStyle w:val="ListParagraph"/>
        <w:numPr>
          <w:ilvl w:val="0"/>
          <w:numId w:val="2"/>
        </w:numPr>
        <w:spacing w:after="60"/>
      </w:pPr>
      <w:r>
        <w:t xml:space="preserve">El registro MAR 19 de la AFM solo muestra una operación de directivos de Adyen, de 2019 (Dia Holding B.V.), aunque los directivos sin acciones de fundador recibieron acciones como parte de su sueldo en 2025 [38, 41]. Las ventas de los fundadores de 2019 y 2020 se hicieron por colocación acelerada, anunciada en notas de prensa [61].</w:t>
      </w:r>
    </w:p>
    <w:p>
      <w:pPr>
        <w:pStyle w:val="ListParagraph"/>
        <w:numPr>
          <w:ilvl w:val="0"/>
          <w:numId w:val="2"/>
        </w:numPr>
        <w:spacing w:after="60"/>
      </w:pPr>
      <w:r>
        <w:t xml:space="preserve">En 2025 hubo un ataque DDoS que hubo que comunicar al regulador y que causó una interrupción temporal; el informe anual no recoge ninguna sanción del DNB [38].</w:t>
      </w:r>
    </w:p>
    <w:p>
      <w:r>
        <w:br w:type="page"/>
      </w:r>
    </w:p>
    <w:p>
      <w:pPr>
        <w:pStyle w:val="Parte"/>
      </w:pPr>
      <w:r>
        <w:t xml:space="preserve">Parte IV — Mercado y valoración</w:t>
      </w:r>
    </w:p>
    <w:p>
      <w:pPr>
        <w:pStyle w:val="Heading1"/>
      </w:pPr>
      <w:r>
        <w:t xml:space="preserve">15. Previsiones de la compañía y consenso</w:t>
      </w:r>
    </w:p>
    <w:p>
      <w:pPr>
        <w:pStyle w:val="Confianza"/>
        <w:spacing w:after="100"/>
      </w:pPr>
      <w:r>
        <w:t xml:space="preserve">Confianza: Media</w:t>
      </w:r>
    </w:p>
    <w:p>
      <w:pPr>
        <w:spacing w:after="100"/>
      </w:pPr>
      <w:r>
        <w:t xml:space="preserve">En los resultados del primer semestre (13-ago-2026) Adyen espera para 2026 un crecimiento de los ingresos netos del 21-23 % a tipo de cambio constante, incluida la aportación de Talon.One y Orb, consolidadas desde el 1-jul-2026, que suman en torno a un punto de crecimiento [11, 47]. El margen EBITDA subyacente de 2026 quedaría en línea con el de 2025 (53 %) y, con las dos compras, un punto por debajo; mantiene el objetivo de margen EBITDA superior al 55 % en 2028 [6, 47]. Sube el capex de 2026 a cerca del 7 % de los ingresos netos al adelantar a la segunda mitad inversión en centros de datos prevista para 2027, y espera que vuelva a niveles históricos después [47]. En el semestre los ingresos netos crecieron un 19 % (21 % a tipo constante) y el margen EBITDA fue del 49 % (50 % sin costes de las compras) [6, 47].</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41"/>
        <w:gridCol w:w="1302"/>
        <w:gridCol w:w="1302"/>
        <w:gridCol w:w="1302"/>
        <w:gridCol w:w="1041"/>
        <w:gridCol w:w="1041"/>
        <w:gridCol w:w="2609"/>
      </w:tblGrid>
      <w:tr>
        <w:trPr>
          <w:cantSplit/>
          <w:tblHeader/>
        </w:trPr>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c>
          <w:tcPr>
            <w:tcW w:type="dxa" w:w="26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2.869</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1.491</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1.329</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38,51</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MarketScreener, 35 analistas, 12-oct-2026 [67]; contraste Stock Analysis (S&amp;P Global): ingresos 2.900 M, BPA 38,48 (27 analistas) [68]</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3.487</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1.862</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1.677</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46,86</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MarketScreener [67]; contraste Stock Analysis: ingresos 3.490 M, BPA 46,72 [68]</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2028e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4.191</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2.320</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2.111</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57,62</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0,00</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 [67]</w:t>
            </w:r>
          </w:p>
        </w:tc>
      </w:tr>
    </w:tbl>
    <w:p>
      <w:pPr>
        <w:spacing w:after="160" w:before="0"/>
      </w:pPr>
    </w:p>
    <w:p>
      <w:pPr>
        <w:pStyle w:val="Heading2"/>
      </w:pPr>
      <w:r>
        <w:t xml:space="preserve">Nuestra proyección frente al consenso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4"/>
        <w:gridCol w:w="1505"/>
        <w:gridCol w:w="1505"/>
        <w:gridCol w:w="1204"/>
        <w:gridCol w:w="1505"/>
        <w:gridCol w:w="1505"/>
        <w:gridCol w:w="1210"/>
      </w:tblGrid>
      <w:tr>
        <w:trPr>
          <w:cantSplit/>
          <w:tblHeader/>
        </w:trPr>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propios</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consenso</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Dif.</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 propio</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 consenso</w:t>
            </w:r>
          </w:p>
        </w:tc>
        <w:tc>
          <w:tcPr>
            <w:tcW w:type="dxa" w:w="12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Dif.</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2.861</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2.869</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1.482</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1.491</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-0,6 %</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3.433</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3.487</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1.830</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1.862</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-1,7 %</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2028e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4.085</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4.191</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2.247</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2.320</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-3,1 %</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Analistas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35</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Comprar / mantener / vender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28 / 7 / 0</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objetivo medio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1.378,31</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de precios objetivo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887,00 – 1.900,00</w:t>
            </w:r>
          </w:p>
        </w:tc>
      </w:tr>
    </w:tbl>
    <w:p>
      <w:pPr>
        <w:spacing w:after="160" w:before="0"/>
      </w:pPr>
    </w:p>
    <w:p>
      <w:pPr>
        <w:pStyle w:val="Heading2"/>
      </w:pPr>
      <w:r>
        <w:t xml:space="preserve">Revisiones de estimaciones</w:t>
      </w:r>
    </w:p>
    <w:p>
      <w:pPr>
        <w:spacing w:after="100"/>
      </w:pPr>
      <w:r>
        <w:t xml:space="preserve">No hemos podido leer la evolución de las estimaciones a 3 y 12 meses: MarketScreener solo la muestra en gráficos y Stock Analysis la reserva a su versión de pago [67, 68]. Lo que sí se ve es que el consenso de 2026 (ingresos de 2.869 M, +21 %; margen EBITDA del 52,0 %) cuadra con la guía de agosto: crecimiento del 21-23 % a tipo constante y margen un punto por debajo del 53 % de 2025 [47, 67]. El BPA de 2026 (38,51 EUR) crece solo un 15 % sobre los 33,61 de 2025 porque el margen baja y los intereses de la caja caen con los tipos [11, 67]. De los 35 analistas, 21 recomiendan comprar con fuerza, 7 comprar y 7 mantener; ninguno vender [68]. El precio objetivo mínimo (887 EUR) queda casi en el precio actual [67].</w:t>
      </w:r>
    </w:p>
    <w:p>
      <w:pPr>
        <w:pStyle w:val="Heading1"/>
      </w:pPr>
      <w:r>
        <w:t xml:space="preserve">16. Comportamiento en bolsa</w:t>
      </w:r>
    </w:p>
    <w:p>
      <w:pPr>
        <w:pStyle w:val="Confianza"/>
        <w:spacing w:after="100"/>
      </w:pPr>
      <w:r>
        <w:t xml:space="preserve">Confianza: Alta</w:t>
      </w:r>
    </w:p>
    <w:p>
      <w:pPr>
        <w:pStyle w:val="Nota"/>
        <w:spacing w:after="100"/>
      </w:pPr>
      <w:r>
        <w:t xml:space="preserve">Rentabilidad total (con dividendos).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52"/>
        <w:gridCol w:w="2095"/>
        <w:gridCol w:w="2095"/>
        <w:gridCol w:w="2096"/>
      </w:tblGrid>
      <w:tr>
        <w:trPr>
          <w:cantSplit/>
          <w:tblHeader/>
        </w:trPr>
        <w:tc>
          <w:tcPr>
            <w:tcW w:type="dxa" w:w="335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Acción</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Índice</w:t>
            </w:r>
          </w:p>
        </w:tc>
        <w:tc>
          <w:tcPr>
            <w:tcW w:type="dxa" w:w="20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Sector</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En el año</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-35,6 %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+26,8 %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año</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-39,6 %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+28,0 %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+14,8 %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+16,8 %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5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-18,2 %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+9,7 %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+8,1 %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520000"/>
            <wp:effectExtent l="0" t="0" r="0" b="0"/>
            <wp:docPr id="1019" name="Gráfico 19" descr="Rentabilidad total por año: acción frente a su índic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9"/>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Beta (5 años, mensual)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2,33</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Volatilidad anualizada (1 año)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47,8 %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Máxima caída (5 años)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-77,0 %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Posiciones cortas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0,0 %</w:t>
            </w:r>
          </w:p>
        </w:tc>
      </w:tr>
    </w:tbl>
    <w:p>
      <w:pPr>
        <w:spacing w:after="160" w:before="0"/>
      </w:pPr>
    </w:p>
    <w:p>
      <w:pPr>
        <w:spacing w:after="100"/>
      </w:pPr>
      <w:r>
        <w:t xml:space="preserve">Adyen pierde un 39,6 % en un año, frente a la subida del 15,0 % del Stoxx Europe 600 y del 28,0 % de la tecnología europea [62]. Marcó el máximo de 52 semanas (1.600,8 EUR) el 29-oct-2025 y el mínimo (772,4 EUR) el 5-jun-2026 [62]. La peor sesión fue la del 12-feb-2026, con una caída del 21,9 %, el día de los resultados de 2025; en el primer trimestre de 2026 el crecimiento de los ingresos netos bajó al 16 % (20 % a tipo constante), desde el 20-22 % de los trimestres anteriores [6, 62]. El segundo trimestre volvió al 22 % [6]. La acción es muy volátil (47,8 % anualizada) y amplifica al mercado: beta mensual de 2,33 frente al Stoxx 600 (1,74 semanal a dos años), y cayó un 77 % entre nov-2021 y sep-2023 [62]. En el registro de la AFM no figura ninguna posición corta neta sobre Adyen igual o superior al 0,5 % del capital, el umbral de publicación [42].</w:t>
      </w:r>
    </w:p>
    <w:p>
      <w:pPr>
        <w:pStyle w:val="Heading1"/>
      </w:pPr>
      <w:r>
        <w:t xml:space="preserve">17. Múltiplos frente a su historia</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27"/>
        <w:gridCol w:w="1098"/>
        <w:gridCol w:w="1098"/>
        <w:gridCol w:w="1098"/>
        <w:gridCol w:w="1098"/>
        <w:gridCol w:w="1098"/>
        <w:gridCol w:w="1221"/>
      </w:tblGrid>
      <w:tr>
        <w:trPr>
          <w:cantSplit/>
          <w:tblHeader/>
        </w:trPr>
        <w:tc>
          <w:tcPr>
            <w:tcW w:type="dxa" w:w="2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Mediana</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Percentil</w:t>
            </w:r>
          </w:p>
        </w:tc>
        <w:tc>
          <w:tcPr>
            <w:tcW w:type="dxa" w:w="12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Prima / descuento</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16,9x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52,3x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31,1x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142,9x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-68 %</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24,9x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70,9x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40,9x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223,9x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-65 %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20" name="Gráfico 20" descr="EV/EBITDA últimos 12 meses (cierre de cada año): historia y mediana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0"/>
              </a:graphicData>
            </a:graphic>
          </wp:inline>
        </w:drawing>
      </w:r>
    </w:p>
    <w:p>
      <w:pPr>
        <w:spacing w:after="100"/>
      </w:pPr>
      <w:r>
        <w:t xml:space="preserve">Los precios de cierre de cada ejercicio salen de los históricos de Yahoo [62]; el informe calcula con ellos el EV/EBITDA y el PER de cada año con el mismo puente que hoy. El precio actual (886,1 EUR) está un 36 % por debajo del cierre de 2025 (1.375 EUR) y un 62 % por debajo del de 2021 (2.311,5 EUR), mientras el EBITDA ha pasado de 992 M en 2024 a 1.246 M en 2025 y 642 M solo en el primer semestre de 2026 [6, 62]. La compresión es de múltiplo, no de beneficio: el mercado ha pasado de pagar a Adyen como una empresa de crecimiento de software a hacerlo como una procesadora de pagos que crece al 20 %, con tipos de interés más altos que en 2020-2021 (el Bund a 10 años está en el 3,53 %) [63]. 2020 y 2021 son años de múltiplos de burbuja: compárese con la mediana.</w:t>
      </w:r>
    </w:p>
    <w:p>
      <w:pPr>
        <w:pStyle w:val="Heading1"/>
      </w:pPr>
      <w:r>
        <w:t xml:space="preserve">18. Comparables cotizados</w:t>
      </w:r>
    </w:p>
    <w:p>
      <w:pPr>
        <w:pStyle w:val="Confianza"/>
        <w:spacing w:after="100"/>
      </w:pPr>
      <w:r>
        <w:t xml:space="preserve">Confianza: Media</w:t>
      </w:r>
    </w:p>
    <w:p>
      <w:pPr>
        <w:spacing w:after="100"/>
      </w:pPr>
      <w:r>
        <w:t xml:space="preserve">Ocho procesadoras y redes de pagos cotizadas: las dos redes de tarjetas (Visa, Mastercard), que tienen el margen y la escala con los que Adyen se compara a largo plazo; los adquirentes y procesadores de EE. UU. (Fiserv, Global Payments) y de Europa (Nexi, Worldline), que compiten con Adyen por los comercios; y las plataformas de pagos digitales (PayPal y Block). No incluimos Shift4 ni Toast por falta de tiempo para tomar sus cifras con el mismo criterio, ni a Stripe, que no cotiza. Ninguna es un comparable puro: Adyen crece más que todas y su modelo de plataforma única solo se parece al de las redes en margen.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15"/>
        <w:gridCol w:w="504"/>
        <w:gridCol w:w="908"/>
        <w:gridCol w:w="706"/>
        <w:gridCol w:w="807"/>
        <w:gridCol w:w="807"/>
        <w:gridCol w:w="706"/>
        <w:gridCol w:w="706"/>
        <w:gridCol w:w="756"/>
        <w:gridCol w:w="655"/>
        <w:gridCol w:w="655"/>
        <w:gridCol w:w="713"/>
      </w:tblGrid>
      <w:tr>
        <w:trPr>
          <w:cantSplit/>
          <w:tblHeader/>
        </w:trPr>
        <w:tc>
          <w:tcPr>
            <w:tcW w:type="dxa" w:w="171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Empresa</w:t>
            </w:r>
          </w:p>
        </w:tc>
        <w:tc>
          <w:tcPr>
            <w:tcW w:type="dxa" w:w="5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Capitaliz.</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7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 EBITDA</w:t>
            </w:r>
          </w:p>
        </w:tc>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yield</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Adyen</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NL</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28.081</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16,9x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19,7x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+22,8 %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52,4 %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158,0 %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Visa</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632.798</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16,2x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23,0x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19,8x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25,6x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70,8 %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54,8 %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Mastercard</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461.578</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15,1x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24,0x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20,4x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26,5x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62,7 %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93,8 %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PayPal</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42.485</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21,6 %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22,3 %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Block</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41.764</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18,8x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14,3 %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Fiserv</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21.701</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46,7 %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16,6 %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Global Payments</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19.453</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24,6x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48,7 %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Nexi</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IT</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4.938</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53,1 %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16,1 %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Worldline</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FR</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598</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0,7x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3,7x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3,8x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-3,4 %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18,3 %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0,7 %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16,8 %</w:t>
            </w:r>
          </w:p>
        </w:tc>
      </w:tr>
    </w:tbl>
    <w:p>
      <w:pPr>
        <w:spacing w:after="160" w:before="0"/>
      </w:pPr>
    </w:p>
    <w:p>
      <w:pPr>
        <w:pStyle w:val="Nota"/>
        <w:spacing w:after="100"/>
      </w:pPr>
      <w:r>
        <w:t xml:space="preserve">La primera fila es la empresa analizada (calculada con sus propios datos). Los estadísticos excluyen a la empresa.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48"/>
        <w:gridCol w:w="1056"/>
        <w:gridCol w:w="1188"/>
        <w:gridCol w:w="1188"/>
        <w:gridCol w:w="1056"/>
        <w:gridCol w:w="1056"/>
        <w:gridCol w:w="1188"/>
        <w:gridCol w:w="1058"/>
      </w:tblGrid>
      <w:tr>
        <w:trPr>
          <w:cantSplit/>
          <w:tblHeader/>
        </w:trPr>
        <w:tc>
          <w:tcPr>
            <w:tcW w:type="dxa" w:w="184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Estadístico</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NTM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10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Mediana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18,8x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47,7 %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18,0x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42,0 %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24,1 %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Percentil 25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20,8 %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Percentil 75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8,9x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17,3x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11,4x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25,1x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+11,3 %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55,5 %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30,4 %</w:t>
            </w:r>
          </w:p>
        </w:tc>
      </w:tr>
    </w:tbl>
    <w:p>
      <w:pPr>
        <w:spacing w:after="160" w:before="0"/>
      </w:pPr>
    </w:p>
    <w:p>
      <w:pPr>
        <w:pStyle w:val="Heading2"/>
      </w:pPr>
      <w:r>
        <w:t xml:space="preserve">Valor implícito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24"/>
        <w:gridCol w:w="1147"/>
        <w:gridCol w:w="1835"/>
        <w:gridCol w:w="1032"/>
        <w:gridCol w:w="1032"/>
        <w:gridCol w:w="1032"/>
        <w:gridCol w:w="1036"/>
      </w:tblGrid>
      <w:tr>
        <w:trPr>
          <w:cantSplit/>
          <w:tblHeader/>
        </w:trPr>
        <w:tc>
          <w:tcPr>
            <w:tcW w:type="dxa" w:w="25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 aplicado</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Métrica de la empresa</w:t>
            </w:r>
          </w:p>
        </w:tc>
        <w:tc>
          <w:tcPr>
            <w:tcW w:type="dxa" w:w="18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Múltiplo p25 / mediana / p75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p25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mediana</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p75</w:t>
            </w:r>
          </w:p>
        </w:tc>
        <w:tc>
          <w:tcPr>
            <w:tcW w:type="dxa" w:w="10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próximos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1.781</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5,8x / 7,0x / 11,4x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495,25</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561,27</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808,52</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-36,7 %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1.350</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5,3x / 7,2x / 17,3x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395,77</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474,56</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904,69</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-46,4 %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 próximos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45,0</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10,9x / 18,8x / 25,1x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493,09</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846,58</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1.130,28</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EV/Ventas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2.574</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1,7x / 2,5x / 8,9x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304,77</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369,33</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887,87</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-58,3 %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21" name="Gráfico 21" descr="EV/EBITDA de los próximos 12 meses: empresa y comparables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1"/>
              </a:graphicData>
            </a:graphic>
          </wp:inline>
        </w:drawing>
      </w:r>
    </w:p>
    <w:p>
      <w:pPr>
        <w:keepNext w:val="false"/>
        <w:spacing w:after="160" w:before="120"/>
        <w:jc w:val="center"/>
      </w:pPr>
      <w:r>
        <w:drawing>
          <wp:inline xmlns:wp="http://schemas.openxmlformats.org/drawingml/2006/wordprocessingDrawing" distT="0" distB="0" distL="0" distR="0">
            <wp:extent cx="5760000" cy="3060000"/>
            <wp:effectExtent l="0" t="0" r="0" b="0"/>
            <wp:docPr id="1022" name="Gráfico 22" descr="Crecimiento esperado frente a múltiplo"/>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2"/>
              </a:graphicData>
            </a:graphic>
          </wp:inline>
        </w:drawing>
      </w:r>
    </w:p>
    <w:p>
      <w:pPr>
        <w:spacing w:after="100"/>
      </w:pPr>
      <w:r>
        <w:rPr>
          <w:b/>
        </w:rPr>
        <w:t xml:space="preserve">Regresión EV/EBITDA NTM sobre crecimiento</w:t>
      </w:r>
      <w:r>
        <w:t xml:space="preserve"> (7 comparables): múltiplo = 4,4 + 0,98 × crecimiento; R² = 0,78. Para el crecimiento esperado de la empresa (22,8 %), el múltiplo ajustado es 26,9x y el valor por acción, 1.679,51.</w:t>
      </w:r>
    </w:p>
    <w:p>
      <w:pPr>
        <w:spacing w:after="100"/>
      </w:pPr>
      <w:r>
        <w:t xml:space="preserve">Adyen cotiza a 16,9x el EBITDA de los últimos doce meses y 12,8x el de los próximos doce, con un PER NTM de 19,7x, frente a una mediana de 7,2x, 7,0x y 18,8x de los ocho comparables [67, 69, 70, 71, 72, 73, 74, 75, 76, 77, 78, 79, 80, 81, 82, 83, 84]. La mediana no sirve de ancla: la fijan procesadores que crecen un 0-5 % y han destruido valor comprando (Fiserv, Nexi, Worldline, con deterioros de 3.700 y 4.700 M en las dos europeas) [28, 29], y el EBITDA de proveedor de las de EE. UU. excluye los pagos en acciones, mientras el de Adyen los incluye [75, 77]. El mapa útil es crecimiento y rentabilidad: Visa y Mastercard, con un crecimiento del 12-13 % y márgenes del 60-70 %, cotizan a 20x el EBITDA NTM; Adyen crece casi el doble (21 % previsto en 2026) con un 52 % de margen y cotiza a 12,8x. Con la mediana, el valor implícito sale muy por debajo del precio; por eso los comparables pesan solo un 10 % en la síntesis y el DCF manda. La prima frente a los procesadores y el descuento frente a las redes se justifican: Adyen gana cuota sin capital, pero no tiene el peaje de red de Visa y Mastercard.</w:t>
      </w:r>
    </w:p>
    <w:p>
      <w:pPr>
        <w:pStyle w:val="Heading1"/>
      </w:pPr>
      <w:r>
        <w:t xml:space="preserve">19. Transacciones precedentes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76"/>
        <w:gridCol w:w="1780"/>
        <w:gridCol w:w="1676"/>
        <w:gridCol w:w="838"/>
        <w:gridCol w:w="838"/>
        <w:gridCol w:w="733"/>
        <w:gridCol w:w="2097"/>
      </w:tblGrid>
      <w:tr>
        <w:trPr>
          <w:cantSplit/>
          <w:tblHeader/>
        </w:trPr>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78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Objetivo</w:t>
            </w:r>
          </w:p>
        </w:tc>
        <w:tc>
          <w:tcPr>
            <w:tcW w:type="dxa" w:w="16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Comprador</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 (M)</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w:t>
            </w:r>
          </w:p>
        </w:tc>
        <w:tc>
          <w:tcPr>
            <w:tcW w:type="dxa" w:w="7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Prima</w:t>
            </w:r>
          </w:p>
        </w:tc>
        <w:tc>
          <w:tcPr>
            <w:tcW w:type="dxa" w:w="20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Comentario</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2019-01</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First Data</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Fiserv</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29 %</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Fusión en acciones. Valor de las acciones de 22.000 M USD; prima del 29 % sobre la media ponderada de cinco sesiones y en torno al 15 % sobre el valor empresa; la nota no da el valor empresa ni el múltiplo [85]. Ingresos de First Data en 2018: 9.498 M USD [86].</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2019-03</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Worldpay (Vantiv)</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FIS</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37.889</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14 %</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Valor empresa de unos 43.000 M USD, deuda incluida (37.889 M EUR al tipo del BCE del 18-mar-2019, 1,1349); acciones valoradas en 35.500 M USD, con una prima del 14 % sobre el cierre del 15-mar y del 20 % sobre la media de 30 sesiones [87, 88]. La nota no publica el múltiplo.</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2019-05</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TSYS</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Global Payments</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Fusión en acciones: valor de las acciones de TSYS de unos 21.500 M USD, con una prima del 20 % sobre el precio no afectado del 23-may-2019; la nota no da el valor empresa ni el múltiplo [89].</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2020-11</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Nets</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Nexi</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7.800</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20,0x</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Fusión en acciones sobre múltiplos EV/EBITDA 2020e equivalentes: valor empresa de 7.800 M EUR y valor de las acciones de 6.000 M EUR, con un EV/EBITDA 2020e implícito de ~20x según la nota de Nexi [90]. Nets no cotizaba: no hay prima.</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2025-04</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Worldpay</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Global Payments</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19.982</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8,5x</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Precio neto de 22.700 M USD (24.250 M con 1.550 M de activos fiscales); 19.982 M EUR al tipo del BCE del 17-abr-2025 (1,136). Global Payments lo cifra en ~8,5x el EBITDA ajustado de 2025e **incluidas sinergias**, y compra a GTCR y FIS [91, 92]. Sin sinergias el múltiplo sería mayor.</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2025-04</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Issuer Solutions (de Global Payments)</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FIS</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11.884</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12,3x</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13.500 M USD (11.884 M EUR al tipo del BCE del 17-abr-2025), ~12,3x el EBITDA ajustado de 2025e [91, 92]. Es procesamiento para emisores de tarjetas, no adquirencia: menos comparable con Adyen.</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EV/EBITDA mediano (p25 – p75)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12,3x (10,4x – 16,2x)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Prima de control mediana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Valor por acción implícito (mediana de EV/EBITDA)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691,75</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p25 – p75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610,84 – 855,72</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520000"/>
            <wp:effectExtent l="0" t="0" r="0" b="0"/>
            <wp:docPr id="1023" name="Gráfico 23" descr="EV/EBITDA pagado en transacciones del sector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3"/>
              </a:graphicData>
            </a:graphic>
          </wp:inline>
        </w:drawing>
      </w:r>
    </w:p>
    <w:p>
      <w:pPr>
        <w:spacing w:after="100"/>
      </w:pPr>
      <w:r>
        <w:t xml:space="preserve">Las operaciones del sector desde 2019 se hicieron a 8-20x EBITDA y ninguna sobre una empresa que crezca al 20 %: las tres grandes fusiones de 2019 en EE. UU. pagaron primas del 14-29 % sobre la cotización y casi enteramente en acciones [85, 86, 87, 88, 89]. Nets (20x el EBITDA de 2020e) se pagó en el pico de valoraciones; Worldpay, cinco años después, a 8,5x con sinergias [90, 92]. Adyen no tiene accionista de control (flotante del 89,5 %) [66], pero con unos 28.000 M de capitalización solo podrían comprarla las redes o un gran grupo tecnológico, y la licencia bancaria y los fondos de comerciantes complican la operación. No ponderamos las transacciones: son un suelo, no una referencia de valor, y no hay indicio de operación.</w:t>
      </w:r>
    </w:p>
    <w:p>
      <w:pPr>
        <w:pStyle w:val="Heading1"/>
      </w:pPr>
      <w:r>
        <w:t xml:space="preserve">20. Descuento de flujos de caja (DCF)</w:t>
      </w:r>
    </w:p>
    <w:p>
      <w:pPr>
        <w:pStyle w:val="Confianza"/>
        <w:spacing w:after="100"/>
      </w:pPr>
      <w:r>
        <w:t xml:space="preserve">Confianza: Media</w:t>
      </w:r>
    </w:p>
    <w:p>
      <w:pPr>
        <w:pStyle w:val="Heading2"/>
      </w:pPr>
      <w:r>
        <w:t xml:space="preserve">Supuestos y su justificación</w:t>
      </w:r>
    </w:p>
    <w:p>
      <w:pPr>
        <w:keepNext/>
        <w:spacing w:after="100"/>
      </w:pPr>
      <w:r>
        <w:rPr>
          <w:b/>
          <w:bCs/>
        </w:rPr>
        <w:t xml:space="preserve">Crecimiento de ingresos.</w:t>
      </w:r>
    </w:p>
    <w:p>
      <w:pPr>
        <w:spacing w:after="100"/>
      </w:pPr>
      <w:r>
        <w:t xml:space="preserve">2026e (fijo): +21,0 %, la parte baja de la guía del 21-23 % a divisa constante con un punto de las compras, porque la divisa restó dos puntos en el 1S26 (19 % publicado frente a 21 % constante) [11, 47]. 2027e-2028e: +20 % y +19 %, por debajo del consenso (+21,5 % y +20,2 %) [67]: la dirección ha rebajado su horquilla tres veces desde 2022 [48, 51, 58]. Después, bajada lineal hasta +5 % en 2035e. El crecimiento medio de 2027e-2035e es del 12,9 %, frente a un 18,4 % en 2025 y un 22-23 % en 2023-2024 [5].</w:t>
      </w:r>
    </w:p>
    <w:p>
      <w:pPr>
        <w:keepNext/>
        <w:spacing w:after="100"/>
      </w:pPr>
      <w:r>
        <w:rPr>
          <w:b/>
          <w:bCs/>
        </w:rPr>
        <w:t xml:space="preserve">Márgenes.</w:t>
      </w:r>
    </w:p>
    <w:p>
      <w:pPr>
        <w:spacing w:after="100"/>
      </w:pPr>
      <w:r>
        <w:t xml:space="preserve">Margen EBITDA del 51,8 % en 2026e (un punto por debajo del 52,7 % de 2025, como dice la guía por la dilución de Talon.One y Orb) [11], 53,3 % en 2027e y 55,0 % en 2028e, en línea con el objetivo de «más del 55 % en 2028» [16] y con el consenso (55,4 %) [67]. Después sube hasta el 56,0 % y se queda: el máximo histórico fue el 62,9 % de 2021, con una plantilla mucho menor [3]. Visa y Mastercard trabajan con un 60-70 % [17, 23].</w:t>
      </w:r>
    </w:p>
    <w:p>
      <w:pPr>
        <w:keepNext/>
        <w:spacing w:after="100"/>
      </w:pPr>
      <w:r>
        <w:rPr>
          <w:b/>
          <w:bCs/>
        </w:rPr>
        <w:t xml:space="preserve">Inversión y circulante.</w:t>
      </w:r>
    </w:p>
    <w:p>
      <w:pPr>
        <w:spacing w:after="100"/>
      </w:pPr>
      <w:r>
        <w:t xml:space="preserve">Capex del 9,5 % de las ventas en 2026e: el 7 % de la guía más las altas de derechos de uso (oficinas y centros de datos, +150 M en el semestre), porque los arrendamientos van en la deuda [11, 15]. Baja al 7,5 % en 2027e y al 6,5-7,0 % después, por encima de la amortización (6,0-6,4 %). Circulante del 0,5 % de las ventas, como el histórico (0,4 % en 2025, −1,1 % en 2024). Tipo impositivo del 24,5 %, entre el efectivo de 2025 (23,8 %) y el nominal neerlandés (25,8 %) [1].</w:t>
      </w:r>
    </w:p>
    <w:p>
      <w:pPr>
        <w:keepNext/>
        <w:spacing w:after="100"/>
      </w:pPr>
      <w:r>
        <w:rPr>
          <w:b/>
          <w:bCs/>
        </w:rPr>
        <w:t xml:space="preserve">Coste del capital.</w:t>
      </w:r>
    </w:p>
    <w:p>
      <w:pPr>
        <w:spacing w:after="100"/>
      </w:pPr>
      <w:r>
        <w:t xml:space="preserve">Tasa libre: Bund a 10 años del 3,53 % (Bundesbank, 12-oct-2026) [63]. Beta de 1,50: la semanal a dos años frente al Stoxx 600 (1,74) ajustada hacia 1; la mensual a cinco años (2,33 bruta, 1,89 ajustada) recoge la burbuja de 2020-2021 y la caída de 2022-2023 [62]. Prima de mercado del 5,5 %, sin prima adicional: Adyen vende en mercados desarrollados (EMEA y Norteamérica, el 84 % del ingreso neto) [6]. Sin deuda financiera; los arrendamientos pesan un 1,5 % a un 4 %. WACC del 11,65 %. Con la prima implícita del mercado (4,20 %) [64], el WACC baja al 9,73 %.</w:t>
      </w:r>
    </w:p>
    <w:p>
      <w:pPr>
        <w:keepNext/>
        <w:spacing w:after="100"/>
      </w:pPr>
      <w:r>
        <w:rPr>
          <w:b/>
          <w:bCs/>
        </w:rPr>
        <w:t xml:space="preserve">Valor terminal.</w:t>
      </w:r>
    </w:p>
    <w:p>
      <w:pPr>
        <w:spacing w:after="100"/>
      </w:pPr>
      <w:r>
        <w:t xml:space="preserve">Gordon con un crecimiento del 2,5 %: crecimiento real del 0,5-1 % más una inflación del euro en torno al 2 %, por debajo del Bund menos medio punto (3,03 %). El último año explícito crece un 5 %. El múltiplo de salida implícito es de 7,5x el EBITDA, por debajo de los 12,8x actuales y en el rango de los procesadores maduros (Fiserv 6,2x, Nexi 4,7x) [67]: es un terminal prudente para una empresa que en 2035e seguiría creciendo por encima del mercado.</w:t>
      </w:r>
    </w:p>
    <w:p>
      <w:pPr>
        <w:pStyle w:val="Heading2"/>
      </w:pPr>
      <w:r>
        <w:t xml:space="preserve">Coste medio ponderado del capital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413"/>
        <w:gridCol w:w="2225"/>
      </w:tblGrid>
      <w:tr>
        <w:trPr>
          <w:cantSplit/>
          <w:tblHeader/>
        </w:trPr>
        <w:tc>
          <w:tcPr>
            <w:tcW w:type="dxa" w:w="74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Componente</w:t>
            </w:r>
          </w:p>
        </w:tc>
        <w:tc>
          <w:tcPr>
            <w:tcW w:type="dxa" w:w="22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Tasa libre de riesgo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3,53 %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Beta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de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adicional (país, tamaño, específica)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los fondos propios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11,78 %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antes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Tipo impositivo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24,50 %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después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3,02 %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Peso de la deuda (D / (D + E))</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WACC</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11,65 %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implícita del mercado (regla relativa)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WACC con la prima implícita del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9,73 %</w:t>
            </w:r>
          </w:p>
        </w:tc>
      </w:tr>
    </w:tbl>
    <w:p>
      <w:pPr>
        <w:spacing w:after="160" w:before="0"/>
      </w:pPr>
    </w:p>
    <w:p>
      <w:pPr>
        <w:pStyle w:val="Heading2"/>
      </w:pPr>
      <w:r>
        <w:t xml:space="preserve">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81"/>
        <w:gridCol w:w="937"/>
        <w:gridCol w:w="729"/>
        <w:gridCol w:w="885"/>
        <w:gridCol w:w="833"/>
        <w:gridCol w:w="781"/>
        <w:gridCol w:w="833"/>
        <w:gridCol w:w="781"/>
        <w:gridCol w:w="729"/>
        <w:gridCol w:w="833"/>
        <w:gridCol w:w="729"/>
        <w:gridCol w:w="787"/>
      </w:tblGrid>
      <w:tr>
        <w:trPr>
          <w:cantSplit/>
          <w:tblHeader/>
        </w:trPr>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93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Amort.</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Impuestos</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Δ Circ.</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FCFF</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Fracción</w:t>
            </w:r>
          </w:p>
        </w:tc>
        <w:tc>
          <w:tcPr>
            <w:tcW w:type="dxa" w:w="78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2.861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1.482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51,8 %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321</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0,22</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191</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3.433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1.830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53,3 %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395</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1.084</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2028e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4.085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2.247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486</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1.471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1.217</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2029e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4.780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2.653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575</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1.740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1.288</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2030e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5.496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3.078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668</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2.033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1.348</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2031e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6.211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3.478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755</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2.297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1.365</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2032e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6.894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3.861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838</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2.565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1.365</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2033e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7.515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4.208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913</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2.796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1.332</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2034e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8.041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4.503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977</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3.000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1.281</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2035e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8.443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4.728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56,0 %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540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1.026</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549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3.151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1.205</w:t>
            </w:r>
          </w:p>
        </w:tc>
      </w:tr>
    </w:tbl>
    <w:p>
      <w:pPr>
        <w:spacing w:after="160" w:before="0"/>
      </w:pPr>
    </w:p>
    <w:p>
      <w:pPr>
        <w:pStyle w:val="Nota"/>
        <w:spacing w:after="100"/>
      </w:pPr>
      <w:r>
        <w:t xml:space="preserve">FCFF = EBIT × (1 − t) + amortizaciones − capex − variación del circulante. «Fracción» es la parte del ejercicio que queda por delante desde la fecha de valoración; VA, el valor actual.</w:t>
      </w:r>
    </w:p>
    <w:p>
      <w:pPr>
        <w:keepNext w:val="false"/>
        <w:spacing w:after="160" w:before="120"/>
        <w:jc w:val="center"/>
      </w:pPr>
      <w:r>
        <w:drawing>
          <wp:inline xmlns:wp="http://schemas.openxmlformats.org/drawingml/2006/wordprocessingDrawing" distT="0" distB="0" distL="0" distR="0">
            <wp:extent cx="5760000" cy="2160000"/>
            <wp:effectExtent l="0" t="0" r="0" b="0"/>
            <wp:docPr id="1024" name="Gráfico 24" descr="Flujo de caja libre para la empresa proyectado (EU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4"/>
              </a:graphicData>
            </a:graphic>
          </wp:inline>
        </w:drawing>
      </w:r>
    </w:p>
    <w:p>
      <w:pPr>
        <w:pStyle w:val="Heading2"/>
      </w:pPr>
      <w:r>
        <w:t xml:space="preserve">Valor terminal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Método principal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Crecimiento a perpetuidad</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a perpetuidad</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EV/EBITDA de salida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35.305</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66.191</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de salida implícito en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implícito en el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6,57 %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en el 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52 %</w:t>
            </w:r>
          </w:p>
        </w:tc>
      </w:tr>
    </w:tbl>
    <w:p>
      <w:pPr>
        <w:spacing w:after="160" w:before="0"/>
      </w:pPr>
    </w:p>
    <w:p>
      <w:pPr>
        <w:pStyle w:val="Heading2"/>
      </w:pPr>
      <w:r>
        <w:t xml:space="preserve">Del valor empresa al valor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 los flujos proyectados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11.678</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del valor terminal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12.785</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24.463</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Deuda financiera neta (con arrendamientos)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4.499</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Minoritarios, pensiones y otros; + asociadas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822</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de los fondos propios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29.785</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Acciones diluidas (millones)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31,7</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por acción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939,87</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25" name="Gráfico 25" descr="De dónde sale el valor empresa del DCF (EU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5"/>
              </a:graphicData>
            </a:graphic>
          </wp:inline>
        </w:drawing>
      </w:r>
    </w:p>
    <w:p>
      <w:pPr>
        <w:pStyle w:val="Heading2"/>
      </w:pPr>
      <w:r>
        <w:t xml:space="preserve">Sensibilidad: WACC × Crecimiento a perpetuidad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WACC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1,5 %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2,5 %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3,0 %</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3,5 %</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10,6 %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986,54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1.013,89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1.044,61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1.079,34</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1.118,92</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11,1 %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939,13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962,76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989,12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1.018,72</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1.052,19</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11,6 %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896,57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917,10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939,87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965,28</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993,80</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12,1 %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858,15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876,09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895,87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917,83</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942,32</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12,6 %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823,33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839,06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856,35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875,43</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896,59</w:t>
            </w:r>
          </w:p>
        </w:tc>
      </w:tr>
    </w:tbl>
    <w:p>
      <w:pPr>
        <w:spacing w:after="160" w:before="0"/>
      </w:pPr>
    </w:p>
    <w:p>
      <w:pPr>
        <w:pStyle w:val="Heading2"/>
      </w:pPr>
      <w:r>
        <w:t xml:space="preserve">Sensibilidad: margen EBITDA × crecimiento de ingresos (desplazamiento de toda la 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Margen \ crec.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0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821,97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863,93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908,62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956,21</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1.006,87</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835,76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878,61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924,24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972,84</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1.024,58</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0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849,55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893,29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939,87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989,48</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1.042,29</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863,35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907,97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955,50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1.006,11</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1.060,00</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877,14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922,65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971,13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1.022,75</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1.077,70</w:t>
            </w:r>
          </w:p>
        </w:tc>
      </w:tr>
    </w:tbl>
    <w:p>
      <w:pPr>
        <w:spacing w:after="160" w:before="0"/>
      </w:pPr>
    </w:p>
    <w:p>
      <w:pPr>
        <w:pStyle w:val="Heading2"/>
      </w:pPr>
      <w:r>
        <w:t xml:space="preserve">¿Puede la empresa sostener el crecimiento previsto?</w:t>
      </w:r>
    </w:p>
    <w:p>
      <w:pPr>
        <w:spacing w:after="100"/>
      </w:pPr>
      <w:r>
        <w:rPr>
          <w:b/>
          <w:bCs/>
        </w:rPr>
        <w:t xml:space="preserve">Veredicto: En parte.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646"/>
        <w:gridCol w:w="2992"/>
      </w:tblGrid>
      <w:tr>
        <w:trPr>
          <w:cantSplit/>
          <w:tblHeader/>
        </w:trPr>
        <w:tc>
          <w:tcPr>
            <w:tcW w:type="dxa" w:w="664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Prueba</w:t>
            </w:r>
          </w:p>
        </w:tc>
        <w:tc>
          <w:tcPr>
            <w:tcW w:type="dxa" w:w="29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medio de ingresos proyectado</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13,7 %</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Capex bruto medio (incluidas compras si van como inversión)</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7,1 % de las ventas</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Reinversión neta acumulada (capex − amortización + circulante)</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321 M (1 % del NOPAT)</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Cuota de mercado implícita en 2030e</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9,6 % (hoy: 5,6 %)</w:t>
            </w:r>
          </w:p>
        </w:tc>
      </w:tr>
    </w:tbl>
    <w:p>
      <w:pPr>
        <w:spacing w:after="160" w:before="0"/>
      </w:pPr>
    </w:p>
    <w:p>
      <w:pPr>
        <w:spacing w:after="100"/>
      </w:pPr>
      <w:r>
        <w:t xml:space="preserve">La proyección apenas necesita inversión neta de la amortización (reinversión acumulada de 321 M, el 1 % del NOPAT, con un capex bruto medio del 7,1 % de las ventas). En un negocio de activos ligeros, el crecimiento medio del 13,7 % tiene que salir de subir precios y de ganar volumen sin capital nuevo, y la prueba es el poder de precios y la cuota (9,6 % del mercado en 2030e, frente al 5,6 % de hoy); en un comprador en serie, la amortización es de intangibles comprados y la prueba es el capex bruto (las compras) frente al crecimiento comprado.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28"/>
        <w:gridCol w:w="1028"/>
        <w:gridCol w:w="1028"/>
        <w:gridCol w:w="1285"/>
        <w:gridCol w:w="1156"/>
        <w:gridCol w:w="4113"/>
      </w:tblGrid>
      <w:tr>
        <w:trPr>
          <w:cantSplit/>
          <w:tblHeader/>
        </w:trPr>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Volumen</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Precio</w:t>
            </w:r>
          </w:p>
        </w:tc>
        <w:tc>
          <w:tcPr>
            <w:tcW w:type="dxa" w:w="12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Otros (mezcla, compras)</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Crecimiento</w:t>
            </w:r>
          </w:p>
        </w:tc>
        <w:tc>
          <w:tcPr>
            <w:tcW w:type="dxa" w:w="41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 dónde sale</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Volumen +24 % en el 1S26 (803,8 mil millones) y la tasa media bajando de 17,0 pb en 2025 a 16,2 pb en el semestre por la mezcla (más volumen de grandes plataformas y de tienda) [6, 11]. Otros: un punto de Talon.One y Orb desde el 1-jul [11].</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volumen se modera con la base; la tasa media sigue a la baja por la mezcla hacia grandes cuentas y pagos en tienda, como en 2023-2024 (de 17,6 a 15,5 pb) [5, 7]. Medio punto de las compras (medio año más).</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2028e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Volumen al 21 %, todavía por debajo del ritmo de 2023-2025 (+23-24 %) [5]; el precio por transacción baja dos puntos, como el que Adyen ha cedido de media en los últimos cinco años por mezcla [5, 9].</w:t>
            </w:r>
          </w:p>
        </w:tc>
      </w:tr>
    </w:tbl>
    <w:p>
      <w:pPr>
        <w:spacing w:after="160" w:before="0"/>
      </w:pPr>
    </w:p>
    <w:p>
      <w:pPr>
        <w:spacing w:after="100"/>
      </w:pPr>
      <w:r>
        <w:t xml:space="preserve">En parte. La calidad del negocio sostiene el crecimiento en capital: con un ROIC del 158 % y un capex del 5-7 % de las ventas, crecer al 13,7 % medio no exige capital nuevo, y el ROIC incremental histórico supera el 200 %. La duda está en la cuota: el caso base pide que el volumen de Adyen pase del 5,6 % al entorno del 9-10 % del volumen de las redes en 2030, con la tasa media bajando cada año. Lo ha hecho antes (de ≈ 1,7 % en 2019 a 5,6 % en 2024) [10, 17, 22], la baja de clientes es inferior al 1 % [1] y el poder de precios es mixto: la tasa subió en 2025 (17,0 pb) pero vuelve a caer en 2026 (16,2 pb) [6]. Frente a Stripe, que ya procesa más volumen y crece más (1,9 billones USD) [30], y con la guía rebajada tres veces desde 2022 [48, 51, 58], no basta para un «Sí». Por eso el caso base queda por debajo del consenso desde 2027.</w:t>
      </w:r>
    </w:p>
    <w:p>
      <w:pPr>
        <w:pStyle w:val="Heading2"/>
      </w:pPr>
      <w:r>
        <w:t xml:space="preserve">DCF inverso: qué descuenta el precio actual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47"/>
        <w:gridCol w:w="5591"/>
      </w:tblGrid>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implícito en el precio (2027e-2035e)</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11,7 % (base: 12,9 %)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final implícito</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52,6 % (base: 56,0 %)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anual implícita (TIR al precio actual)</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12,3 % (WACC: 11,7 %)</w:t>
            </w:r>
          </w:p>
        </w:tc>
      </w:tr>
    </w:tbl>
    <w:p>
      <w:pPr>
        <w:spacing w:after="160" w:before="0"/>
      </w:pPr>
    </w:p>
    <w:p>
      <w:pPr>
        <w:spacing w:after="100"/>
      </w:pPr>
      <w:r>
        <w:t xml:space="preserve">El DCF da 939,87 EUR por acción, un 6,1 % por encima del precio, con un WACC del 11,65 % y un valor terminal que pesa el 52 % del valor de empresa. El DCF inverso es la clave: el precio de 886,10 EUR descuenta un crecimiento medio del 11,7 % en 2027e-2035e (frente al 12,9 % de nuestro caso base) o un margen del 52,6 % (frente al 56,0 %), y una rentabilidad implícita del 12,3 % anual. Es decir, el mercado ya no paga la historia de crecimiento: descuenta una desaceleración algo más rápida que la nuestra, que a su vez está por debajo del consenso. No es exigente frente a la historia (+18 % en 2025 y +19 % en el 1S26), pero tampoco deja mucho margen a un error de cuota. La diferencia con el mercado es pequeña con nuestra tasa (12,3 % implícita frente a 11,65 %) y grande con la del mercado (9,73 %): con la prima implícita del 4,20 %, el DCF sube a 1.167,46 EUR. La conclusión depende más de la tasa de descuento (beta de 1,50) que de las cifras.</w:t>
      </w:r>
    </w:p>
    <w:p>
      <w:pPr>
        <w:pStyle w:val="Heading1"/>
      </w:pPr>
      <w:r>
        <w:t xml:space="preserve">21. Escenarios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82"/>
        <w:gridCol w:w="649"/>
        <w:gridCol w:w="866"/>
        <w:gridCol w:w="866"/>
        <w:gridCol w:w="758"/>
        <w:gridCol w:w="866"/>
        <w:gridCol w:w="866"/>
        <w:gridCol w:w="3685"/>
      </w:tblGrid>
      <w:tr>
        <w:trPr>
          <w:cantSplit/>
          <w:tblHeader/>
        </w:trPr>
        <w:tc>
          <w:tcPr>
            <w:tcW w:type="dxa" w:w="10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64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Prob.</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medio</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final</w:t>
            </w:r>
          </w:p>
        </w:tc>
        <w:tc>
          <w:tcPr>
            <w:tcW w:type="dxa" w:w="7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WACC</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36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tiene que ocurrir</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53,0 %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659,05</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-25,6 %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Stripe y las grandes plataformas reparten volumen y fuerzan precios: el crecimiento cae a la mitad de la década (≈ 15 % en 2027e) y el margen se queda en torno al 50-53 %, como en 2023, cuando la contratación hundió el margen al 45,7 % [8]. Las compras de 2026 no aportan y el mercado aplica una prima de riesgo mayor.</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56,0 %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939,87</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Adyen cumple la guía de 2026 (21-23 % a divisa constante) y crece algo por debajo del consenso después (20 % y 19 % en 2027e-2028e), con el margen en el 55 % en 2028 y la tasa media bajando por la mezcla.</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15,9 %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58,0 %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11,6 %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1.136,19</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+28,2 %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tienda y las plataformas (terminales de 368.000 a 453.000 en un año) [13, 14] y los nuevos productos (Talon.One, Orb, pagos para agentes de IA) sostienen un crecimiento del 22-24 % hasta 2028 y el margen supera el 57 %, en la línea de Visa y Mastercard.</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26" name="Gráfico 26" descr="Valor por acción por escenario (EUR) · precio actual 886,10"/>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6"/>
              </a:graphicData>
            </a:graphic>
          </wp:inline>
        </w:drawing>
      </w:r>
    </w:p>
    <w:p>
      <w:pPr>
        <w:spacing w:after="100"/>
      </w:pPr>
      <w:r>
        <w:rPr>
          <w:b/>
          <w:bCs/>
        </w:rPr>
        <w:t xml:space="preserve">Valor ponderado por probabilidad:</w:t>
      </w:r>
      <w:r>
        <w:t xml:space="preserve"> 918,75 EUR (+3,7 %).</w:t>
      </w:r>
    </w:p>
    <w:p>
      <w:pPr>
        <w:spacing w:after="100"/>
      </w:pPr>
      <w:r>
        <w:t xml:space="preserve">Con nuestra tasa, el alcista vale 1.136,19 EUR (+28,2 %) y el bajista 659,05 EUR (−25,6 %): la asimetría es de 1,10x, casi simétrica, y el valor ponderado (918,75 EUR) queda un 3,7 % por encima del precio. El bajista no es cosmético: supone crecer al 7,9 % medio en diez años con un margen final del 53 %, algo peor de lo que ya sufrió la empresa en 2023, y aun así deja la acción a unas 20x el beneficio de 2025. Con la prima implícita del mercado el cuadro cambia: alcista 1.433,28 y bajista 777,74 EUR, con una asimetría de 5,05x. Compensa para quien acepte el coste de capital del mercado; con una beta de 1,50 sobre la prima histórica, no da la rentabilidad mínima para comprar.</w:t>
      </w:r>
    </w:p>
    <w:p>
      <w:pPr>
        <w:pStyle w:val="Heading1"/>
      </w:pPr>
      <w:r>
        <w:t xml:space="preserve">22. Suma de partes</w:t>
      </w:r>
    </w:p>
    <w:p>
      <w:pPr>
        <w:pStyle w:val="Confianza"/>
        <w:spacing w:after="100"/>
      </w:pPr>
      <w:r>
        <w:t xml:space="preserve">Confianza: Alta</w:t>
      </w:r>
    </w:p>
    <w:p>
      <w:pPr>
        <w:spacing w:after="100"/>
      </w:pPr>
      <w:r>
        <w:t xml:space="preserve">No aplica: Adyen es una sola plataforma tecnológica con una sola cuenta de resultados (NIIF 8 con un segmento) y los pilares (Digital, Platforms, Unified Commerce) comparten tecnología, licencias y costes [1]. Talon.One y Orb son demasiado pequeñas para valorarlas aparte.</w:t>
      </w:r>
    </w:p>
    <w:p>
      <w:pPr>
        <w:spacing w:after="160" w:before="0"/>
      </w:pPr>
    </w:p>
    <w:p>
      <w:pPr>
        <w:pStyle w:val="Heading1"/>
      </w:pPr>
      <w:r>
        <w:t xml:space="preserve">23. Síntesis de valoración</w:t>
      </w:r>
    </w:p>
    <w:p>
      <w:pPr>
        <w:pStyle w:val="Confianza"/>
        <w:spacing w:after="100"/>
      </w:pPr>
      <w:r>
        <w:t xml:space="preserve">Confianza: Media</w:t>
      </w:r>
    </w:p>
    <w:p>
      <w:pPr>
        <w:keepNext w:val="false"/>
        <w:spacing w:after="160" w:before="120"/>
        <w:jc w:val="center"/>
      </w:pPr>
      <w:r>
        <w:drawing>
          <wp:inline xmlns:wp="http://schemas.openxmlformats.org/drawingml/2006/wordprocessingDrawing" distT="0" distB="0" distL="0" distR="0">
            <wp:extent cx="5760000" cy="2880000"/>
            <wp:effectExtent l="0" t="0" r="0" b="0"/>
            <wp:docPr id="1027" name="Gráfico 27" descr="Valor por acción según cada método (EUR) · precio actual 886,10"/>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7"/>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606"/>
        <w:gridCol w:w="1606"/>
        <w:gridCol w:w="1607"/>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Central</w:t>
            </w:r>
          </w:p>
        </w:tc>
        <w:tc>
          <w:tcPr>
            <w:tcW w:type="dxa" w:w="16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Cotización 52 semanas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772,40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886,10</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1.600,80</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Precio objetivo de los analistas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887,00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1.378,31</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1.900,00</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EV/EBITDA NTM</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495,25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561,27</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808,52</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PER NTM</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493,09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846,58</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1.130,28</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 precedentes (EV/EBITDA)</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610,84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691,75</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855,72</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(WACC y g ± 0,5)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876,09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939,87</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1.018,72</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Escenarios (bajista – alcista)</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659,05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918,75</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1.136,19</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con la prima del mercado</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1.097,02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1.167,46</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1.248,62</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actual</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881,67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886,10</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890,53</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939,87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703,93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-20,6 %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 precedentes (no se usa)</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691,75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-21,9 %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918,75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+3,7 %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35 %</w:t>
            </w:r>
          </w:p>
        </w:tc>
      </w:tr>
    </w:tbl>
    <w:p>
      <w:pPr>
        <w:spacing w:after="160" w:before="0"/>
      </w:pPr>
    </w:p>
    <w:p>
      <w:pPr>
        <w:spacing w:after="100"/>
      </w:pPr>
      <w:r>
        <w:rPr>
          <w:b/>
          <w:bCs/>
        </w:rPr>
        <w:t xml:space="preserve">Valor intrínseco ponderado (largo plazo):</w:t>
      </w:r>
      <w:r>
        <w:t xml:space="preserve"> 908,88 EUR (+2,6 % sobre 886,10).</w:t>
      </w:r>
    </w:p>
    <w:p>
      <w:pPr>
        <w:spacing w:after="100"/>
      </w:pPr>
      <w:r>
        <w:rPr>
          <w:b/>
        </w:rPr>
        <w:t xml:space="preserve">Puente.</w:t>
      </w:r>
      <w:r>
        <w:t xml:space="preserve"> Caja propia de 4.908,6 M a 30-jun-2026: caja bruta de 12.392,8 M menos 8.097,4 M debidos a comerciantes y entidades financieras más 602,8 M de cobros pendientes, y 10,4 M de activos a coste amortizado [11]. Arrendamientos de 409,4 M; inversiones financieras de 16,7 M. Otros ajustes netos de −805,7 M: suman la compra de Orb, cerrada el 1-jul por 335 M USD (294,3 M EUR) [11], y restan el valor del flotante de comerciantes, 1.100 M (estimación propia: el 60 % de los ingresos financieros anualizados del 1S26, 143,2 M × 2 [11], corresponde a la caja de terceros; tras impuestos son unos 131 M al año, capitalizados al coste de los recursos propios del 11,8 % sin crecimiento). Sin ese ajuste el valor bajaría unos 35 EUR por acción: el DCF sobre el EBITDA no recoge los intereses de esa caja. </w:t>
      </w:r>
      <w:r>
        <w:rPr>
          <w:b/>
        </w:rPr>
        <w:t xml:space="preserve">Pesos.</w:t>
      </w:r>
      <w:r>
        <w:t xml:space="preserve"> DCF 55 % y escenarios 35 %, porque los comparables cotizados (10 %) no tienen el crecimiento de Adyen y las transacciones (0 %) son de procesadores maduros con prima de control. La dispersión es grande: los comparables dan 703,93 EUR y el DCF con la prima del mercado 1.167,46 EUR; el DCF propio y los escenarios quedan en 919-940 EUR, a un paso del precio.</w:t>
      </w:r>
    </w:p>
    <w:p>
      <w:pPr>
        <w:pStyle w:val="Heading2"/>
      </w:pPr>
      <w:r>
        <w:t xml:space="preserve">Objetivo a 12 meses: nuestro PER × nuestro BPA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76"/>
        <w:gridCol w:w="1101"/>
        <w:gridCol w:w="963"/>
        <w:gridCol w:w="3579"/>
        <w:gridCol w:w="1239"/>
        <w:gridCol w:w="1380"/>
      </w:tblGrid>
      <w:tr>
        <w:trPr>
          <w:cantSplit/>
          <w:tblHeader/>
        </w:trPr>
        <w:tc>
          <w:tcPr>
            <w:tcW w:type="dxa" w:w="13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110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w:t>
            </w:r>
          </w:p>
        </w:tc>
        <w:tc>
          <w:tcPr>
            <w:tcW w:type="dxa" w:w="35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 dónde sale el PER</w:t>
            </w:r>
          </w:p>
        </w:tc>
        <w:tc>
          <w:tcPr>
            <w:tcW w:type="dxa" w:w="12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Precio</w:t>
            </w:r>
          </w:p>
        </w:tc>
        <w:tc>
          <w:tcPr>
            <w:tcW w:type="dxa" w:w="138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Rentabilidad</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43,35</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base × 0.85 (el mínimo de 5 años no queda por debajo del base)</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736,95</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-16,8 %</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52,97</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PER actual</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1.059,40</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+19,6 %</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57,78</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26,0x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techo de base × 1.3</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1.502,28</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+69,5 %</w:t>
            </w:r>
          </w:p>
        </w:tc>
      </w:tr>
    </w:tbl>
    <w:p>
      <w:pPr>
        <w:spacing w:after="160" w:before="0"/>
      </w:pPr>
    </w:p>
    <w:p>
      <w:pPr>
        <w:spacing w:after="100"/>
      </w:pPr>
      <w:r>
        <w:rPr>
          <w:b/>
          <w:bCs/>
        </w:rPr>
        <w:t xml:space="preserve">Objetivo a 12 meses (ponderado):</w:t>
      </w:r>
      <w:r>
        <w:t xml:space="preserve"> 1.089,51 EUR · rentabilidad +23,0 % (base +19,6 %) · señal Comprar.</w:t>
      </w:r>
    </w:p>
    <w:p>
      <w:pPr>
        <w:spacing w:after="100"/>
      </w:pPr>
      <w:r>
        <w:t xml:space="preserve">Para comparar, con la regla v2 (historia al cierre, mismo precio): 17,0x / 20,0x / 26,0x, 23,0 % Comprar; con el tope anterior del base (×1,3, 14-oct mediodía): 60,4 % Comprar; con la v3 sin el selector (tope ×1,1): 35,7 % Comprar. Decide la v2, elegida por el selector de método (desrateada: la mediana adelantada (54,4x) es 2,7 veces el PER de hoy (20x); la historia es de otro régimen y decide la v2; METODO-VIGENTE.md).</w:t>
      </w:r>
    </w:p>
    <w:p>
      <w:pPr>
        <w:keepNext/>
        <w:spacing w:after="100"/>
      </w:pPr>
      <w:r>
        <w:rPr>
          <w:b/>
          <w:bCs/>
        </w:rPr>
        <w:t xml:space="preserve">Frente al consenso (solo contraste).</w:t>
      </w:r>
    </w:p>
    <w:p>
      <w:pPr>
        <w:spacing w:after="100"/>
      </w:pPr>
      <w:r>
        <w:t xml:space="preserve">Nuestro BPA base de 2028e (52,97) se separa un -8,1 % del consenso (57,62) y nuestro precio base (1059,40) un -23,1 % del objetivo medio de los analistas (1378,31). No se acerca la cifra: el porqué (ventas, margen, base de BPA o múltiplo) está en el contraste con el consenso de revision-12m-2026-10-13.md.</w:t>
      </w:r>
    </w:p>
    <w:p>
      <w:pPr>
        <w:keepNext/>
        <w:spacing w:after="100"/>
      </w:pPr>
      <w:r>
        <w:rPr>
          <w:b/>
          <w:bCs/>
        </w:rPr>
        <w:t xml:space="preserve">Del valor intrínseco al objetivo a 12 meses.</w:t>
      </w:r>
    </w:p>
    <w:p>
      <w:pPr>
        <w:spacing w:after="100"/>
      </w:pPr>
      <w:r>
        <w:t xml:space="preserve">Valor intrínseco 908,88 (+2,6 %) frente al objetivo a 12 meses ponderado 1089,51 (+23,0 % con dividendo; base +19,6 %). La distancia es menor del 25 %.</w:t>
      </w:r>
    </w:p>
    <w:p>
      <w:r>
        <w:br w:type="page"/>
      </w:r>
    </w:p>
    <w:p>
      <w:pPr>
        <w:pStyle w:val="Parte"/>
      </w:pPr>
      <w:r>
        <w:t xml:space="preserve">Parte V — Tesis, riesgos y seguimiento</w:t>
      </w:r>
    </w:p>
    <w:p>
      <w:pPr>
        <w:pStyle w:val="Heading1"/>
      </w:pPr>
      <w:r>
        <w:t xml:space="preserve">24. Catalizadores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89"/>
        <w:gridCol w:w="3093"/>
        <w:gridCol w:w="3569"/>
        <w:gridCol w:w="832"/>
        <w:gridCol w:w="955"/>
      </w:tblGrid>
      <w:tr>
        <w:trPr>
          <w:cantSplit/>
          <w:tblHeader/>
        </w:trPr>
        <w:tc>
          <w:tcPr>
            <w:tcW w:type="dxa" w:w="11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30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Evento</w:t>
            </w:r>
          </w:p>
        </w:tc>
        <w:tc>
          <w:tcPr>
            <w:tcW w:type="dxa" w:w="356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se sabrá</w:t>
            </w:r>
          </w:p>
        </w:tc>
        <w:tc>
          <w:tcPr>
            <w:tcW w:type="dxa" w:w="8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9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Sentido</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2026-10-28</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Business Update del 3T26</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Primer trimestre con Talon.One y Orb; confirmación o recorte de la guía del 21-23 % a divisa constante</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Febrero de 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 2026 (H2 2026) y guía de 2027</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Primera guía anual de 2027 tras el Investor Day; un crecimiento por debajo del 20 % llevaría el caso base hacia el bajista</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1S27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Nombramiento del director financiero definitivo y nuevo Executive Board</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Cierra la incertidumbre de la salida de Ethan Tandowsky (31-ago-2026)</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Primer ejercicio con EY como auditor (rotación obligatoria)</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Revisión externa nueva de criterios; sin efecto esperado</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Decisión sobre el uso de la caja propia (≈ 4.600 M tras las compras)</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Una recompra o un dividendo aumentaría el retorno al accionista; más compras sin múltiplo publicado restarían confianza</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Agosto de 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Resultados del 1S27</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Prueba del margen del 55 % en 2028 y del capex de vuelta al 5 %</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r>
    </w:tbl>
    <w:p>
      <w:pPr>
        <w:spacing w:after="160" w:before="0"/>
      </w:pPr>
    </w:p>
    <w:p>
      <w:pPr>
        <w:pStyle w:val="Heading1"/>
      </w:pPr>
      <w:r>
        <w:t xml:space="preserve">25. Riesgos y pre-mortem</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19"/>
        <w:gridCol w:w="2095"/>
        <w:gridCol w:w="942"/>
        <w:gridCol w:w="628"/>
        <w:gridCol w:w="733"/>
        <w:gridCol w:w="1047"/>
        <w:gridCol w:w="1885"/>
        <w:gridCol w:w="1889"/>
      </w:tblGrid>
      <w:tr>
        <w:trPr>
          <w:cantSplit/>
          <w:tblHeader/>
        </w:trPr>
        <w:tc>
          <w:tcPr>
            <w:tcW w:type="dxa" w:w="4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Riesgo</w:t>
            </w:r>
          </w:p>
        </w:tc>
        <w:tc>
          <w:tcPr>
            <w:tcW w:type="dxa" w:w="9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6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7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Impacto</w:t>
            </w:r>
          </w:p>
        </w:tc>
        <w:tc>
          <w:tcPr>
            <w:tcW w:type="dxa" w:w="10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 en valor</w:t>
            </w:r>
          </w:p>
        </w:tc>
        <w:tc>
          <w:tcPr>
            <w:tcW w:type="dxa" w:w="1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Mitigante</w:t>
            </w:r>
          </w:p>
        </w:tc>
        <w:tc>
          <w:tcPr>
            <w:tcW w:type="dxa" w:w="18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 de alerta</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Pérdida de cuota frente a Stripe en Digital y Platforms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Competencia</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−26 % (escenario bajista)</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Plataforma única, licencias bancarias y bajas de clientes inferiores al 1 %</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Crecimiento del volumen por debajo del 18 % durante dos semestres</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Caída de la tasa media (take rate) más rápida que la proyectada</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Precio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−10 % a −15 % por cada 1 pb permanente</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Productos de mayor valor (tienda, financiación, Talon.One)</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Tasa media por debajo de 15,5 pb en un semestre</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por debajo del objetivo del 55 % en 2028</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Operativo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−4 % por cada 2 puntos de margen</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Margen subyacente del 53 % en 2025 y control de la plantilla</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Margen EBITDA del 2S26 inferior al 51 %</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Caída de los tipos de interés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Financiero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−2 % si los ingresos financieros se reducen a la mitad</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caso base solo capitaliza el flotante sin crecimiento</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Ingresos financieros semestrales inferiores a 100 M</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Compras que destruyen valor (Talon.One, Orb y siguientes)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Asignación de capital</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−3 % por cada 1.000 M sin retorno</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Importes pequeños frente a la caja propia (≈ 1.040 M de 4.900 M)</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Deterioro del fondo de comercio o nuevas compras sin múltiplo publicado</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6</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Rotación en la cúpula (CFO interino, cambio de presidencia)</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Gobierno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Indirecto, a través de la credibilidad de la guía</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Co-CEO estables y fundador con el 2,9 % del capital</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Más salidas del Management Board en 2027</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7</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Incidente técnico o ciberataque</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Operativo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−5 % a −10 % por pérdida de clientes grandes</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Infraestructura propia, centros de datos redundantes</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Nuevas interrupciones como el DDoS del 21-abr-2025</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8</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Regulación de pagos (PSD3/PSR, tasas de intercambio, licencias)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Regulatorio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−5 %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Adyen cobra por transacción y repercute las tasas de esquema</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Normas que limiten las comisiones de adquirencia</w:t>
            </w:r>
          </w:p>
        </w:tc>
      </w:tr>
    </w:tbl>
    <w:p>
      <w:pPr>
        <w:spacing w:after="160" w:before="0"/>
      </w:pPr>
    </w:p>
    <w:p>
      <w:pPr>
        <w:pStyle w:val="Heading2"/>
      </w:pPr>
      <w:r>
        <w:t xml:space="preserve">Pre-mortem</w:t>
      </w:r>
    </w:p>
    <w:p>
      <w:pPr>
        <w:spacing w:after="100"/>
      </w:pPr>
      <w:r>
        <w:t xml:space="preserve">Es octubre de 2029 y la acción ha perdido un 40 %, hasta unos 530 EUR. La historia más probable empieza en febrero de 2027: Adyen da una guía de crecimiento del 16-18 % para 2027 y reconoce que dos grandes plataformas reparten volumen con Stripe. El mercado deja de pagar un múltiplo de crecimiento: la acción pasa de 13x a 9x el EBITDA de los próximos doce meses. A la vez, la tasa media baja de 16 a 14 puntos básicos por la mezcla hacia grandes cuentas y por la presión de precios en EE. UU., y el margen no llega al 55 % en 2028 porque la dirección no frena la contratación (lo mismo que en 2023, cuando el margen cayó al 45,7 %). Las compras de 2026 se suman a otras dos más grandes, pagadas con la caja propia, que no aportan crecimiento y acaban con un deterioro. La tercera pieza es la caída de los tipos del BCE, que recorta a la mitad los ingresos financieros y el beneficio por acción crece apenas un 5 % al año. Los indicadores que lo habrían anticipado: el crecimiento del volumen por debajo del 20 % en la actualización del 3T26, la tasa media por debajo de 16 pb en el 2S26 y el margen del 2S26 por debajo del 51 %.</w:t>
      </w:r>
    </w:p>
    <w:p>
      <w:pPr>
        <w:pStyle w:val="Heading1"/>
      </w:pPr>
      <w:r>
        <w:t xml:space="preserve">26. ESG y controversias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55"/>
        <w:gridCol w:w="3855"/>
        <w:gridCol w:w="1928"/>
      </w:tblGrid>
      <w:tr>
        <w:trPr>
          <w:cantSplit/>
          <w:tblHeader/>
        </w:trPr>
        <w:tc>
          <w:tcPr>
            <w:tcW w:type="dxa" w:w="38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Proveedor</w:t>
            </w:r>
          </w:p>
        </w:tc>
        <w:tc>
          <w:tcPr>
            <w:tcW w:type="dxa" w:w="38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Calificación</w:t>
            </w:r>
          </w:p>
        </w:tc>
        <w:tc>
          <w:tcPr>
            <w:tcW w:type="dxa" w:w="19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r>
      <w:tr>
        <w:trPr>
          <w:cantSplit/>
        </w:trPr>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Morningstar Sustainalytics (vía Saxo)</w:t>
            </w:r>
          </w:p>
        </w:tc>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Riesgo ESG 19,64 (bajo); E 4,77, S 9,85, G 5,02</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2026-10</w:t>
            </w:r>
          </w:p>
        </w:tc>
      </w:tr>
    </w:tbl>
    <w:p>
      <w:pPr>
        <w:spacing w:after="160" w:before="0"/>
      </w:pPr>
    </w:p>
    <w:p>
      <w:pPr>
        <w:pStyle w:val="Heading2"/>
      </w:pPr>
      <w:r>
        <w:t xml:space="preserve">Asuntos materiales</w:t>
      </w:r>
    </w:p>
    <w:p>
      <w:pPr>
        <w:spacing w:after="100"/>
      </w:pPr>
      <w:r>
        <w:t xml:space="preserve">Los asuntos ESG que más pueden mover las cifras de Adyen no son ambientales; Sustainalytics le asigna un riesgo ESG bajo (19,64) [37]. Primero, la seguridad y la disponibilidad de la plataforma: una caída desvía transacciones a otros procesadores; en 2025 hubo un incidente DDoS notificable al regulador y ninguna pérdida de datos [1, 35]. Segundo, el cumplimiento de la normativa contra el blanqueo y de sanciones, que como banco forma parte de su licencia para operar [1]. Tercero, el personal: 756,2 M EUR de gastos de personal, el 60 % de los gastos operativos [1]. El impacto ambiental es pequeño: 83.818 t de CO₂ equivalente en 2025 con criterio de mercado (+17 % sobre 71.488 t en 2024), un 83 % de electricidad renovable y 2.926 t de alcance 2 [1]. Adyen destina el 1 % de los ingresos netos a causas ligadas a los Objetivos de Desarrollo Sostenible (23,6 M EUR en 2025) [1].</w:t>
      </w:r>
    </w:p>
    <w:p>
      <w:pPr>
        <w:pStyle w:val="Heading2"/>
      </w:pPr>
      <w:r>
        <w:t xml:space="preserve">Controversias</w:t>
      </w:r>
    </w:p>
    <w:p>
      <w:pPr>
        <w:spacing w:after="100"/>
      </w:pPr>
      <w:r>
        <w:t xml:space="preserve">El 21 de abril de 2025 un ataque DDoS en tres oleadas sobre sus centros de datos europeos degradó durante horas los pagos online y en tienda de parte de sus clientes en la UE, sin pérdida de datos; la compañía reforzó después sus defensas [1, 35]. No he encontrado sanciones de De Nederlandsche Bank ni de otros supervisores contra Adyen en los últimos tres años en las fuentes consultadas, y el informe anual no registra multas por corrupción [1].</w:t>
      </w:r>
    </w:p>
    <w:p>
      <w:pPr>
        <w:pStyle w:val="Heading1"/>
      </w:pPr>
      <w:r>
        <w:t xml:space="preserve">27. Preguntas abiertas para la dirección y la due diligence</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8"/>
        <w:gridCol w:w="1585"/>
        <w:gridCol w:w="4392"/>
        <w:gridCol w:w="3173"/>
      </w:tblGrid>
      <w:tr>
        <w:trPr>
          <w:cantSplit/>
          <w:tblHeader/>
        </w:trPr>
        <w:tc>
          <w:tcPr>
            <w:tcW w:type="dxa" w:w="4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15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Tema</w:t>
            </w:r>
          </w:p>
        </w:tc>
        <w:tc>
          <w:tcPr>
            <w:tcW w:type="dxa" w:w="43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Pregunta</w:t>
            </w:r>
          </w:p>
        </w:tc>
        <w:tc>
          <w:tcPr>
            <w:tcW w:type="dxa" w:w="31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Precio</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¿Cuánto de la caída de la tasa media en el 1S26 (de 17,0 a 16,2 pb) es mezcla y cuánto rebaja de precios a grandes cuentas?</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Cada punto básico permanente mueve el valor un 10-15 %; es el supuesto más sensible del puente volumen × precio.</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Competencia</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porcentaje del volumen de los diez primeros clientes se comparte con Stripe u otros procesadores, y cómo ha cambiado en dos años?</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Mide el riesgo del escenario bajista mejor que la tasa de bajas de clientes.</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Flotante</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parte de los ingresos financieros corresponde a los saldos de comerciantes y qué parte a la caja propia? ¿Se comparte el rendimiento con los clientes?</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informe atribuye 1.100 M de valor (≈ 35 EUR por acción) al flotante con una estimación propia.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Caja propia</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parte de los 4.900 M de caja propia exigen los requisitos de capital y liquidez del banco, y qué política de retribución hay para el exceso?</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 una parte relevante no es libre, el puente sobrevalora la caja; si sobra, una recompra cambiaría la rentabilidad para el accionista.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Compras</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ingresos, crecimiento y margen tenían Talon.One y Orb, y qué retorno sobre los 1.040 M exige el consejo?</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Son las primeras compras de la historia y no se publicó múltiplo.</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6</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contratación neta prevé para 2027 y cómo protege el objetivo de margen superior al 55 % en 2028?</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crisis de margen de 2023 vino de la plantilla.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7</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Capex</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capex del 7 % de 2026 por los centros de datos es puntual o la demanda de cómputo lo mantendrá por encima del 5 %?</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Dos puntos más de capex permanente restan alrededor del 5 % del valor.</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8</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Dirección</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¿Por qué se fue el director financiero con tres años en el cargo y cuándo habrá sustituto definitivo?</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salida sorprendió al propio presidente y coincide con la tercera rebaja de la guía de medio plazo.</w:t>
            </w:r>
          </w:p>
        </w:tc>
      </w:tr>
    </w:tbl>
    <w:p>
      <w:pPr>
        <w:spacing w:after="160" w:before="0"/>
      </w:pPr>
    </w:p>
    <w:p>
      <w:pPr>
        <w:pStyle w:val="Heading1"/>
      </w:pPr>
      <w:r>
        <w:t xml:space="preserve">28. Sentimiento en foros y comentarios</w:t>
      </w:r>
    </w:p>
    <w:p>
      <w:pPr>
        <w:pStyle w:val="Confianza"/>
        <w:spacing w:after="100"/>
      </w:pPr>
      <w:r>
        <w:t xml:space="preserve">Confianza: Media</w:t>
      </w:r>
    </w:p>
    <w:p>
      <w:pPr>
        <w:spacing w:after="100"/>
      </w:pPr>
      <w:r>
        <w:rPr>
          <w:b/>
          <w:bCs/>
        </w:rPr>
        <w:t xml:space="preserve">Tono:</w:t>
      </w:r>
      <w:r>
        <w:t xml:space="preserve"> Dividido · </w:t>
      </w:r>
      <w:r>
        <w:rPr>
          <w:b/>
          <w:bCs/>
        </w:rPr>
        <w:t xml:space="preserve">Tendencia:</w:t>
      </w:r>
      <w:r>
        <w:t xml:space="preserve"> Estable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68"/>
        <w:gridCol w:w="963"/>
        <w:gridCol w:w="1084"/>
        <w:gridCol w:w="1084"/>
        <w:gridCol w:w="4339"/>
      </w:tblGrid>
      <w:tr>
        <w:trPr>
          <w:cantSplit/>
          <w:tblHeader/>
        </w:trPr>
        <w:tc>
          <w:tcPr>
            <w:tcW w:type="dxa" w:w="216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Dónde</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0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Comentarios</w:t>
            </w:r>
          </w:p>
        </w:tc>
        <w:tc>
          <w:tcPr>
            <w:tcW w:type="dxa" w:w="10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Tono</w:t>
            </w:r>
          </w:p>
        </w:tc>
        <w:tc>
          <w:tcPr>
            <w:tcW w:type="dxa" w:w="43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se dice</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Seeking Alpha (artículos de autores independientes y sus comentarios)</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2026-08</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Positivo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Los dos artículos publicados tras los resultados del 13 de agosto mantienen la recomendación de compra: uno sostiene que la caja acumulada justifica un valor por encima de la cotización y otro que el «compounder del 20 %» por fin está a un precio razonable, aunque avisa del riesgo de integrar las dos compras. Desde entonces el canal solo ha recogido noticias (nuevo director financiero procedente de Klarna, inicio de cobertura de Scotiabank), sin nuevos artículos de opinión [93, 94, 95].</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Beursduivel / IEX.nl, foro «Adyen 2026» (antes de resultados)</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2026-07</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Dividido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Ambiente de desgaste tras meses de caídas: muchos acusan a bajistas, al vencimiento de opciones y a la subasta de cierre de «manipular» la cotización; otros discuten si las compras de Talon.One y Orb restarán margen. En vísperas de los resultados domina el miedo a que unas cifras solo «en línea» no basten para mover la acción [96].</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Beursduivel / IEX.nl, foro «Adyen 2026» (día de resultados)</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2026-08</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Positivo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Euforia el 13 de agosto, con unas 25 páginas de mensajes en un día: se lee como el fin del miedo a una rebaja de objetivos y muchos particulares recogen beneficios tras la subida; circulan rumores, sin comprobar, de nuevos grandes clientes del sector de la IA a partir de ofertas de empleo [96].</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Beursduivel / IEX.nl, foro «Adyen 2026» (finales de agosto y septiembre)</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2026-09</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Negativo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Frustración: la acción devuelve en pocas semanas toda la subida de los resultados y el foro lo atribuye a un producto estructurado de un banco sobre la acción, a los bajistas, a los tipos de interés y a un mercado que «pone un múltiplo nuevo» a Adyen por el menor crecimiento del beneficio. Varios piden recompras o dividendo; otros defienden que, descontada la caja, ya es barata [97].</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Beursduivel / IEX.nl, foro «Adyen 2026» (octubre)</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2026-10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Dividido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Debate encendido y con mucho ruido personal sobre si hay posiciones cortas por debajo del umbral de publicación, el temor a que la IA desintermedie los pagos y la junta extraordinaria del 7 de octubre. El 12 de octubre una subida con volumen normal devuelve algo de alivio, pero nadie la asocia a una noticia [97].</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2"/>
        <w:gridCol w:w="1239"/>
        <w:gridCol w:w="963"/>
        <w:gridCol w:w="5234"/>
      </w:tblGrid>
      <w:tr>
        <w:trPr>
          <w:cantSplit/>
          <w:tblHeader/>
        </w:trPr>
        <w:tc>
          <w:tcPr>
            <w:tcW w:type="dxa" w:w="22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Tema</w:t>
            </w:r>
          </w:p>
        </w:tc>
        <w:tc>
          <w:tcPr>
            <w:tcW w:type="dxa" w:w="12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Postura</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Peso</w:t>
            </w:r>
          </w:p>
        </w:tc>
        <w:tc>
          <w:tcPr>
            <w:tcW w:type="dxa" w:w="523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dicen los datos</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Valoración: «ya es barata» frente a «sigue cara para su sector»</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Alcista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mayoría de los particulares y los dos autores de Seeking Alpha creen que, restando la caja, el múltiplo ya no es exigente para una empresa que crece cerca del 20 % [93, 94, 97]. La empresa creció un 19 % en ingresos netos en el primer semestre (21 % a tipo constante) y prevé un 21-23 % en 2026 a tipo constante, incluidas las compras [47]: el crecimiento que da por hecho el foro existe. Los múltiplos del foro no se usan; los del informe los calcula el motor.</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Desaceleración del beneficio y nuevo múltiplo</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Dividida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preocupación tiene base: la empresa prevé para 2026 un margen EBITDA un punto inferior al de 2025 por las compras de Talon.One y Orb y adelanta inversión en centros de datos hasta un capex de en torno al 7 % de los ingresos netos, aunque mantiene el objetivo de margen superior al 55 % en 2028 [47]. El beneficio de 2026 crecerá, por tanto, menos que los ingresos; el foro lo intuye, pero exagera al leer cada caída como un cambio de tesis.</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Bajistas, opciones y «manipulación» de la cotización</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 el tema que más mensajes ocupa y el que menos sustento tiene: los propios foreros reconocen que no hay posiciones cortas netas declaradas por encima del umbral de publicación y atribuyen la presión a un producto estructurado bancario y a la expiración de opciones [96, 97]. No es una tesis sobre el negocio; refleja el cansancio del accionista particular tras casi un año sin rentabilidad.</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Competencia (Stripe, PayPal) y precio por transacción</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Dividida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oferta de Stripe y Advent por PayPal en julio y su caída posterior alimentaron la idea de que Adyen pierde frente a Stripe o de que podría ser objeto de una oferta; otros ven en las tarifas de Adyen, más altas, una prueba de poder de fijación de precios [96, 97]. La empresa presenta el semestre como una ampliación más allá de los pagos (fidelización, facturación por uso, pagos con agentes de IA) [47]; la cuota y el take rate los recoge el informe en competencia.</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Compras de Talon.One y Orb, Adyen Agentic e IA</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Alcista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foro las ve como motor de venta cruzada; los artículos de Seeking Alpha añaden un punto de crecimiento en 2026 y el riesgo de integración [93, 94]. La empresa confirma que se cerraron el 1 de julio de 2026, que entran en la previsión de crecimiento y que restan un punto de margen este año [47]. El temor de octubre a que la IA desintermedie los pagos va en sentido contrario al lanzamiento de Adyen Agentic y, por ahora, no tiene base en las cifras.</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Cambios en la dirección y el consejo</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Dividida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 comenta el fichaje de un director financiero procedente de Klarna [95], la etapa con directora financiera interina [47] y la junta extraordinaria del 7 de octubre, que nombraba a un nuevo miembro del consejo de supervisión [39]; algunos mensajes critican a la futura presidenta del consejo, lo que no se ha comprobado aquí. Es ruido sin efecto en la tesis, salvo que la nueva dirección financiera cambie la política de caja, que es lo que piden los partidarios de las recompras.</w:t>
            </w:r>
          </w:p>
        </w:tc>
      </w:tr>
    </w:tbl>
    <w:p>
      <w:pPr>
        <w:spacing w:after="160" w:before="0"/>
      </w:pPr>
    </w:p>
    <w:p>
      <w:pPr>
        <w:spacing w:after="100"/>
      </w:pPr>
      <w:r>
        <w:t xml:space="preserve">El sentimiento del particular, concentrado en el foro neerlandés (muy activo: más de 21.000 mensajes en 2026), es de </w:t>
      </w:r>
      <w:r>
        <w:rPr>
          <w:b/>
        </w:rPr>
        <w:t xml:space="preserve">cansancio más que de capitulación</w:t>
      </w:r>
      <w:r>
        <w:t xml:space="preserve">: se esperaba que unos buenos resultados devolvieran la cotización a niveles anteriores, la subida del 13 de agosto se devolvió entera en cuatro semanas y la frustración se dirige a bajistas y productos estructurados, no al negocio. Los autores independientes de Seeking Alpha siguen siendo compradores. El riesgo que el foro sí detecta, y que el análisis debe pesar, es que el beneficio de 2026 crezca menos que los ingresos por las compras y el capex adelantado [47], lo que justifica un múltiplo menor. El catalizador inmediato es la actualización del tercer trimestre del 28 de octubre. No contradice al consenso de analistas, mayoritariamente positivo según el propio foro.</w:t>
      </w:r>
    </w:p>
    <w:p>
      <w:pPr>
        <w:pStyle w:val="Nota"/>
        <w:spacing w:after="100"/>
      </w:pPr>
      <w:r>
        <w:t xml:space="preserve">Opiniones de inversores en foros, redes y comentarios de prensa: sirven para saber qué preocupa o entusiasma al mercado, no como fuente de cifras. No entran en la valoración.</w:t>
      </w:r>
    </w:p>
    <w:p>
      <w:r>
        <w:br w:type="page"/>
      </w:r>
    </w:p>
    <w:p>
      <w:pPr>
        <w:pStyle w:val="Parte"/>
      </w:pPr>
      <w:r>
        <w:t xml:space="preserve">Anexos</w:t>
      </w:r>
    </w:p>
    <w:p>
      <w:pPr>
        <w:pStyle w:val="Heading1"/>
      </w:pPr>
      <w:r>
        <w:t xml:space="preserve">A. Controles de calidad del análisis</w:t>
      </w:r>
    </w:p>
    <w:p>
      <w:pPr>
        <w:spacing w:after="100"/>
      </w:pPr>
      <w:r>
        <w:t xml:space="preserve">19 de 22 controles correctos y 2 explicados. Fuentes: 97 (66 primarias); citas distintas en el texto: 96.</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05"/>
        <w:gridCol w:w="1126"/>
        <w:gridCol w:w="4507"/>
      </w:tblGrid>
      <w:tr>
        <w:trPr>
          <w:cantSplit/>
          <w:tblHeader/>
        </w:trPr>
        <w:tc>
          <w:tcPr>
            <w:tcW w:type="dxa" w:w="40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Control</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c>
          <w:tcPr>
            <w:tcW w:type="dxa" w:w="45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Detalle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Geografías suman 100 %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Cambio de perímetro declarado (2020)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activo total crece un 59 % y los ingresos un 28 %: si hubo una compra cerca del cierre, decláralo en financieros.cambios_perimetro y explícalo. Explicación: No hubo compras. El activo total creció un 59 % porque la caja bruta de comerciantes pasó de 1.745 a 2.738 M (pasivos con comerciantes de 1.459 a 2.589 M) [4]: es dinero de terceros en tránsito, no un cambio de perímetro.</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DCF inverso calculable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Puente de ingresos (volumen + precio + otros) = crecimiento del DCF</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Cuota implícita al final de la proyección ≤ 1,5 × la actual (o +10 puntos)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Cuota de 9,6 % en 2030e frente al 5,6 % de hoy.</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Circulante del primer año de proyección ≈ último real</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Supuesto 0,5 % frente a 0,4 % real: genera una variación de circulante de 6 M en el primer año. Converge de forma gradual.</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 80 % del valor empresa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52 %.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a perpetuidad ≤ 3 %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2,50 %.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Probabilidades de los escenarios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5 comparables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comparables.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Comparables: EV/EBITDA y PER coherentes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EV/EBITDA da 561,27 y PER 846,58 por acción: si la empresa amortiza mucho más que sus comparables (licencias, intangibles adquiridos) el EBITDA la favorece; usa EV/EBIT o EV/(EBITDA − capex) y explícalo. Explicación: La mediana de EV/EBITDA la fijan procesadores maduros que crecen un 0-5 % (Fiserv, Nexi, Worldline) y cuyo EBITDA de proveedor excluye pagos en acciones; el PER se acerca más porque el beneficio de Adyen incluye los intereses de la caja de comerciantes. Por eso los comparables pesan solo un 10 %.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Pesos de la síntesis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Compra robusta (v3 y v2 dan Comprar)</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del BPA base ≤ 25 % anual desde el último real</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del cierre de la fecha de corte (o de las dos sesiones anteriores)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coherente con la regla de decisión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Revisar</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regla da «Comprar» y el análisis recomienda «Mantener»: hace falta «justificacion_recomendacion».</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síntesis explica la convicción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síntesis debe decir por qué tiene esa convicción y qué la subiría o la bajaría.</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Capitalización calculada ≈ publicada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25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97 fuentes (66 primarias).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10 fuentes primarias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66.</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Toda cita [n] existe en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Fuentes sin citar ≤ 15 %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Sin citar: 65.</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228"/>
        <w:gridCol w:w="2410"/>
      </w:tblGrid>
      <w:tr>
        <w:trPr>
          <w:cantSplit/>
          <w:tblHeader/>
        </w:trPr>
        <w:tc>
          <w:tcPr>
            <w:tcW w:type="dxa" w:w="72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 de fuente</w:t>
            </w:r>
          </w:p>
        </w:tc>
        <w:tc>
          <w:tcPr>
            <w:tcW w:type="dxa" w:w="24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Número</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Primaria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Sectorial</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Prensa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Datos de mercado</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Analistas</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Foros y redes</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w:t>
            </w:r>
          </w:p>
        </w:tc>
      </w:tr>
    </w:tbl>
    <w:p>
      <w:pPr>
        <w:spacing w:after="160" w:before="0"/>
      </w:pPr>
    </w:p>
    <w:p>
      <w:pPr>
        <w:pStyle w:val="Heading2"/>
      </w:pPr>
      <w:r>
        <w:t xml:space="preserve">B. Información no disponible</w:t>
      </w:r>
    </w:p>
    <w:p>
      <w:pPr>
        <w:spacing w:after="100"/>
      </w:pPr>
      <w:r>
        <w:t xml:space="preserve">Cuando un dato no aparece tras tres búsquedas distintas, el análisis lo deja fuera en lugar de estimarlo sin base. Las secciones de núcleo que faltan se avisan también en el resumen.</w:t>
      </w:r>
    </w:p>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50"/>
        <w:gridCol w:w="1994"/>
        <w:gridCol w:w="997"/>
        <w:gridCol w:w="3766"/>
        <w:gridCol w:w="1331"/>
      </w:tblGrid>
      <w:tr>
        <w:trPr>
          <w:cantSplit/>
          <w:tblHeader/>
        </w:trPr>
        <w:tc>
          <w:tcPr>
            <w:tcW w:type="dxa" w:w="155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Sección</w:t>
            </w:r>
          </w:p>
        </w:tc>
        <w:tc>
          <w:tcPr>
            <w:tcW w:type="dxa" w:w="199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Dato que falta</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w:t>
            </w:r>
          </w:p>
        </w:tc>
        <w:tc>
          <w:tcPr>
            <w:tcW w:type="dxa" w:w="37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Las tres búsquedas</w:t>
            </w:r>
          </w:p>
        </w:tc>
        <w:tc>
          <w:tcPr>
            <w:tcW w:type="dxa" w:w="13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Decisión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trimestres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Preguntas de los analistas en las conferencias H2 2025 y H1 2026</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Páginas de eventos earnings-call-h1-2026 y h2-2025 de la web de inversores: solo discursos preparados (H1 2026) o nada en PDF (H2 2025); 2) carta H2 2025 y prepared remarks H1 2026 leídas, sin sesión de preguntas; 3) no se gastaron búsquedas web en transcripciones de terceros (presupuesto de búsquedas compartido)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trimestres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BPA semestral de 1S23-1S24 y 2S25</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Financial comparison (Excel) no da BPA; 2) cartas semestrales antiguas no descargadas; 3) restar BPA anuales menos semestrales no es exacto con acciones medias distintas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negocio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Ingresos por pilar comercial y por región antes de 2024</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Financial comparison H2 2023 y H2 2024: solo volumen por pilar, no ingresos; 2) informe anual 2025: ingresos netos por región y pilar solo 2024-2025 (reexpresado); 3) informes de 2023 y anteriores usan otro criterio regional</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calidad</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Opinión del auditor y año de su primer nombramiento</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Paquete iXBRL 2025: no incluye el informe del auditor; 2) informe anual 2025: solo dice que PwC llega al plazo máximo tras el ejercicio 2026; 3) años derivados del plazo máximo legal de diez años (estimación propia)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Calculado y marcado como estimación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balance</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Vencimientos, coste y vida media de la deuda</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Balance 2025 y jun-26: no hay deuda financiera; 2) nota de arrendamientos no leída en detalle; 3) no aplica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sector</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tamaño en ingresos netos de la adquirencia mundial</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McKinsey Global Payments Report 2025: solo da los ingresos de todo el sector de pagos (2,5 billones USD, con margen financiero y tarjetas de crédito), sin el fondo de adquirencia; 2) página de McKinsey (tiempo agotado) y Worldpay Global Payments Report (403 en Business Wire, Fintech Futures y Payment Expert); 3) derivarlo sumando los ingresos de los adquirentes cotizados no es fiable porque mezclan emisión, software y hardware</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 se da el volumen como medida del mercado y los ingresos del sector como contexto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sector</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cr5_pct (cuota de los cinco primeros adquirentes)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The Nilson Report (ranking de adquirentes de pago, no accesible); 2) 10-K de Fiserv y Global Payments: no publican volumen procesado en dólares; 3) estimarlo con los volúmenes publicados (Stripe, Adyen, PayPal, Nexi) deja fuera a JPMorgan, Fiserv y Worldpay</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sector</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tcac_previsto_pct del volumen</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Visa y Mastercard 10-K: no dan previsiones; 2) McKinsey 2025: solo previsión de ingresos (4 % anual a 2029); 3) Worldpay GPR: inaccesible</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 usa el 4 % de ingresos de McKinsey y se dice en la definición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competencia</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margen EBIT de Worldline</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nota de prensa de resultados 2025 (sin resultado operativo, solo EBITDA ajustado 18,3 % y EBITDA 585 M EUR); 2) PDF de la web de inversores (404); 3) el deterioro de 4.700 M EUR hace el EBIT publicado muy negativo y sin sentido para comparar</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competencia</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Checkout.com (ingresos, volumen, margen)</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no cotiza ni publica en EDGAR; 2) cuentas en Companies House no consultadas por tiempo; 3) prensa no consultada para no gastar búsquedas compartidas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competencia</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ingresos y margen de Stripe</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carta anual 2025: solo volumen (1,9 billones USD); 2) Stripe no publica cuentas consolidadas; 3) no hay fuente primaria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esg</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calificaciones MSCI, ISS y CDP</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informe anual 2025: no las menciona; 2) búsqueda web de MSCI y Sustainalytics: la página de MSCI requiere JavaScript y la de Sustainalytics redirige a una página genérica; 3) Saxo solo da Sustainalytics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historia</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hitos 2012-2019 y compras de 2026 con fuente primaria</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informe anual 2025: solo fundación en 2006, salida a bolsa en 2018 y nombramientos; 2) Wikipedia (fuente secundaria, usada); 3) notas de prensa de Adyen de 2026 sobre Talon.One y Orb no descargadas por tiempo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 usa Wikipedia con confianza Media; conviene contrastar las compras de 2026 con la carta del primer semestre</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gobierno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accionistas (autocartera)</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Informe anual 2025, apartado de capital emitido (solo dice que en 2025 no se recompraron acciones y que se emitieron 51.505 por los planes de acciones); 2) resultados de votación de las juntas de 2024-2026 (dan las acciones en circulación, no la autocartera); 3) registro de participaciones sustanciales de la AFM (no hay notificación de autocartera de Adyen)</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gobierno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insiders (operaciones de directivos en 12 meses)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Exportación CSV del registro MAR 19 de la AFM (9.496 filas desde 2005; para Adyen, una sola operación, de 2019); 2) búsqueda «Adyen» en la web del registro (mismo resultado); 3) participaciones del Management Board en el informe anual 2025 (sin cambios en los fundadores; pequeños aumentos en los demás por las acciones que reciben como sueldo)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 lista vacía, con insiders_sin_operaciones = true según el registro oficial</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directivos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participacion_pct de Hwa Tsao</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Informe anual 2025 (no era consejero); 2) nota de prensa del 1-7-2026 (no da participación); 3) registro MAR 19 de la AFM (sin notificaciones)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directivos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historial_guidance: texto exacto de la guía de 2025 en febrero y agosto de 2025</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Notas de prensa de los resultados H2 2024 y H1 2025 (remiten a la carta, sin cifras); 2) páginas y datos embebidos de las cartas H2 2024 y H1 2025 en investors.adyen.com (sin el texto de los objetivos); 3) actualización del Q3 2025, que sí la resume («2025 en línea con el primer semestre»)</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Calculado a partir de la actualización del Q3 2025 y de la del Q1 2024</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consenso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revisiones de BPA y EBITDA a 3 y 12 meses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MarketScreener consensus (solo gráficos); 2) Stock Analysis forecast (revisiones en versión de pago); 3) Yahoo Finance analysis (sin datos para ADYEN.AS)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multiplos_historicos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ev_ebitda_ntm y per_ntm históricos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MarketScreener (solo años de estimación); 2) Stock Analysis (solo LTM); 3) no hay proveedor gratuito con NTM históricos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 el motor calcula los LTM</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transacciones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Worldline-Ingenico (2020) y Nexi-SIA (2020)</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No se buscaron las notas oficiales por presupuesto de tiempo; 2) -; 3) -</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transacciones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valor empresa y múltiplo de Fiserv-First Data, FIS-Worldpay y Global Payments-TSYS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Notas de prensa y presentaciones en EDGAR (solo valor de las acciones, prima y, en Worldpay, el valor empresa); 2) búsqueda de «enterprise value» y «EBITDA» en los anexos 99.x; 3) no calculado con datos de terceros (regla 0)</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 el múltiplo; ev a null salvo Worldpay</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comparables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Shift4 y Toast</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No buscados por presupuesto; 2) -; 3) -</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sentimiento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Motley Fool (EE. UU.) y foros en español</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Índices mensuales de fool.com de agosto, septiembre y octubre de 2026: ningún artículo sobre Adyen (solo PayPal, Visa, Shift4…); 2) Rankia: ficha de Adyen con un único hilo de 4 mensajes, sin debate real; 3) fool.co.uk, interactive investor, Stockchase y Simply Wall St: 404, búsqueda vacía o 403</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sentimiento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Reddit, Stocktwits y Het Financieele Dagblad (comentarios)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Búsqueda JSON de Reddit: 403; 2) old.reddit: redirige al inicio de sesión; 3) API de Stocktwits: 403; fd.nl: 404</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trimestres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Comparación con el consenso de cada semestre</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Cartas y notas de prensa de la empresa: no publican el consenso previo; 2) MarketScreener y Stock Analysis no dan gratis el consenso histórico de cada semestre; 3) prensa económica: sin series completas del consenso previo por semestre</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bl>
    <w:p>
      <w:pPr>
        <w:spacing w:after="160" w:before="0"/>
      </w:pPr>
    </w:p>
    <w:p>
      <w:pPr>
        <w:pStyle w:val="Heading1"/>
      </w:pPr>
      <w:r>
        <w:t xml:space="preserve">Fuentes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63"/>
        <w:gridCol w:w="3336"/>
        <w:gridCol w:w="1390"/>
        <w:gridCol w:w="926"/>
        <w:gridCol w:w="926"/>
        <w:gridCol w:w="2597"/>
      </w:tblGrid>
      <w:tr>
        <w:trPr>
          <w:cantSplit/>
          <w:tblHeader/>
        </w:trPr>
        <w:tc>
          <w:tcPr>
            <w:tcW w:type="dxa" w:w="4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Ref.</w:t>
            </w:r>
          </w:p>
        </w:tc>
        <w:tc>
          <w:tcPr>
            <w:tcW w:type="dxa" w:w="33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Documento</w:t>
            </w:r>
          </w:p>
        </w:tc>
        <w:tc>
          <w:tcPr>
            <w:tcW w:type="dxa" w:w="139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Editor</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25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Enlace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Annual Report and Consolidated Financial Statements 2025 (paquete iXBRL/ESEF)</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Adyen N.V.</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5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https://brand.adyen.com/api/asset/eyJjbGllbnRJZCI6bnVsbCwiaWQiOjEyMjMxMCwidGltZXN0YW1wIjoxNzcyNjkwNTA2LCJ2ZXJzaW9uIjoxNzcyNjkwMjQ5fQ:adyen:3ZYgX8X1_Yp5L5KfmlX48SXtOqYsX4V7R-TJ2MonZwI/download</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Annual Report and Consolidated Financial Statements 2023 (paquete iXBRL/ESEF)</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Adyen N.V.</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https://brand.adyen.com/api/asset/eyJjbGllbnRJZCI6bnVsbCwiaWQiOjMyNTE1LCJ0aW1lc3RhbXAiOjE3MjgzMTU3MjIsInZlcnNpb24iOjE3MjY4NDgzMzV9:adyen:SSpVHjwCyHoKlJutcAfUXySXFjBtonlqDBNHKtOdp2E/download</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Annual Report and Consolidated Financial Statements 2021 (paquete iXBRL/ESEF)</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Adyen N.V.</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2021</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https://brand.adyen.com/api/asset/eyJjbGllbnRJZCI6bnVsbCwiaWQiOjE4ODUzLCJ0aW1lc3RhbXAiOjE3MjgzMTU3NzAsInZlcnNpb24iOjE3MTM5ODEyMTh9:adyen:Q4OniawcKFoVWOtdiJo9QFKBCUrvpsbeuxfBkkCn4jo/download</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Annual Report and Consolidated Financial Statements 2020 (paquete iXBRL/ESEF, con 2019 reexpresado)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Adyen N.V.</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2020</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https://brand.adyen.com/api/asset/eyJjbGllbnRJZCI6bnVsbCwiaWQiOjE4Nzk4LCJ0aW1lc3RhbXAiOjE3MjgzMTU2NzAsInZlcnNpb24iOjE3MTM5ODExMDV9:adyen:OL9obxjQVSFwGiqdY5MpO7EdLkddLni3SAe09TefZ6Y/download</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Financial comparison H2 2025 (Excel: cuenta semestral, pilares, volumen, EBITDA, capex, trimestres y FTE)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Adyen N.V.</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11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https://brand.adyen.com/api/asset/eyJjbGllbnRJZCI6bnVsbCwiaWQiOjEyMDQwOSwidGltZXN0YW1wIjoxNzcwODMzNzU5LCJ2ZXJzaW9uIjoxNzcwODMzNjY3fQ:adyen:Rs_OhUbjOOH5FL7bLEALIJ04cKCUwYwWUS-zFABz5dE/download</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Financial comparison H1 2026 (Excel)</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Adyen N.V.</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13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https://brand.adyen.com/api/asset/eyJjbGllbnRJZCI6bnVsbCwiaWQiOjEzNjc2OCwidGltZXN0YW1wIjoxNzg2NTkzOTYxLCJ2ZXJzaW9uIjoxNzg2NTkzOTA3fQ:adyen:lwgbg0I0PT1w7FyvPiIxL5Lpp6sw7xk-OuSanXSSBtc/download</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Financial comparison H2 2024 (Excel)</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Adyen N.V.</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feb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https://brand.adyen.com/api/asset/eyJjbGllbnRJZCI6bnVsbCwiaWQiOjU0ODI4LCJ0aW1lc3RhbXAiOjE3MzkzOTcyNTYsInZlcnNpb24iOjE3MzkzOTcyMzF9:adyen:Woj6587vRhBDuj-JbG8Hl_yTqGy-T1rRm_Jfk78xY5M/download</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Financial comparison H2 2023 (Excel)</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Adyen N.V.</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https://brand.adyen.com/api/asset/eyJjbGllbnRJZCI6bnVsbCwiaWQiOjMyNTIwLCJ0aW1lc3RhbXAiOjE3MjgzMTU3NjksInZlcnNpb24iOjE3MjY4NDgzODd9:adyen:ecT3YZkwol1tgDwRJUDNasKAVK95wMDbHFa_nshcfQg/download</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Financial comparison H2 2022 (Excel)</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Adyen N.V.</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2022</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https://brand.adyen.com/api/asset/eyJjbGllbnRJZCI6bnVsbCwiaWQiOjE4ODMxLCJ0aW1lc3RhbXAiOjE3MjgzMTU3NzMsInZlcnNpb24iOjE3MTM5ODExNzR9:adyen:upgkBX85BUgD-ZIoTYx42MExzcdUupvY0i55vS6nRkw/download</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Financial comparison H2 2020 (Excel, con 2019 reexpresado)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Adyen N.V.</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2020</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https://brand.adyen.com/api/asset/eyJjbGllbnRJZCI6bnVsbCwiaWQiOjE4ODI4LCJ0aW1lc3RhbXAiOjE3MjgzMTU3MjIsInZlcnNpb24iOjE3MTM5ODExNjl9:adyen:vv2l2Rix6o3o1yUb47dIb34Q6xg4NC03oAOumAcA0go/download</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H1 2026 Shareholder Letter e Interim Condensed Consolidated Financial Statements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Adyen N.V.</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13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https://brand.adyen.com/api/asset/eyJjbGllbnRJZCI6bnVsbCwiaWQiOjEzNjc2OSwidGltZXN0YW1wIjoxNzg2NjAzNzE2LCJ2ZXJzaW9uIjoxNzg2NjAzNzExfQ:adyen:XGlhBkieVPoOb5QUYl1kHKT87C66iBYXjr2Pk52kHIE/download</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H2 2025 Shareholder Letter</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Adyen N.V.</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11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https://brand.adyen.com/api/asset/eyJjbGllbnRJZCI6bnVsbCwiaWQiOjEyMDQxMCwidGltZXN0YW1wIjoxNzcwOTA5ODMzLCJ2ZXJzaW9uIjoxNzcwOTA5ODIzfQ:adyen:H5vsx79VwLKJkfLZBrmssAmZF4pGvB9sTS75BJt4_pU/download</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Q3 2025 Business Update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Adyen N.V.</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29 oct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https://brand.adyen.com/api/asset/eyJjbGllbnRJZCI6bnVsbCwiaWQiOjEwOTIzNywidGltZXN0YW1wIjoxNzYxNzE3NTM0LCJ2ZXJzaW9uIjoxNzYxNjc0NzQ4fQ:adyen:6rusU3OJosxN5OLcWo1UkwukCbLsJMQng2g8DNOmqW0/download</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Q1 2026 Business Update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Adyen N.V.</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https://brand.adyen.com/api/asset/eyJjbGllbnRJZCI6bnVsbCwiaWQiOjEyNjI5MiwidGltZXN0YW1wIjoxNzc4MDQ0MjczLCJ2ZXJzaW9uIjoxNzc4MDQ0MjQxfQ:adyen:sbv7nJQ0hcv9kI-YO-qpwyn8Xijh5BBO82URSeF28uM/download</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H1 2026 Earnings Call – Prepared remarks (Ingo Uytdehaage y Hwa Tsao)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Adyen N.V.</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13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https://brand.adyen.com/api/asset/eyJjbGllbnRJZCI6bnVsbCwiaWQiOjEzNjc2NiwidGltZXN0YW1wIjoxNzg2NTUyNDgwLCJ2ZXJzaW9uIjoxNzg2NTUyMzY5fQ:adyen:eFS61qzKFjL_7jzClV2BLmw1gSjeRYyXQdUhvuS1IXI/download</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Investor Day 2025 – presentación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Adyen N.V.</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11 nov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https://brand.adyen.com/api/asset/eyJjbGllbnRJZCI6bnVsbCwiaWQiOjEwOTkzNywidGltZXN0YW1wIjoxNzYzMDIyNzg3LCJ2ZXJzaW9uIjoxNzYzMDIyMzExfQ:adyen:M4YT2kDviF4mgZjc3v3Vmm3wi6MShPo1HviEEC0hAxU/download</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Visa Inc. Form 10-K, ejercicio a 30-sep-2025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Visa Inc.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nov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https://www.sec.gov/Archives/edgar/data/1403161/000140316125000089/v-20250930.htm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Visa Inc. Form 10-K, ejercicio a 30-sep-2024 (tabla de redes 2023, datos de The Nilson Report)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Visa Inc.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13 nov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https://www.sec.gov/Archives/edgar/data/1403161/000140316124000058/v-20240930.htm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Visa Inc. Form 10-K, ejercicio a 30-sep-2023 (tabla de redes 2022)</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Visa Inc.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 nov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https://www.sec.gov/Archives/edgar/data/1403161/000140316123000099/v-20230930.htm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Visa Inc. Form 10-K, ejercicio a 30-sep-2022 (tabla de redes 2021)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Visa Inc.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16 nov 2022</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https://www.sec.gov/Archives/edgar/data/1403161/000140316122000081/v-20220930.htm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Visa Inc. Form 10-K, ejercicio a 30-sep-2021 (tabla de redes 2020)</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Visa Inc.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18 nov 2021</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https://www.sec.gov/Archives/edgar/data/1403161/000140316121000060/v-20210930.htm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Visa Inc. Form 10-K, ejercicio a 30-sep-2020 (tabla de redes 2019)</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Visa Inc.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19 nov 2020</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https://www.sec.gov/Archives/edgar/data/1403161/000140316120000070/v-20200930.htm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Mastercard Incorporated Form 10-K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Mastercard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11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https://www.sec.gov/Archives/edgar/data/1141391/000114139126000013/ma-20251231.htm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PayPal Holdings Form 10-K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PayPal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https://www.sec.gov/Archives/edgar/data/1633917/000163391726000024/pypl-20251231.htm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Block, Inc. Form 10-K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Block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26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https://www.sec.gov/Archives/edgar/data/1512673/000162828026012254/xyz-20251231.htm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Fiserv, Inc. Form 10-K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Fiserv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19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https://www.sec.gov/Archives/edgar/data/798354/000079835426000009/fi-20251231.htm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Global Payments Inc. Form 10-K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Global Payments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https://www.sec.gov/Archives/edgar/data/1123360/000112336026000008/gpn-20251231.htm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Worldline FY2025 results – press release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Worldline (GlobeNewswire)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25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https://www.globenewswire.com/news-release/2026/02/25/3244857/0/en/WORLDLINE-FY2025-results-Press-release.html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Nexi FY2025 financial results – press release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Nexi S.p.A. (eMarket Storage)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https://www.emarketstorage.it/sites/default/files/comunicati/2026-03/20260305_178185.pdf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Stripe annual letter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Stripe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https://stripe.com/annual-updates/2025</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 2025 McKinsey Global Payments Report: Competing systems, contested outcomes (borrador bajo embargo)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McKinsey &amp; Company (copia de finews.asia)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29 sep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https://www.finews.asia/images/download/McKinsey_The_2025_Global_Payments_Report_DRAFT_EMBARGOv2914040.pdf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Payments statistics: second half of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Banco Central Europeo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22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https://www.ecb.europa.eu/press/stats/paysec/html/ecb.pis2025h2~23986fb4a6.en.html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Payments statistics: first half of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Banco Central Europeo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29 ene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https://www.ecb.europa.eu/press/stats/paysec/html/ecb.pis2025h1~36edd636c8.en.html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Tipos de cambio de referencia USD/EUR (serie EXR.D.USD.EUR.SP00.A)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Banco Central Europeo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31 dic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https://data-api.ecb.europa.eu/service/data/EXR/D.USD.EUR.SP00.A?startPeriod=2019-12-27&amp;endPeriod=2025-12-31&amp;format=csvdata</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Incident update: Mitigating a DDoS attack on April 21,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Adyen N.V.</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abr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https://www.adyen.com/knowledge-hub/mitigating-a-ddos-april-2025</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Adyen (artículo)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Wikipedia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27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https://en.wikipedia.org/wiki/Adyen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Adyen N.V. – ficha del valor con riesgo ESG de Sustainalytics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Saxo Bank</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https://www.home.saxo/en-gb/markets/stocks/adyen-xams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Annual Report 2025 (incluye el informe de gobierno y el de remuneraciones)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Adyen N.V.</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https://brand.adyen.com/api/asset/eyJjbGllbnRJZCI6bnVsbCwiaWQiOjEyMjMwOCwidGltZXN0YW1wIjoxNzc1NTY0MjQ0LCJ2ZXJzaW9uIjoxNzcyNjkwMjA3fQ:adyen:DEcCEo4XPo3eDfzj-fjMZ366g2pQkuoZMPARCHC5BoE/download</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Voting results, Annual General Meeting 28 May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Adyen N.V.</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28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https://investors.adyen.com/general-meetings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Register substantial holdings and gross short positions (exportación CSV)</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AFM</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https://www.afm.nl/export.aspx?type=1331d46f-3fb6-4a36-b903-9584972675af&amp;format=csv</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Register transactions by persons discharging managerial responsibilities (MAR 19), exportación CSV y búsqueda «Adyen»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AFM</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https://www.afm.nl/en/sector/registers/meldingenregisters/transacties-leidinggevenden-mar19-?KeyWords=Adyen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Register net short positions (actual), exportación CSV</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AFM</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https://www.afm.nl/export.aspx?type=8a46a4ef-f196-4467-a7ab-1ae1cb58f0e7&amp;format=csv</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Adyen CFO Ethan Tandowsky to Step Down to Pursue Opportunity Outside Fintech</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Adyen N.V.</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27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https://www.adyen.com/press-and-media/adyen-cfo-ethan-tandowsky-to-step-down-to-pursue-opportunity-outside-fintech</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Adyen closes Talon.One and Orb acquisitions; announces leadership updates across product and finance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Adyen N.V.</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https://www.adyen.com/press-and-media/adyen-closes-talonone-and-orb-acquisitions-announces-leadership-updates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Adyen nominates Herna Verhagen as Supervisory Board member and Chair</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Adyen N.V.</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 ene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https://www.adyen.com/press-and-media/adyen-nominates-herna-verhagen-as-supervisory-board-member-and-chair</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All resolutions adopted at 2026 AGM</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Adyen N.V.</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28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https://www.adyen.com/press-and-media/all-resolutions-adopted-at-2026-agm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Adyen publishes H1 2026 financial results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Adyen N.V.</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13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https://www.adyen.com/press-and-media/adyen-publishes-h1-2026-financial-results-3wjne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Adyen publishes H2 2025 financial results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Adyen N.V.</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https://www.adyen.com/press-and-media/adyen-publishes-h2-2025-financial-results-3pgu2</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Adyen publishes Q1 2026 Business Update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Adyen N.V.</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https://www.adyen.com/press-and-media/adyen-publishes-q1-2026-business-update-4gyhh5</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Adyen publishes Q3 2025 Business Update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Adyen N.V.</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29 oct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https://www.adyen.com/press-and-media/adyen-publishes-q3-2025-business-update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Adyen hosts Investor Day 2025 in Amsterdam</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Adyen N.V.</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11 nov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https://www.adyen.com/press-and-media/adyen-hosts-investor-day-2025-in-amsterdam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Shareholder Letter H2 2021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Adyen N.V.</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feb 2022</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https://investors.adyen.com/financials/h2-2021</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Shareholder Letter H2 2022</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Adyen N.V.</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feb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https://investors.adyen.com/financials/h2-2022</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Adyen publishes H2 2022 financial results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Adyen N.V.</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feb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https://www.adyen.com/press-and-media/adyen-publishes-h2-2022-financial-results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Adyen publishes H2 2023 financial results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Adyen N.V.</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feb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https://www.adyen.com/press-and-media/adyen-publishes-h2-2023-financial-results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Q1 2024 Business Update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Adyen N.V.</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25 abr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https://brand.adyen.com/api/asset/eyJjbGllbnRJZCI6bnVsbCwiaWQiOjMyMzM2LCJ0aW1lc3RhbXAiOjE3Mjc2OTYzNDUsInZlcnNpb24iOjE3MjY4MzQ0OTR9:adyen:MRS1qwmYEMMv1WmoWB4KqPjcpui1dthSoSM7vhB8iz8/download</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Adyen publishes H2 2024 financial results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Adyen N.V.</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13 feb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https://www.adyen.com/press-and-media/adyen-publishes-h2-2024-financial-results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Adyen publishes Q3 2023 Business Update (Investor Day 2023: financial objectives evolved)</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Adyen N.V.</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nov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https://www.adyen.com/press-and-media/adyen-publishes-q3-business-update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Ingo Uytdehaage to become Adyen's co-CEO, Ethan Tandowsky to join its Management Board as CFO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Adyen N.V.</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feb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https://www.adyen.com/press-and-media/ingo-uytdehaage-new-co-ceo-ethan-cfo</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Adyen publishes H2 2021 shareholder letter and interim financial results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Adyen N.V.</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feb 2022</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https://www.adyen.com/press-and-media/adyen-publishes-h2-2021-shareholder-letter-and-interim-financial-results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 Members of the Adyen Management Board complete sale of approximately 15% of their holdings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Adyen N.V.</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ago 2020</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https://www.adyen.com/press-and-media/4-members-of-the-adyen-management-board-complete-sale-of-approximately-15-of-their-holdings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Históricos diarios de ADYEN.AS, EXSA.DE y EXV3.DE hasta 2026-10-09 (herramienta bolsa.mjs)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https://finance.yahoo.com/quote/ADYEN.AS/history</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Estructura temporal de tipos de los valores federales (Svensson), vida residual de 10 años, diaria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Deutsche Bundesbank</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https://api.statistiken.bundesbank.de/rest/download/BBSIS/D.I.ZST.ZI.EUR.S1311.B.A604.R10XX.R.A.A._Z._Z.A?format=csv&amp;lang=en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Implied ERP by month (ERPbymonth.xlsx)</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 Damodaran, NYU Stern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https://pages.stern.nyu.edu/~adamodar/pc/implprem/ERPbymonth.xlsx</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Tipos de cambio de referencia del euro (diario e histórico)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Banco Central Europeo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https://www.ecb.europa.eu/stats/eurofxref/eurofxref-hist.zip</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Adyen (AMS:ADYEN) statistics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https://stockanalysis.com/quote/ams/ADYEN/statistics/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Adyen N.V.: finances y consensus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https://www.marketscreener.com/quote/stock/ADYEN-N-V-44211922/finances/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Adyen (AMS:ADYEN) stock forecast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 (S&amp;P Global)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https://stockanalysis.com/quote/ams/ADYEN/forecast/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Visa Inc.: finances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https://www.marketscreener.com/quote/stock/VISA-INC-2277468/finances/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Visa (V) statistics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https://stockanalysis.com/stocks/v/statistics/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Mastercard Inc.: finances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https://www.marketscreener.com/quote/stock/MASTERCARD-INCORPORATED-17163/finances/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Mastercard (MA) statistics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https://stockanalysis.com/stocks/ma/statistics/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PayPal Holdings: finances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https://www.marketscreener.com/quote/stock/PAYPAL-HOLDINGS-INC-23377703/finances/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PayPal (PYPL) statistics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https://stockanalysis.com/stocks/pypl/statistics/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Block, Inc.: finances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https://www.marketscreener.com/quote/stock/BLOCK-INC-24935553/finances/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Block (XYZ) statistics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https://stockanalysis.com/stocks/xyz/statistics/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Fiserv, Inc.: finances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https://www.marketscreener.com/quote/stock/FISERV-INC-4873/finances/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Fiserv (FISV) statistics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https://stockanalysis.com/stocks/fi/statistics/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Global Payments Inc.: finances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https://www.marketscreener.com/quote/stock/GLOBAL-PAYMENTS-INC-12814/finances/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Global Payments (GPN) statistics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https://stockanalysis.com/stocks/gpn/statistics/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Nexi S.p.A.: finances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https://www.marketscreener.com/quote/stock/NEXI-S-P-A-57291674/finances/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Nexi (BIT:NEXI) statistics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https://stockanalysis.com/quote/bit/NEXI/statistics/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Worldline: finances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https://www.marketscreener.com/quote/stock/WORLDLINE-16783982/finances/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Worldline (EPA:WLN) statistics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https://stockanalysis.com/quote/epa/WLN/statistics/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Fiserv to combine with First Data: presentación a inversores (8-K, anexo 99.3)</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Fiserv, Inc.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16 ene 2019</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https://www.sec.gov/Archives/edgar/data/798354/000119312519010304/d660232dex993.htm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First Data: resultados preliminares de 2018 (8-K, anexo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Fiserv, Inc.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16 ene 2019</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https://www.sec.gov/Archives/edgar/data/798354/000119312519010304/d660232dex991.htm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FIS and Worldpay to Combine (nota de prensa, 8-K anexo 99.2)</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Worldpay, Inc.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18 mar 2019</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https://www.sec.gov/Archives/edgar/data/1533932/000119312519077546/d720414dex992.htm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FIS and Worldpay: presentación a inversores (8-K anexo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Worldpay, Inc.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18 mar 2019</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https://www.sec.gov/Archives/edgar/data/1533932/000119312519077546/d720414dex991.htm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Global Payments and TSYS to merge (8-K anexo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Total System Services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28 may 2019</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https://www.sec.gov/Archives/edgar/data/721683/000119312519157557/d735895dex991.htm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Nexi e Nets: comunicato stampa sulla fusione (15-nov-2020)</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Nexi S.p.A. (eMarket Storage)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 nov 2020</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https://emarketstorage.it/sites/default/files/comunicati/2022-05/20201115_87109.pdf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Global Payments to divest Issuer Solutions to FIS and acquire Worldpay (8-K anexo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Global Payments Inc.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17 abr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https://www.sec.gov/Archives/edgar/data/1123360/000110465925035771/tm2512552d1_ex99-1.htm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Global Payments: presentación de la operación con Worldpay (8-K anexo 99.2)</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Global Payments Inc.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17 abr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https://www.sec.gov/Archives/edgar/data/1123360/000110465925035771/tm2512552d1_ex99-2.htm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Adyen: Fairly Valued On FCF, But Don't Ignore The Cash</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Seeking Alpha (autor independiente)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27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https://seekingalpha.com/article/4940665-adyen-stock-fairly-valued-on-fcf-but-dont-ignore-the-cash</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Adyen: A 20% Compounder Is Finally Cheap Enough</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Seeking Alpha (autor independiente)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24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https://seekingalpha.com/article/4939731-adyen-a-20-percent-compounder-is-finally-cheap-enough</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Adyen N.V. (ADYEY): canal de noticias y análisis (RSS)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Seeking Alpha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22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https://seekingalpha.com/api/sa/combined/ADYEY.xml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 «Adyen 2026», páginas de julio y agosto de 2026 (pp. 600-770)</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Beursduivel / IEX.nl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13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https://www.beursduivel.be/Forum/Topic/1406198/Adyen_Adyen-2026.aspx?page=755</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 «Adyen 2026», páginas de finales de agosto a octubre de 2026 (pp. 810-1074)</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Beursduivel / IEX.nl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https://www.beursduivel.be/Forum/Topic/1406198/Adyen_Adyen-2026.aspx?page=Last</w:t>
            </w:r>
          </w:p>
        </w:tc>
      </w:tr>
    </w:tbl>
    <w:p>
      <w:pPr>
        <w:spacing w:after="200" w:before="0"/>
      </w:pPr>
    </w:p>
    <w:p>
      <w:pPr>
        <w:pStyle w:val="Heading2"/>
      </w:pPr>
      <w:r>
        <w:t xml:space="preserve">Control de calidad del informe</w:t>
      </w:r>
    </w:p>
    <w:p>
      <w:pPr>
        <w:pStyle w:val="Nota"/>
        <w:spacing w:after="100"/>
      </w:pPr>
      <w:r>
        <w:t xml:space="preserve">Campos con dato: </w:t>
      </w:r>
      <w:r>
        <w:rPr>
          <w:b/>
          <w:bCs/>
        </w:rPr>
        <w:t xml:space="preserve">90,9 %</w:t>
      </w:r>
      <w:r>
        <w:t xml:space="preserve"> · Secciones con menos del 60 % de campos cubiertos: </w:t>
      </w:r>
      <w:r>
        <w:rPr>
          <w:b/>
          <w:bCs/>
        </w:rPr>
        <w:t xml:space="preserve">ninguna</w:t>
      </w:r>
      <w:r>
        <w:t xml:space="preserve"> · Generado el 14 oct 2026.</w:t>
      </w:r>
    </w:p>
    <w:p>
      <w:pPr>
        <w:pStyle w:val="Nota"/>
        <w:spacing w:after="100"/>
      </w:pPr>
      <w:r>
        <w:t xml:space="preserve">Línea cotizada: la acción ordinaria de Euronext Ámsterdam (ADYEN); el ADR ADYEY no se usa. Precio: cierre del viernes 9-oct-2026 (886,10 EUR), porque la sesión del 12-oct no había cerrado al fijar el corte. Ingresos = ingresos netos (net revenue), la cifra que usa la dirección y la única comparable en toda la serie: hasta 2023 los ingresos NIIF incluían el interchange y las tasas de esquema. 2019 está reexpresado por la corrección de comisiones duplicadas de 2020. Balance histórico con caja propia (caja menos saldos netos de comerciantes y entidades financieras); activo y pasivo totales tal cual. El flujo operativo excluye la variación de los saldos de comerciantes. Los segmentos por región y por pilar solo se publican con el criterio vigente para 2024-2025 y 1S26. El valor del flotante de comerciantes (1.100 M) es estimación propia. Parte de la caja propia está sujeta a requisitos de capital y liquidez de la licencia bancaria; no se descuenta en el puente porque la empresa no publica el exceso de capital disponible.</w:t>
      </w:r>
    </w:p>
    <w:p>
      <w:pPr>
        <w:pStyle w:val="Nota"/>
        <w:spacing w:after="100"/>
      </w:pPr>
      <w:r>
        <w:t xml:space="preserve">Este documento es un análisis elaborado de forma automatizada a partir de fuentes públicas. No constituye una recomendación personalizada de inversión ni una oferta de compra o venta. Las cifras marcadas como estimación y los escenarios son hipótesis de trabajo y deben verificarse antes de tomar cualquier decisión.</w:t>
      </w:r>
    </w:p>
    <w:sectPr>
      <w:headerReference w:type="default" r:id="rId6"/>
      <w:headerReference w:type="first" r:id="rId7"/>
      <w:footerReference w:type="default" r:id="rId8"/>
      <w:footerReference w:type="first" r:id="rId9"/>
      <w:pgSz w:w="11906" w:h="16838" w:orient="portrait"/>
      <w:pgMar w:top="1134" w:right="1134" w:bottom="1134" w:left="1134" w:header="567" w:footer="567" w:gutter="0"/>
      <w:pgNumType/>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638"/>
      </w:tabs>
    </w:pPr>
    <w:r>
      <w:rPr>
        <w:color w:val="8A8984"/>
        <w:sz w:val="15"/>
        <w:szCs w:val="15"/>
      </w:rPr>
      <w:t xml:space="preserve">Datos a 12 oct 2026 · No constituye recomendación de inversión</w:t>
    </w:r>
    <w:r>
      <w:rPr>
        <w:color w:val="8A8984"/>
        <w:sz w:val="15"/>
        <w:szCs w:val="15"/>
      </w:rPr>
      <w:t xml:space="preserve">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color w:val="8A8984"/>
        <w:sz w:val="15"/>
        <w:szCs w:val="15"/>
      </w:rPr>
      <w:t xml:space="preserve">No constituye recomendación de inversión.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638"/>
      </w:tabs>
    </w:pPr>
    <w:r>
      <w:rPr>
        <w:color w:val="8A8984"/>
        <w:sz w:val="16"/>
        <w:szCs w:val="16"/>
      </w:rPr>
      <w:t xml:space="preserve">Adyen N.V. (ADYEN)</w:t>
    </w:r>
    <w:r>
      <w:rPr>
        <w:color w:val="8A8984"/>
        <w:sz w:val="16"/>
        <w:szCs w:val="16"/>
      </w:rPr>
      <w:t xml:space="preserve">	Análisis de empresa cotizada</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40"/>
      </w:pPr>
      <w:rPr>
        <w:color w:val="2A78D6"/>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docVars>
    <w:docVar w:name="graficos" w:val="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"/>
  </w:docVar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A3C"/>
        <w:sz w:val="20"/>
        <w:szCs w:val="20"/>
      </w:rPr>
    </w:rPrDefault>
    <w:pPrDefault>
      <w:pPr>
        <w:spacing w:line="264"/>
      </w:pPr>
    </w:pPrDefault>
  </w:docDefaults>
  <w:style w:type="paragraph" w:styleId="Normal" w:default="1">
    <w:name w:val="Normal"/>
    <w:qFormat/>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80"/>
    </w:pPr>
    <w:rPr>
      <w:rFonts w:ascii="Calibri" w:cs="Calibri" w:eastAsia="Calibri" w:hAnsi="Calibri"/>
      <w:b/>
      <w:bCs/>
      <w:color w:val="1F3A5F"/>
      <w:sz w:val="52"/>
      <w:szCs w:val="52"/>
    </w:rPr>
  </w:style>
  <w:style w:type="paragraph" w:styleId="Heading1">
    <w:name w:val="Heading 1"/>
    <w:basedOn w:val="Normal"/>
    <w:next w:val="Normal"/>
    <w:qFormat/>
    <w:pPr>
      <w:keepNext/>
      <w:pBdr>
        <w:bottom w:val="single" w:color="2A78D6" w:sz="6" w:space="4"/>
      </w:pBdr>
      <w:spacing w:after="60" w:before="360"/>
      <w:outlineLvl w:val="0"/>
    </w:pPr>
    <w:rPr>
      <w:rFonts w:ascii="Calibri" w:cs="Calibri" w:eastAsia="Calibri" w:hAnsi="Calibri"/>
      <w:b/>
      <w:bCs/>
      <w:color w:val="1F3A5F"/>
      <w:sz w:val="30"/>
      <w:szCs w:val="30"/>
    </w:rPr>
  </w:style>
  <w:style w:type="paragraph" w:styleId="Heading2">
    <w:name w:val="Heading 2"/>
    <w:basedOn w:val="Normal"/>
    <w:next w:val="Normal"/>
    <w:qFormat/>
    <w:pPr>
      <w:keepNext/>
      <w:spacing w:after="80" w:before="220"/>
      <w:outlineLvl w:val="1"/>
    </w:pPr>
    <w:rPr>
      <w:rFonts w:ascii="Calibri" w:cs="Calibri" w:eastAsia="Calibri" w:hAnsi="Calibri"/>
      <w:b/>
      <w:bCs/>
      <w:color w:val="1F3A5F"/>
      <w:sz w:val="23"/>
      <w:szCs w:val="23"/>
    </w:rPr>
  </w:style>
  <w:style w:type="paragraph" w:styleId="Parte">
    <w:name w:val="Parte"/>
    <w:basedOn w:val="Normal"/>
    <w:next w:val="Normal"/>
    <w:pPr>
      <w:keepNext/>
      <w:pBdr>
        <w:bottom w:val="single" w:color="2A78D6" w:sz="12" w:space="6"/>
      </w:pBdr>
      <w:spacing w:after="400" w:before="2400"/>
      <w:outlineLvl w:val="0"/>
    </w:pPr>
    <w:rPr>
      <w:rFonts w:ascii="Calibri" w:cs="Calibri" w:eastAsia="Calibri" w:hAnsi="Calibri"/>
      <w:b/>
      <w:bCs/>
      <w:color w:val="2A78D6"/>
      <w:sz w:val="40"/>
      <w:szCs w:val="40"/>
    </w:rPr>
  </w:style>
  <w:style w:type="paragraph" w:styleId="Aviso">
    <w:name w:val="Aviso"/>
    <w:basedOn w:val="Normal"/>
    <w:next w:val="Normal"/>
    <w:pPr>
      <w:pBdr>
        <w:left w:val="single" w:color="D9772E" w:sz="24" w:space="8"/>
      </w:pBdr>
      <w:spacing w:after="200" w:before="120"/>
      <w:ind w:left="200"/>
    </w:pPr>
    <w:rPr>
      <w:b/>
      <w:bCs/>
      <w:color w:val="A3470F"/>
      <w:sz w:val="19"/>
      <w:szCs w:val="19"/>
    </w:rPr>
  </w:style>
  <w:style w:type="paragraph" w:styleId="Confianza">
    <w:name w:val="Confianza"/>
    <w:basedOn w:val="Normal"/>
    <w:next w:val="Normal"/>
    <w:pPr>
      <w:keepNext/>
      <w:spacing w:after="160" w:before="0"/>
    </w:pPr>
    <w:rPr>
      <w:i/>
      <w:iCs/>
      <w:color w:val="8A8984"/>
      <w:sz w:val="16"/>
      <w:szCs w:val="16"/>
    </w:rPr>
  </w:style>
  <w:style w:type="paragraph" w:styleId="Nota">
    <w:name w:val="Nota"/>
    <w:basedOn w:val="Normal"/>
    <w:next w:val="Normal"/>
    <w:pPr>
      <w:spacing w:after="80"/>
    </w:pPr>
    <w:rPr>
      <w:color w:val="52514E"/>
      <w:sz w:val="16"/>
      <w:szCs w:val="1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theme" Target="theme/theme1.xml"/><Relationship Id="rId11" Type="http://schemas.openxmlformats.org/officeDocument/2006/relationships/fontTable" Target="fontTable.xml"/><Relationship Id="rIdGrafico1" Type="http://schemas.openxmlformats.org/officeDocument/2006/relationships/chart" Target="charts/chart1.xml"/><Relationship Id="rIdGrafico2" Type="http://schemas.openxmlformats.org/officeDocument/2006/relationships/chart" Target="charts/chart2.xml"/><Relationship Id="rIdGrafico3" Type="http://schemas.openxmlformats.org/officeDocument/2006/relationships/chart" Target="charts/chart3.xml"/><Relationship Id="rIdGrafico4" Type="http://schemas.openxmlformats.org/officeDocument/2006/relationships/chart" Target="charts/chart4.xml"/><Relationship Id="rIdGrafico5" Type="http://schemas.openxmlformats.org/officeDocument/2006/relationships/chart" Target="charts/chart5.xml"/><Relationship Id="rIdGrafico6" Type="http://schemas.openxmlformats.org/officeDocument/2006/relationships/chart" Target="charts/chart6.xml"/><Relationship Id="rIdGrafico7" Type="http://schemas.openxmlformats.org/officeDocument/2006/relationships/chart" Target="charts/chart7.xml"/><Relationship Id="rIdGrafico8" Type="http://schemas.openxmlformats.org/officeDocument/2006/relationships/chart" Target="charts/chart8.xml"/><Relationship Id="rIdGrafico9" Type="http://schemas.openxmlformats.org/officeDocument/2006/relationships/chart" Target="charts/chart9.xml"/><Relationship Id="rIdGrafico10" Type="http://schemas.openxmlformats.org/officeDocument/2006/relationships/chart" Target="charts/chart10.xml"/><Relationship Id="rIdGrafico11" Type="http://schemas.openxmlformats.org/officeDocument/2006/relationships/chart" Target="charts/chart11.xml"/><Relationship Id="rIdGrafico12" Type="http://schemas.openxmlformats.org/officeDocument/2006/relationships/chart" Target="charts/chart12.xml"/><Relationship Id="rIdGrafico13" Type="http://schemas.openxmlformats.org/officeDocument/2006/relationships/chart" Target="charts/chart13.xml"/><Relationship Id="rIdGrafico14" Type="http://schemas.openxmlformats.org/officeDocument/2006/relationships/chart" Target="charts/chart14.xml"/><Relationship Id="rIdGrafico15" Type="http://schemas.openxmlformats.org/officeDocument/2006/relationships/chart" Target="charts/chart15.xml"/><Relationship Id="rIdGrafico16" Type="http://schemas.openxmlformats.org/officeDocument/2006/relationships/chart" Target="charts/chart16.xml"/><Relationship Id="rIdGrafico17" Type="http://schemas.openxmlformats.org/officeDocument/2006/relationships/chart" Target="charts/chart17.xml"/><Relationship Id="rIdGrafico18" Type="http://schemas.openxmlformats.org/officeDocument/2006/relationships/chart" Target="charts/chart18.xml"/><Relationship Id="rIdGrafico19" Type="http://schemas.openxmlformats.org/officeDocument/2006/relationships/chart" Target="charts/chart19.xml"/><Relationship Id="rIdGrafico20" Type="http://schemas.openxmlformats.org/officeDocument/2006/relationships/chart" Target="charts/chart20.xml"/><Relationship Id="rIdGrafico21" Type="http://schemas.openxmlformats.org/officeDocument/2006/relationships/chart" Target="charts/chart21.xml"/><Relationship Id="rIdGrafico22" Type="http://schemas.openxmlformats.org/officeDocument/2006/relationships/chart" Target="charts/chart22.xml"/><Relationship Id="rIdGrafico23" Type="http://schemas.openxmlformats.org/officeDocument/2006/relationships/chart" Target="charts/chart23.xml"/><Relationship Id="rIdGrafico24" Type="http://schemas.openxmlformats.org/officeDocument/2006/relationships/chart" Target="charts/chart24.xml"/><Relationship Id="rIdGrafico25" Type="http://schemas.openxmlformats.org/officeDocument/2006/relationships/chart" Target="charts/chart25.xml"/><Relationship Id="rIdGrafico26" Type="http://schemas.openxmlformats.org/officeDocument/2006/relationships/chart" Target="charts/chart26.xml"/><Relationship Id="rIdGrafico27" Type="http://schemas.openxmlformats.org/officeDocument/2006/relationships/chart" Target="charts/chart27.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charts/_rels/chart1.xml.rels><?xml version="1.0" encoding="UTF-8" standalone="yes"?><Relationships xmlns="http://schemas.openxmlformats.org/package/2006/relationships"><Relationship Id="rId1" Type="http://schemas.openxmlformats.org/officeDocument/2006/relationships/package" Target="../embeddings/Hoja_grafico1.xlsx"/></Relationships>
</file>

<file path=word/charts/_rels/chart2.xml.rels><?xml version="1.0" encoding="UTF-8" standalone="yes"?><Relationships xmlns="http://schemas.openxmlformats.org/package/2006/relationships"><Relationship Id="rId1" Type="http://schemas.openxmlformats.org/officeDocument/2006/relationships/package" Target="../embeddings/Hoja_grafico2.xlsx"/></Relationships>
</file>

<file path=word/charts/_rels/chart3.xml.rels><?xml version="1.0" encoding="UTF-8" standalone="yes"?><Relationships xmlns="http://schemas.openxmlformats.org/package/2006/relationships"><Relationship Id="rId1" Type="http://schemas.openxmlformats.org/officeDocument/2006/relationships/package" Target="../embeddings/Hoja_grafico3.xlsx"/></Relationships>
</file>

<file path=word/charts/_rels/chart4.xml.rels><?xml version="1.0" encoding="UTF-8" standalone="yes"?><Relationships xmlns="http://schemas.openxmlformats.org/package/2006/relationships"><Relationship Id="rId1" Type="http://schemas.openxmlformats.org/officeDocument/2006/relationships/package" Target="../embeddings/Hoja_grafico4.xlsx"/></Relationships>
</file>

<file path=word/charts/_rels/chart5.xml.rels><?xml version="1.0" encoding="UTF-8" standalone="yes"?><Relationships xmlns="http://schemas.openxmlformats.org/package/2006/relationships"><Relationship Id="rId1" Type="http://schemas.openxmlformats.org/officeDocument/2006/relationships/package" Target="../embeddings/Hoja_grafico5.xlsx"/></Relationships>
</file>

<file path=word/charts/_rels/chart6.xml.rels><?xml version="1.0" encoding="UTF-8" standalone="yes"?><Relationships xmlns="http://schemas.openxmlformats.org/package/2006/relationships"><Relationship Id="rId1" Type="http://schemas.openxmlformats.org/officeDocument/2006/relationships/package" Target="../embeddings/Hoja_grafico6.xlsx"/></Relationships>
</file>

<file path=word/charts/_rels/chart7.xml.rels><?xml version="1.0" encoding="UTF-8" standalone="yes"?><Relationships xmlns="http://schemas.openxmlformats.org/package/2006/relationships"><Relationship Id="rId1" Type="http://schemas.openxmlformats.org/officeDocument/2006/relationships/package" Target="../embeddings/Hoja_grafico7.xlsx"/></Relationships>
</file>

<file path=word/charts/_rels/chart8.xml.rels><?xml version="1.0" encoding="UTF-8" standalone="yes"?><Relationships xmlns="http://schemas.openxmlformats.org/package/2006/relationships"><Relationship Id="rId1" Type="http://schemas.openxmlformats.org/officeDocument/2006/relationships/package" Target="../embeddings/Hoja_grafico8.xlsx"/></Relationships>
</file>

<file path=word/charts/_rels/chart9.xml.rels><?xml version="1.0" encoding="UTF-8" standalone="yes"?><Relationships xmlns="http://schemas.openxmlformats.org/package/2006/relationships"><Relationship Id="rId1" Type="http://schemas.openxmlformats.org/officeDocument/2006/relationships/package" Target="../embeddings/Hoja_grafico9.xlsx"/></Relationships>
</file>

<file path=word/charts/_rels/chart10.xml.rels><?xml version="1.0" encoding="UTF-8" standalone="yes"?><Relationships xmlns="http://schemas.openxmlformats.org/package/2006/relationships"><Relationship Id="rId1" Type="http://schemas.openxmlformats.org/officeDocument/2006/relationships/package" Target="../embeddings/Hoja_grafico10.xlsx"/></Relationships>
</file>

<file path=word/charts/_rels/chart11.xml.rels><?xml version="1.0" encoding="UTF-8" standalone="yes"?><Relationships xmlns="http://schemas.openxmlformats.org/package/2006/relationships"><Relationship Id="rId1" Type="http://schemas.openxmlformats.org/officeDocument/2006/relationships/package" Target="../embeddings/Hoja_grafico11.xlsx"/></Relationships>
</file>

<file path=word/charts/_rels/chart12.xml.rels><?xml version="1.0" encoding="UTF-8" standalone="yes"?><Relationships xmlns="http://schemas.openxmlformats.org/package/2006/relationships"><Relationship Id="rId1" Type="http://schemas.openxmlformats.org/officeDocument/2006/relationships/package" Target="../embeddings/Hoja_grafico12.xlsx"/></Relationships>
</file>

<file path=word/charts/_rels/chart13.xml.rels><?xml version="1.0" encoding="UTF-8" standalone="yes"?><Relationships xmlns="http://schemas.openxmlformats.org/package/2006/relationships"><Relationship Id="rId1" Type="http://schemas.openxmlformats.org/officeDocument/2006/relationships/package" Target="../embeddings/Hoja_grafico13.xlsx"/></Relationships>
</file>

<file path=word/charts/_rels/chart14.xml.rels><?xml version="1.0" encoding="UTF-8" standalone="yes"?><Relationships xmlns="http://schemas.openxmlformats.org/package/2006/relationships"><Relationship Id="rId1" Type="http://schemas.openxmlformats.org/officeDocument/2006/relationships/package" Target="../embeddings/Hoja_grafico14.xlsx"/></Relationships>
</file>

<file path=word/charts/_rels/chart15.xml.rels><?xml version="1.0" encoding="UTF-8" standalone="yes"?><Relationships xmlns="http://schemas.openxmlformats.org/package/2006/relationships"><Relationship Id="rId1" Type="http://schemas.openxmlformats.org/officeDocument/2006/relationships/package" Target="../embeddings/Hoja_grafico15.xlsx"/></Relationships>
</file>

<file path=word/charts/_rels/chart16.xml.rels><?xml version="1.0" encoding="UTF-8" standalone="yes"?><Relationships xmlns="http://schemas.openxmlformats.org/package/2006/relationships"><Relationship Id="rId1" Type="http://schemas.openxmlformats.org/officeDocument/2006/relationships/package" Target="../embeddings/Hoja_grafico16.xlsx"/></Relationships>
</file>

<file path=word/charts/_rels/chart17.xml.rels><?xml version="1.0" encoding="UTF-8" standalone="yes"?><Relationships xmlns="http://schemas.openxmlformats.org/package/2006/relationships"><Relationship Id="rId1" Type="http://schemas.openxmlformats.org/officeDocument/2006/relationships/package" Target="../embeddings/Hoja_grafico17.xlsx"/></Relationships>
</file>

<file path=word/charts/_rels/chart18.xml.rels><?xml version="1.0" encoding="UTF-8" standalone="yes"?><Relationships xmlns="http://schemas.openxmlformats.org/package/2006/relationships"><Relationship Id="rId1" Type="http://schemas.openxmlformats.org/officeDocument/2006/relationships/package" Target="../embeddings/Hoja_grafico18.xlsx"/></Relationships>
</file>

<file path=word/charts/_rels/chart19.xml.rels><?xml version="1.0" encoding="UTF-8" standalone="yes"?><Relationships xmlns="http://schemas.openxmlformats.org/package/2006/relationships"><Relationship Id="rId1" Type="http://schemas.openxmlformats.org/officeDocument/2006/relationships/package" Target="../embeddings/Hoja_grafico19.xlsx"/></Relationships>
</file>

<file path=word/charts/_rels/chart20.xml.rels><?xml version="1.0" encoding="UTF-8" standalone="yes"?><Relationships xmlns="http://schemas.openxmlformats.org/package/2006/relationships"><Relationship Id="rId1" Type="http://schemas.openxmlformats.org/officeDocument/2006/relationships/package" Target="../embeddings/Hoja_grafico20.xlsx"/></Relationships>
</file>

<file path=word/charts/_rels/chart21.xml.rels><?xml version="1.0" encoding="UTF-8" standalone="yes"?><Relationships xmlns="http://schemas.openxmlformats.org/package/2006/relationships"><Relationship Id="rId1" Type="http://schemas.openxmlformats.org/officeDocument/2006/relationships/package" Target="../embeddings/Hoja_grafico21.xlsx"/></Relationships>
</file>

<file path=word/charts/_rels/chart22.xml.rels><?xml version="1.0" encoding="UTF-8" standalone="yes"?><Relationships xmlns="http://schemas.openxmlformats.org/package/2006/relationships"><Relationship Id="rId1" Type="http://schemas.openxmlformats.org/officeDocument/2006/relationships/package" Target="../embeddings/Hoja_grafico22.xlsx"/></Relationships>
</file>

<file path=word/charts/_rels/chart23.xml.rels><?xml version="1.0" encoding="UTF-8" standalone="yes"?><Relationships xmlns="http://schemas.openxmlformats.org/package/2006/relationships"><Relationship Id="rId1" Type="http://schemas.openxmlformats.org/officeDocument/2006/relationships/package" Target="../embeddings/Hoja_grafico23.xlsx"/></Relationships>
</file>

<file path=word/charts/_rels/chart24.xml.rels><?xml version="1.0" encoding="UTF-8" standalone="yes"?><Relationships xmlns="http://schemas.openxmlformats.org/package/2006/relationships"><Relationship Id="rId1" Type="http://schemas.openxmlformats.org/officeDocument/2006/relationships/package" Target="../embeddings/Hoja_grafico24.xlsx"/></Relationships>
</file>

<file path=word/charts/_rels/chart25.xml.rels><?xml version="1.0" encoding="UTF-8" standalone="yes"?><Relationships xmlns="http://schemas.openxmlformats.org/package/2006/relationships"><Relationship Id="rId1" Type="http://schemas.openxmlformats.org/officeDocument/2006/relationships/package" Target="../embeddings/Hoja_grafico25.xlsx"/></Relationships>
</file>

<file path=word/charts/_rels/chart26.xml.rels><?xml version="1.0" encoding="UTF-8" standalone="yes"?><Relationships xmlns="http://schemas.openxmlformats.org/package/2006/relationships"><Relationship Id="rId1" Type="http://schemas.openxmlformats.org/officeDocument/2006/relationships/package" Target="../embeddings/Hoja_grafico26.xlsx"/></Relationships>
</file>

<file path=word/charts/_rels/chart27.xml.rels><?xml version="1.0" encoding="UTF-8" standalone="yes"?><Relationships xmlns="http://schemas.openxmlformats.org/package/2006/relationships"><Relationship Id="rId1" Type="http://schemas.openxmlformats.org/officeDocument/2006/relationships/package" Target="../embeddings/Hoja_grafico27.xlsx"/></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(EUR) · precio actual 886,10</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Hoja1!$A$2:$A$10</c:f>
              <c:strCache>
                <c:ptCount val="9"/>
                <c:pt idx="0">
                  <c:v>Cotización 52 semanas (772,40 – 1.600,80)</c:v>
                </c:pt>
                <c:pt idx="1">
                  <c:v>Precio objetivo de los analistas (887,00 – 1.900,00)</c:v>
                </c:pt>
                <c:pt idx="2">
                  <c:v>Comparables: EV/EBITDA NTM (495,25 – 808,52)</c:v>
                </c:pt>
                <c:pt idx="3">
                  <c:v>Comparables: PER NTM (493,09 – 1.130,28)</c:v>
                </c:pt>
                <c:pt idx="4">
                  <c:v>Transacciones precedentes (EV/EBITDA) (610,84 – 855,72)</c:v>
                </c:pt>
                <c:pt idx="5">
                  <c:v>DCF (WACC y g ± 0,5) (876,09 – 1.018,72)</c:v>
                </c:pt>
                <c:pt idx="6">
                  <c:v>Escenarios (bajista – alcista) (659,05 – 1.136,19)</c:v>
                </c:pt>
                <c:pt idx="7">
                  <c:v>DCF con la prima implícita del mercado (4,2 %)</c:v>
                </c:pt>
                <c:pt idx="8">
                  <c:v>Precio actual (886,10)</c:v>
                </c:pt>
              </c:strCache>
            </c:strRef>
          </c:cat>
          <c:val>
            <c:numRef>
              <c:f>Hoja1!$B$2:$B$10</c:f>
              <c:numCache>
                <c:formatCode>#,##0</c:formatCode>
                <c:ptCount val="9"/>
                <c:pt idx="0">
                  <c:v>772.4</c:v>
                </c:pt>
                <c:pt idx="1">
                  <c:v>887</c:v>
                </c:pt>
                <c:pt idx="2">
                  <c:v>495.25</c:v>
                </c:pt>
                <c:pt idx="3">
                  <c:v>493.09</c:v>
                </c:pt>
                <c:pt idx="4">
                  <c:v>610.84</c:v>
                </c:pt>
                <c:pt idx="5">
                  <c:v>876.09</c:v>
                </c:pt>
                <c:pt idx="6">
                  <c:v>659.05</c:v>
                </c:pt>
                <c:pt idx="7">
                  <c:v>1097.02</c:v>
                </c:pt>
                <c:pt idx="8">
                  <c:v>881.67</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1"/>
            <c:invertIfNegative val="0"/>
            <c:bubble3D val="0"/>
            <c:spPr>
              <a:solidFill>
                <a:srgbClr val="C9C8C2"/>
              </a:solidFill>
            </c:spPr>
          </c:dPt>
          <c:dPt>
            <c:idx val="8"/>
            <c:invertIfNegative val="0"/>
            <c:bubble3D val="0"/>
            <c:spPr>
              <a:solidFill>
                <a:srgbClr val="C9C8C2"/>
              </a:solidFill>
            </c:spPr>
          </c:dPt>
          <c:cat>
            <c:strRef>
              <c:f>Hoja1!$A$2:$A$10</c:f>
              <c:strCache>
                <c:ptCount val="9"/>
                <c:pt idx="0">
                  <c:v>Cotización 52 semanas (772,40 – 1.600,80)</c:v>
                </c:pt>
                <c:pt idx="1">
                  <c:v>Precio objetivo de los analistas (887,00 – 1.900,00)</c:v>
                </c:pt>
                <c:pt idx="2">
                  <c:v>Comparables: EV/EBITDA NTM (495,25 – 808,52)</c:v>
                </c:pt>
                <c:pt idx="3">
                  <c:v>Comparables: PER NTM (493,09 – 1.130,28)</c:v>
                </c:pt>
                <c:pt idx="4">
                  <c:v>Transacciones precedentes (EV/EBITDA) (610,84 – 855,72)</c:v>
                </c:pt>
                <c:pt idx="5">
                  <c:v>DCF (WACC y g ± 0,5) (876,09 – 1.018,72)</c:v>
                </c:pt>
                <c:pt idx="6">
                  <c:v>Escenarios (bajista – alcista) (659,05 – 1.136,19)</c:v>
                </c:pt>
                <c:pt idx="7">
                  <c:v>DCF con la prima implícita del mercado (4,2 %)</c:v>
                </c:pt>
                <c:pt idx="8">
                  <c:v>Precio actual (886,10)</c:v>
                </c:pt>
              </c:strCache>
            </c:strRef>
          </c:cat>
          <c:val>
            <c:numRef>
              <c:f>Hoja1!$C$2:$C$10</c:f>
              <c:numCache>
                <c:formatCode>#,##0</c:formatCode>
                <c:ptCount val="9"/>
                <c:pt idx="0">
                  <c:v>828.4</c:v>
                </c:pt>
                <c:pt idx="1">
                  <c:v>1013</c:v>
                </c:pt>
                <c:pt idx="2">
                  <c:v>313.27</c:v>
                </c:pt>
                <c:pt idx="3">
                  <c:v>637.19</c:v>
                </c:pt>
                <c:pt idx="4">
                  <c:v>244.88</c:v>
                </c:pt>
                <c:pt idx="5">
                  <c:v>142.63</c:v>
                </c:pt>
                <c:pt idx="6">
                  <c:v>477.1400000000001</c:v>
                </c:pt>
                <c:pt idx="7">
                  <c:v>151.5999999999999</c:v>
                </c:pt>
                <c:pt idx="8">
                  <c:v>8.860000000000014</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30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por segmento (EUR, millones)</a:t>
            </a:r>
          </a:p>
        </c:rich>
      </c:tx>
      <c:overlay val="0"/>
    </c:title>
    <c:autoTitleDeleted val="0"/>
    <c:plotArea>
      <c:layout/>
      <c:barChart>
        <c:barDir val="col"/>
        <c:grouping val="stacked"/>
        <c:varyColors val="0"/>
        <c:ser>
          <c:idx val="0"/>
          <c:order val="0"/>
          <c:tx>
            <c:strRef>
              <c:f>Hoja1!$B$1</c:f>
              <c:strCache>
                <c:ptCount val="1"/>
                <c:pt idx="0">
                  <c:v>Digital</c:v>
                </c:pt>
              </c:strCache>
            </c:strRef>
          </c:tx>
          <c:spPr>
            <a:solidFill>
              <a:srgbClr val="2A78D6"/>
            </a:solidFill>
            <a:ln w="12700">
              <a:solidFill>
                <a:srgbClr val="FFFFFF"/>
              </a:solidFill>
            </a:ln>
          </c:spPr>
          <c:invertIfNegative val="0"/>
          <c:cat>
            <c:strRef>
              <c:f>Hoja1!$A$2:$A$3</c:f>
              <c:strCache>
                <c:ptCount val="2"/>
                <c:pt idx="0">
                  <c:v>2024</c:v>
                </c:pt>
                <c:pt idx="1">
                  <c:v>2025</c:v>
                </c:pt>
              </c:strCache>
            </c:strRef>
          </c:cat>
          <c:val>
            <c:numRef>
              <c:f>Hoja1!$B$2:$B$3</c:f>
              <c:numCache>
                <c:formatCode>#,##0</c:formatCode>
                <c:ptCount val="2"/>
                <c:pt idx="0">
                  <c:v>1229.5</c:v>
                </c:pt>
                <c:pt idx="1">
                  <c:v>1334.9</c:v>
                </c:pt>
              </c:numCache>
            </c:numRef>
          </c:val>
        </c:ser>
        <c:ser>
          <c:idx val="1"/>
          <c:order val="1"/>
          <c:tx>
            <c:strRef>
              <c:f>Hoja1!$C$1</c:f>
              <c:strCache>
                <c:ptCount val="1"/>
                <c:pt idx="0">
                  <c:v>Unified Commerce</c:v>
                </c:pt>
              </c:strCache>
            </c:strRef>
          </c:tx>
          <c:spPr>
            <a:solidFill>
              <a:srgbClr val="EB6834"/>
            </a:solidFill>
            <a:ln w="12700">
              <a:solidFill>
                <a:srgbClr val="FFFFFF"/>
              </a:solidFill>
            </a:ln>
          </c:spPr>
          <c:invertIfNegative val="0"/>
          <c:cat>
            <c:strRef>
              <c:f>Hoja1!$A$2:$A$3</c:f>
              <c:strCache>
                <c:ptCount val="2"/>
                <c:pt idx="0">
                  <c:v>2024</c:v>
                </c:pt>
                <c:pt idx="1">
                  <c:v>2025</c:v>
                </c:pt>
              </c:strCache>
            </c:strRef>
          </c:cat>
          <c:val>
            <c:numRef>
              <c:f>Hoja1!$C$2:$C$3</c:f>
              <c:numCache>
                <c:formatCode>#,##0</c:formatCode>
                <c:ptCount val="2"/>
                <c:pt idx="0">
                  <c:v>590.5</c:v>
                </c:pt>
                <c:pt idx="1">
                  <c:v>765.4</c:v>
                </c:pt>
              </c:numCache>
            </c:numRef>
          </c:val>
        </c:ser>
        <c:ser>
          <c:idx val="2"/>
          <c:order val="2"/>
          <c:tx>
            <c:strRef>
              <c:f>Hoja1!$D$1</c:f>
              <c:strCache>
                <c:ptCount val="1"/>
                <c:pt idx="0">
                  <c:v>Platforms</c:v>
                </c:pt>
              </c:strCache>
            </c:strRef>
          </c:tx>
          <c:spPr>
            <a:solidFill>
              <a:srgbClr val="1BAF7A"/>
            </a:solidFill>
            <a:ln w="12700">
              <a:solidFill>
                <a:srgbClr val="FFFFFF"/>
              </a:solidFill>
            </a:ln>
          </c:spPr>
          <c:invertIfNegative val="0"/>
          <c:cat>
            <c:strRef>
              <c:f>Hoja1!$A$2:$A$3</c:f>
              <c:strCache>
                <c:ptCount val="2"/>
                <c:pt idx="0">
                  <c:v>2024</c:v>
                </c:pt>
                <c:pt idx="1">
                  <c:v>2025</c:v>
                </c:pt>
              </c:strCache>
            </c:strRef>
          </c:cat>
          <c:val>
            <c:numRef>
              <c:f>Hoja1!$D$2:$D$3</c:f>
              <c:numCache>
                <c:formatCode>#,##0</c:formatCode>
                <c:ptCount val="2"/>
                <c:pt idx="0">
                  <c:v>176.1</c:v>
                </c:pt>
                <c:pt idx="1">
                  <c:v>263.8</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Peso de cada segmento en los ingresos (2025)</a:t>
            </a:r>
          </a:p>
        </c:rich>
      </c:tx>
      <c:overlay val="0"/>
    </c:title>
    <c:autoTitleDeleted val="0"/>
    <c:plotArea>
      <c:layout/>
      <c:doughnutChart>
        <c:varyColors val="1"/>
        <c:ser>
          <c:idx val="0"/>
          <c:order val="0"/>
          <c:tx>
            <c:strRef>
              <c:f>Hoja1!$B$1</c:f>
              <c:strCache>
                <c:ptCount val="1"/>
                <c:pt idx="0">
                  <c:v>% de ingresos</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Pt>
            <c:idx val="2"/>
            <c:bubble3D val="0"/>
            <c:spPr>
              <a:solidFill>
                <a:srgbClr val="1BAF7A"/>
              </a:solidFill>
              <a:ln w="19050">
                <a:solidFill>
                  <a:srgbClr val="FFFFFF"/>
                </a:solidFill>
              </a:ln>
            </c:spPr>
          </c:dPt>
          <c:dLbls>
            <c:numFmt formatCode="0.0&quot;%&quot;"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Hoja1!$A$2:$A$4</c:f>
              <c:strCache>
                <c:ptCount val="3"/>
                <c:pt idx="0">
                  <c:v>Digital</c:v>
                </c:pt>
                <c:pt idx="1">
                  <c:v>Unified Commerce</c:v>
                </c:pt>
                <c:pt idx="2">
                  <c:v>Platforms</c:v>
                </c:pt>
              </c:strCache>
            </c:strRef>
          </c:cat>
          <c:val>
            <c:numRef>
              <c:f>Hoja1!$B$2:$B$4</c:f>
              <c:numCache>
                <c:formatCode>General</c:formatCode>
                <c:ptCount val="3"/>
                <c:pt idx="0">
                  <c:v>56.5</c:v>
                </c:pt>
                <c:pt idx="1">
                  <c:v>32.4</c:v>
                </c:pt>
                <c:pt idx="2">
                  <c:v>11.2</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por geografía, según origen (% del total)</a:t>
            </a:r>
          </a:p>
        </c:rich>
      </c:tx>
      <c:overlay val="0"/>
    </c:title>
    <c:autoTitleDeleted val="0"/>
    <c:plotArea>
      <c:layout/>
      <c:barChart>
        <c:barDir val="bar"/>
        <c:grouping val="clustered"/>
        <c:varyColors val="0"/>
        <c:ser>
          <c:idx val="0"/>
          <c:order val="0"/>
          <c:tx>
            <c:strRef>
              <c:f>Hoja1!$B$1</c:f>
              <c:strCache>
                <c:ptCount val="1"/>
                <c:pt idx="0">
                  <c:v>% de ingresos</c:v>
                </c:pt>
              </c:strCache>
            </c:strRef>
          </c:tx>
          <c:spPr>
            <a:solidFill>
              <a:srgbClr val="2A78D6"/>
            </a:solidFill>
            <a:ln w="9525">
              <a:noFill/>
            </a:ln>
          </c:spPr>
          <c:invertIfNegative val="0"/>
          <c:dLbls>
            <c:numFmt formatCode="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Hoja1!$A$2:$A$5</c:f>
              <c:strCache>
                <c:ptCount val="4"/>
                <c:pt idx="0">
                  <c:v>EMEA</c:v>
                </c:pt>
                <c:pt idx="1">
                  <c:v>Norteamérica</c:v>
                </c:pt>
                <c:pt idx="2">
                  <c:v>Asia-Pacífico</c:v>
                </c:pt>
                <c:pt idx="3">
                  <c:v>Latinoamérica</c:v>
                </c:pt>
              </c:strCache>
            </c:strRef>
          </c:cat>
          <c:val>
            <c:numRef>
              <c:f>Hoja1!$B$2:$B$5</c:f>
              <c:numCache>
                <c:formatCode>0"%"</c:formatCode>
                <c:ptCount val="4"/>
                <c:pt idx="0">
                  <c:v>57.5</c:v>
                </c:pt>
                <c:pt idx="1">
                  <c:v>26.8</c:v>
                </c:pt>
                <c:pt idx="2">
                  <c:v>10</c:v>
                </c:pt>
                <c:pt idx="3">
                  <c:v>5.7</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Tamaño del mercado (miles de millones de USD (volumen de pagos de Visa, Mastercard, American Express, JCB y Diners/Discover, año natural)) · «e» = previsión</a:t>
            </a:r>
          </a:p>
        </c:rich>
      </c:tx>
      <c:overlay val="0"/>
    </c:title>
    <c:autoTitleDeleted val="0"/>
    <c:plotArea>
      <c:layout/>
      <c:barChart>
        <c:barDir val="col"/>
        <c:grouping val="clustered"/>
        <c:varyColors val="0"/>
        <c:ser>
          <c:idx val="0"/>
          <c:order val="0"/>
          <c:tx>
            <c:strRef>
              <c:f>Hoja1!$B$1</c:f>
              <c:strCache>
                <c:ptCount val="1"/>
                <c:pt idx="0">
                  <c:v>Tamaño del mercado</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Hoja1!$A$2:$A$7</c:f>
              <c:strCache>
                <c:ptCount val="6"/>
                <c:pt idx="0">
                  <c:v>2019</c:v>
                </c:pt>
                <c:pt idx="1">
                  <c:v>2020</c:v>
                </c:pt>
                <c:pt idx="2">
                  <c:v>2021</c:v>
                </c:pt>
                <c:pt idx="3">
                  <c:v>2022</c:v>
                </c:pt>
                <c:pt idx="4">
                  <c:v>2023</c:v>
                </c:pt>
                <c:pt idx="5">
                  <c:v>2024</c:v>
                </c:pt>
              </c:strCache>
            </c:strRef>
          </c:cat>
          <c:val>
            <c:numRef>
              <c:f>Hoja1!$B$2:$B$7</c:f>
              <c:numCache>
                <c:formatCode>#,##0</c:formatCode>
                <c:ptCount val="6"/>
                <c:pt idx="0">
                  <c:v>15425</c:v>
                </c:pt>
                <c:pt idx="1">
                  <c:v>15133</c:v>
                </c:pt>
                <c:pt idx="2">
                  <c:v>18675</c:v>
                </c:pt>
                <c:pt idx="3">
                  <c:v>20331</c:v>
                </c:pt>
                <c:pt idx="4">
                  <c:v>22206</c:v>
                </c:pt>
                <c:pt idx="5">
                  <c:v>23769</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Cinco fuerzas: intensidad (1 = favorable, 5 = desfavorable)</a:t>
            </a:r>
          </a:p>
        </c:rich>
      </c:tx>
      <c:overlay val="0"/>
    </c:title>
    <c:autoTitleDeleted val="0"/>
    <c:plotArea>
      <c:layout/>
      <c:radarChart>
        <c:radarStyle val="marker"/>
        <c:varyColors val="0"/>
        <c:ser>
          <c:idx val="0"/>
          <c:order val="0"/>
          <c:tx>
            <c:strRef>
              <c:f>Hoja1!$B$1</c:f>
              <c:strCache>
                <c:ptCount val="1"/>
                <c:pt idx="0">
                  <c:v>Intensidad</c:v>
                </c:pt>
              </c:strCache>
            </c:strRef>
          </c:tx>
          <c:spPr>
            <a:ln w="25400">
              <a:solidFill>
                <a:srgbClr val="2A78D6"/>
              </a:solidFill>
            </a:ln>
          </c:spPr>
          <c:marker>
            <c:symbol val="circle"/>
            <c:size val="6"/>
            <c:spPr>
              <a:solidFill>
                <a:srgbClr val="2A78D6"/>
              </a:solidFill>
            </c:spPr>
          </c:marker>
          <c:cat>
            <c:strRef>
              <c:f>Hoja1!$A$2:$A$6</c:f>
              <c:strCache>
                <c:ptCount val="5"/>
                <c:pt idx="0">
                  <c:v>Rivalidad</c:v>
                </c:pt>
                <c:pt idx="1">
                  <c:v>Poder de los clientes</c:v>
                </c:pt>
                <c:pt idx="2">
                  <c:v>Poder de los proveedores</c:v>
                </c:pt>
                <c:pt idx="3">
                  <c:v>Amenaza de entrada</c:v>
                </c:pt>
                <c:pt idx="4">
                  <c:v>Amenaza de sustitutos</c:v>
                </c:pt>
              </c:strCache>
            </c:strRef>
          </c:cat>
          <c:val>
            <c:numRef>
              <c:f>Hoja1!$B$2:$B$6</c:f>
              <c:numCache>
                <c:formatCode>General</c:formatCode>
                <c:ptCount val="5"/>
                <c:pt idx="0">
                  <c:v>4</c:v>
                </c:pt>
                <c:pt idx="1">
                  <c:v>4</c:v>
                </c:pt>
                <c:pt idx="2">
                  <c:v>3</c:v>
                </c:pt>
                <c:pt idx="3">
                  <c:v>2</c:v>
                </c:pt>
                <c:pt idx="4">
                  <c:v>3</c:v>
                </c:pt>
              </c:numCache>
            </c:numRef>
          </c:val>
        </c:ser>
        <c:axId val="10"/>
        <c:axId val="20"/>
      </c:radarChart>
      <c:catAx>
        <c:axId val="10"/>
        <c:scaling>
          <c:orientation val="minMax"/>
        </c:scaling>
        <c:delete val="0"/>
        <c:axPos val="b"/>
        <c:majorGridlines>
          <c:spPr>
            <a:ln w="6350">
              <a:solidFill>
                <a:srgbClr val="E4E3DF"/>
              </a:solidFill>
            </a:ln>
          </c:spPr>
        </c:majorGridlines>
        <c:numFmt formatCode="General" sourceLinked="0"/>
        <c:majorTickMark val="none"/>
        <c:minorTickMark val="none"/>
        <c:tickLblPos val="nextTo"/>
        <c:spPr>
          <a:ln w="6350">
            <a:solidFill>
              <a:srgbClr val="E4E3DF"/>
            </a:solidFill>
          </a:ln>
        </c:spPr>
        <c:txPr>
          <a:bodyPr/>
          <a:lstStyle/>
          <a:p>
            <a:pPr>
              <a:defRPr sz="850">
                <a:solidFill>
                  <a:srgbClr val="1F2A3C"/>
                </a:solidFill>
              </a:defRPr>
            </a:pPr>
            <a:endParaRPr lang="es-ES"/>
          </a:p>
        </c:txPr>
        <c:crossAx val="20"/>
        <c:crosses val="autoZero"/>
        <c:auto val="1"/>
        <c:lblAlgn val="ctr"/>
        <c:lblOffset val="100"/>
        <c:noMultiLvlLbl val="0"/>
      </c:catAx>
      <c:valAx>
        <c:axId val="20"/>
        <c:scaling>
          <c:orientation val="minMax"/>
          <c:max val="5"/>
          <c:min val="0"/>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750">
                <a:solidFill>
                  <a:srgbClr val="52514E"/>
                </a:solidFill>
              </a:defRPr>
            </a:pPr>
            <a:endParaRPr lang="es-ES"/>
          </a:p>
        </c:txPr>
        <c:crossAx val="10"/>
        <c:crosses val="autoZero"/>
        <c:crossBetween val="between"/>
        <c:majorUnit val="1"/>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Margen EBIT: la empresa frente a sus competidores (%)</a:t>
            </a:r>
          </a:p>
        </c:rich>
      </c:tx>
      <c:overlay val="0"/>
    </c:title>
    <c:autoTitleDeleted val="0"/>
    <c:plotArea>
      <c:layout/>
      <c:barChart>
        <c:barDir val="bar"/>
        <c:grouping val="clustered"/>
        <c:varyColors val="0"/>
        <c:ser>
          <c:idx val="0"/>
          <c:order val="0"/>
          <c:tx>
            <c:strRef>
              <c:f>Hoja1!$B$1</c:f>
              <c:strCache>
                <c:ptCount val="1"/>
                <c:pt idx="0">
                  <c:v>Margen EBIT</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Pt>
            <c:idx val="5"/>
            <c:invertIfNegative val="0"/>
            <c:bubble3D val="0"/>
            <c:spPr>
              <a:solidFill>
                <a:srgbClr val="C9C8C2"/>
              </a:solidFill>
            </c:spPr>
          </c:dPt>
          <c:dPt>
            <c:idx val="6"/>
            <c:invertIfNegative val="0"/>
            <c:bubble3D val="0"/>
            <c:spPr>
              <a:solidFill>
                <a:srgbClr val="C9C8C2"/>
              </a:solidFill>
            </c:spPr>
          </c:dPt>
          <c:dPt>
            <c:idx val="7"/>
            <c:invertIfNegative val="0"/>
            <c:bubble3D val="0"/>
            <c:spPr>
              <a:solidFill>
                <a:srgbClr val="C9C8C2"/>
              </a:solidFill>
            </c:spPr>
          </c:dPt>
          <c:dPt>
            <c:idx val="8"/>
            <c:invertIfNegative val="0"/>
            <c:bubble3D val="0"/>
            <c:spPr>
              <a:solidFill>
                <a:srgbClr val="C9C8C2"/>
              </a:solidFill>
            </c:spPr>
          </c:dPt>
          <c:dPt>
            <c:idx val="9"/>
            <c:invertIfNegative val="0"/>
            <c:bubble3D val="0"/>
            <c:spPr>
              <a:solidFill>
                <a:srgbClr val="C9C8C2"/>
              </a:solidFill>
            </c:spPr>
          </c:dPt>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Hoja1!$A$2:$A$11</c:f>
              <c:strCache>
                <c:ptCount val="10"/>
                <c:pt idx="0">
                  <c:v>Adyen</c:v>
                </c:pt>
                <c:pt idx="1">
                  <c:v>Stripe</c:v>
                </c:pt>
                <c:pt idx="2">
                  <c:v>Fiserv (Clover, adquirencia)</c:v>
                </c:pt>
                <c:pt idx="3">
                  <c:v>PayPal (incl. Braintree)</c:v>
                </c:pt>
                <c:pt idx="4">
                  <c:v>Block (Square)</c:v>
                </c:pt>
                <c:pt idx="5">
                  <c:v>Global Payments (con Worldpay desde ene-2026)</c:v>
                </c:pt>
                <c:pt idx="6">
                  <c:v>Worldline</c:v>
                </c:pt>
                <c:pt idx="7">
                  <c:v>Nexi</c:v>
                </c:pt>
                <c:pt idx="8">
                  <c:v>Visa (red, no competidor directo)</c:v>
                </c:pt>
                <c:pt idx="9">
                  <c:v>Mastercard (red, no competidor directo)</c:v>
                </c:pt>
              </c:strCache>
            </c:strRef>
          </c:cat>
          <c:val>
            <c:numRef>
              <c:f>Hoja1!$B$2:$B$11</c:f>
              <c:numCache>
                <c:formatCode>0.0"%"</c:formatCode>
                <c:ptCount val="10"/>
                <c:pt idx="0">
                  <c:v>46.9</c:v>
                </c:pt>
                <c:pt idx="2">
                  <c:v>27.5</c:v>
                </c:pt>
                <c:pt idx="3">
                  <c:v>18.3</c:v>
                </c:pt>
                <c:pt idx="4">
                  <c:v>7.1</c:v>
                </c:pt>
                <c:pt idx="5">
                  <c:v>22.8</c:v>
                </c:pt>
                <c:pt idx="7">
                  <c:v>26.4</c:v>
                </c:pt>
                <c:pt idx="8">
                  <c:v>60</c:v>
                </c:pt>
                <c:pt idx="9">
                  <c:v>57.6</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Fuentes de ventaja competitiva (0 = inexistente, 5 = muy fuerte)</a:t>
            </a:r>
          </a:p>
        </c:rich>
      </c:tx>
      <c:overlay val="0"/>
    </c:title>
    <c:autoTitleDeleted val="0"/>
    <c:plotArea>
      <c:layout/>
      <c:barChart>
        <c:barDir val="bar"/>
        <c:grouping val="clustered"/>
        <c:varyColors val="0"/>
        <c:ser>
          <c:idx val="0"/>
          <c:order val="0"/>
          <c:tx>
            <c:strRef>
              <c:f>Hoja1!$B$1</c:f>
              <c:strCache>
                <c:ptCount val="1"/>
                <c:pt idx="0">
                  <c:v>Puntuación</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Efectos de red</c:v>
                </c:pt>
                <c:pt idx="1">
                  <c:v>Costes de cambio</c:v>
                </c:pt>
                <c:pt idx="2">
                  <c:v>Intangibles (marca, patentes, licencias)</c:v>
                </c:pt>
                <c:pt idx="3">
                  <c:v>Ventaja en costes</c:v>
                </c:pt>
                <c:pt idx="4">
                  <c:v>Escala eficiente</c:v>
                </c:pt>
              </c:strCache>
            </c:strRef>
          </c:cat>
          <c:val>
            <c:numRef>
              <c:f>Hoja1!$B$2:$B$6</c:f>
              <c:numCache>
                <c:formatCode>0</c:formatCode>
                <c:ptCount val="5"/>
                <c:pt idx="0">
                  <c:v>3</c:v>
                </c:pt>
                <c:pt idx="1">
                  <c:v>3</c:v>
                </c:pt>
                <c:pt idx="2">
                  <c:v>4</c:v>
                </c:pt>
                <c:pt idx="3">
                  <c:v>4</c:v>
                </c:pt>
                <c:pt idx="4">
                  <c:v>3</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ax val="5"/>
          <c:min val="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y EBITDA (EUR, millones) · «e» = proyección propia del DCF</a:t>
            </a:r>
          </a:p>
        </c:rich>
      </c:tx>
      <c:overlay val="0"/>
    </c:title>
    <c:autoTitleDeleted val="0"/>
    <c:plotArea>
      <c:layout/>
      <c:barChart>
        <c:barDir val="col"/>
        <c:grouping val="clustered"/>
        <c:varyColors val="0"/>
        <c:ser>
          <c:idx val="0"/>
          <c:order val="0"/>
          <c:tx>
            <c:strRef>
              <c:f>Hoja1!$B$1</c:f>
              <c:strCache>
                <c:ptCount val="1"/>
                <c:pt idx="0">
                  <c:v>Ingresos</c:v>
                </c:pt>
              </c:strCache>
            </c:strRef>
          </c:tx>
          <c:spPr>
            <a:solidFill>
              <a:srgbClr val="2A78D6"/>
            </a:solidFill>
            <a:ln w="9525">
              <a:noFill/>
            </a:ln>
          </c:spPr>
          <c:invertIfNegative val="0"/>
          <c:cat>
            <c:strRef>
              <c:f>Hoja1!$A$2:$A$18</c:f>
              <c:strCache>
                <c:ptCount val="17"/>
                <c:pt idx="0">
                  <c:v>2019</c:v>
                </c:pt>
                <c:pt idx="1">
                  <c:v>2020</c:v>
                </c:pt>
                <c:pt idx="2">
                  <c:v>2021</c:v>
                </c:pt>
                <c:pt idx="3">
                  <c:v>2022</c:v>
                </c:pt>
                <c:pt idx="4">
                  <c:v>2023</c:v>
                </c:pt>
                <c:pt idx="5">
                  <c:v>2024</c:v>
                </c:pt>
                <c:pt idx="6">
                  <c:v>2025</c:v>
                </c:pt>
                <c:pt idx="7">
                  <c:v>2026e</c:v>
                </c:pt>
                <c:pt idx="8">
                  <c:v>2027e</c:v>
                </c:pt>
                <c:pt idx="9">
                  <c:v>2028e</c:v>
                </c:pt>
                <c:pt idx="10">
                  <c:v>2029e</c:v>
                </c:pt>
                <c:pt idx="11">
                  <c:v>2030e</c:v>
                </c:pt>
                <c:pt idx="12">
                  <c:v>2031e</c:v>
                </c:pt>
                <c:pt idx="13">
                  <c:v>2032e</c:v>
                </c:pt>
                <c:pt idx="14">
                  <c:v>2033e</c:v>
                </c:pt>
                <c:pt idx="15">
                  <c:v>2034e</c:v>
                </c:pt>
                <c:pt idx="16">
                  <c:v>2035e</c:v>
                </c:pt>
              </c:strCache>
            </c:strRef>
          </c:cat>
          <c:val>
            <c:numRef>
              <c:f>Hoja1!$B$2:$B$18</c:f>
              <c:numCache>
                <c:formatCode>#,##0</c:formatCode>
                <c:ptCount val="17"/>
                <c:pt idx="0">
                  <c:v>534.3</c:v>
                </c:pt>
                <c:pt idx="1">
                  <c:v>684.2</c:v>
                </c:pt>
                <c:pt idx="2">
                  <c:v>1001.5</c:v>
                </c:pt>
                <c:pt idx="3">
                  <c:v>1330.2</c:v>
                </c:pt>
                <c:pt idx="4">
                  <c:v>1626.1</c:v>
                </c:pt>
                <c:pt idx="5">
                  <c:v>1996.1</c:v>
                </c:pt>
                <c:pt idx="6">
                  <c:v>2364.2</c:v>
                </c:pt>
                <c:pt idx="7">
                  <c:v>2861</c:v>
                </c:pt>
                <c:pt idx="8">
                  <c:v>3433</c:v>
                </c:pt>
                <c:pt idx="9">
                  <c:v>4085</c:v>
                </c:pt>
                <c:pt idx="10">
                  <c:v>4780</c:v>
                </c:pt>
                <c:pt idx="11">
                  <c:v>5496</c:v>
                </c:pt>
                <c:pt idx="12">
                  <c:v>6211</c:v>
                </c:pt>
                <c:pt idx="13">
                  <c:v>6894</c:v>
                </c:pt>
                <c:pt idx="14">
                  <c:v>7515</c:v>
                </c:pt>
                <c:pt idx="15">
                  <c:v>8041</c:v>
                </c:pt>
                <c:pt idx="16">
                  <c:v>8443</c:v>
                </c:pt>
              </c:numCache>
            </c:numRef>
          </c:val>
        </c:ser>
        <c:ser>
          <c:idx val="1"/>
          <c:order val="1"/>
          <c:tx>
            <c:strRef>
              <c:f>Hoja1!$C$1</c:f>
              <c:strCache>
                <c:ptCount val="1"/>
                <c:pt idx="0">
                  <c:v>EBITDA</c:v>
                </c:pt>
              </c:strCache>
            </c:strRef>
          </c:tx>
          <c:spPr>
            <a:solidFill>
              <a:srgbClr val="EB6834"/>
            </a:solidFill>
            <a:ln w="9525">
              <a:noFill/>
            </a:ln>
          </c:spPr>
          <c:invertIfNegative val="0"/>
          <c:cat>
            <c:strRef>
              <c:f>Hoja1!$A$2:$A$18</c:f>
              <c:strCache>
                <c:ptCount val="17"/>
                <c:pt idx="0">
                  <c:v>2019</c:v>
                </c:pt>
                <c:pt idx="1">
                  <c:v>2020</c:v>
                </c:pt>
                <c:pt idx="2">
                  <c:v>2021</c:v>
                </c:pt>
                <c:pt idx="3">
                  <c:v>2022</c:v>
                </c:pt>
                <c:pt idx="4">
                  <c:v>2023</c:v>
                </c:pt>
                <c:pt idx="5">
                  <c:v>2024</c:v>
                </c:pt>
                <c:pt idx="6">
                  <c:v>2025</c:v>
                </c:pt>
                <c:pt idx="7">
                  <c:v>2026e</c:v>
                </c:pt>
                <c:pt idx="8">
                  <c:v>2027e</c:v>
                </c:pt>
                <c:pt idx="9">
                  <c:v>2028e</c:v>
                </c:pt>
                <c:pt idx="10">
                  <c:v>2029e</c:v>
                </c:pt>
                <c:pt idx="11">
                  <c:v>2030e</c:v>
                </c:pt>
                <c:pt idx="12">
                  <c:v>2031e</c:v>
                </c:pt>
                <c:pt idx="13">
                  <c:v>2032e</c:v>
                </c:pt>
                <c:pt idx="14">
                  <c:v>2033e</c:v>
                </c:pt>
                <c:pt idx="15">
                  <c:v>2034e</c:v>
                </c:pt>
                <c:pt idx="16">
                  <c:v>2035e</c:v>
                </c:pt>
              </c:strCache>
            </c:strRef>
          </c:cat>
          <c:val>
            <c:numRef>
              <c:f>Hoja1!$C$2:$C$18</c:f>
              <c:numCache>
                <c:formatCode>#,##0</c:formatCode>
                <c:ptCount val="17"/>
                <c:pt idx="0">
                  <c:v>316.9</c:v>
                </c:pt>
                <c:pt idx="1">
                  <c:v>402.5</c:v>
                </c:pt>
                <c:pt idx="2">
                  <c:v>630</c:v>
                </c:pt>
                <c:pt idx="3">
                  <c:v>728.3</c:v>
                </c:pt>
                <c:pt idx="4">
                  <c:v>743</c:v>
                </c:pt>
                <c:pt idx="5">
                  <c:v>992.3</c:v>
                </c:pt>
                <c:pt idx="6">
                  <c:v>1245.7</c:v>
                </c:pt>
                <c:pt idx="7">
                  <c:v>1482</c:v>
                </c:pt>
                <c:pt idx="8">
                  <c:v>1830</c:v>
                </c:pt>
                <c:pt idx="9">
                  <c:v>2247</c:v>
                </c:pt>
                <c:pt idx="10">
                  <c:v>2653</c:v>
                </c:pt>
                <c:pt idx="11">
                  <c:v>3078</c:v>
                </c:pt>
                <c:pt idx="12">
                  <c:v>3478</c:v>
                </c:pt>
                <c:pt idx="13">
                  <c:v>3861</c:v>
                </c:pt>
                <c:pt idx="14">
                  <c:v>4208</c:v>
                </c:pt>
                <c:pt idx="15">
                  <c:v>4503</c:v>
                </c:pt>
                <c:pt idx="16">
                  <c:v>4728</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Márgenes (% de ingresos)</a:t>
            </a:r>
          </a:p>
        </c:rich>
      </c:tx>
      <c:overlay val="0"/>
    </c:title>
    <c:autoTitleDeleted val="0"/>
    <c:plotArea>
      <c:layout/>
      <c:lineChart>
        <c:grouping val="standard"/>
        <c:varyColors val="0"/>
        <c:ser>
          <c:idx val="0"/>
          <c:order val="0"/>
          <c:tx>
            <c:strRef>
              <c:f>Hoja1!$B$1</c:f>
              <c:strCache>
                <c:ptCount val="1"/>
                <c:pt idx="0">
                  <c:v>EBITDA</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Hoja1!$A$2:$A$8</c:f>
              <c:strCache>
                <c:ptCount val="7"/>
                <c:pt idx="0">
                  <c:v>2019</c:v>
                </c:pt>
                <c:pt idx="1">
                  <c:v>2020</c:v>
                </c:pt>
                <c:pt idx="2">
                  <c:v>2021</c:v>
                </c:pt>
                <c:pt idx="3">
                  <c:v>2022</c:v>
                </c:pt>
                <c:pt idx="4">
                  <c:v>2023</c:v>
                </c:pt>
                <c:pt idx="5">
                  <c:v>2024</c:v>
                </c:pt>
                <c:pt idx="6">
                  <c:v>2025</c:v>
                </c:pt>
              </c:strCache>
            </c:strRef>
          </c:cat>
          <c:val>
            <c:numRef>
              <c:f>Hoja1!$B$2:$B$8</c:f>
              <c:numCache>
                <c:formatCode>0"%"</c:formatCode>
                <c:ptCount val="7"/>
                <c:pt idx="0">
                  <c:v>59.3</c:v>
                </c:pt>
                <c:pt idx="1">
                  <c:v>58.8</c:v>
                </c:pt>
                <c:pt idx="2">
                  <c:v>62.9</c:v>
                </c:pt>
                <c:pt idx="3">
                  <c:v>54.8</c:v>
                </c:pt>
                <c:pt idx="4">
                  <c:v>45.7</c:v>
                </c:pt>
                <c:pt idx="5">
                  <c:v>49.7</c:v>
                </c:pt>
                <c:pt idx="6">
                  <c:v>52.7</c:v>
                </c:pt>
              </c:numCache>
            </c:numRef>
          </c:val>
          <c:smooth val="0"/>
        </c:ser>
        <c:ser>
          <c:idx val="1"/>
          <c:order val="1"/>
          <c:tx>
            <c:strRef>
              <c:f>Hoja1!$C$1</c:f>
              <c:strCache>
                <c:ptCount val="1"/>
                <c:pt idx="0">
                  <c:v>EBIT</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Hoja1!$A$2:$A$8</c:f>
              <c:strCache>
                <c:ptCount val="7"/>
                <c:pt idx="0">
                  <c:v>2019</c:v>
                </c:pt>
                <c:pt idx="1">
                  <c:v>2020</c:v>
                </c:pt>
                <c:pt idx="2">
                  <c:v>2021</c:v>
                </c:pt>
                <c:pt idx="3">
                  <c:v>2022</c:v>
                </c:pt>
                <c:pt idx="4">
                  <c:v>2023</c:v>
                </c:pt>
                <c:pt idx="5">
                  <c:v>2024</c:v>
                </c:pt>
                <c:pt idx="6">
                  <c:v>2025</c:v>
                </c:pt>
              </c:strCache>
            </c:strRef>
          </c:cat>
          <c:val>
            <c:numRef>
              <c:f>Hoja1!$C$2:$C$8</c:f>
              <c:numCache>
                <c:formatCode>0"%"</c:formatCode>
                <c:ptCount val="7"/>
                <c:pt idx="0">
                  <c:v>55.1</c:v>
                </c:pt>
                <c:pt idx="1">
                  <c:v>54.6</c:v>
                </c:pt>
                <c:pt idx="2">
                  <c:v>59.4</c:v>
                </c:pt>
                <c:pt idx="3">
                  <c:v>50</c:v>
                </c:pt>
                <c:pt idx="4">
                  <c:v>40.4</c:v>
                </c:pt>
                <c:pt idx="5">
                  <c:v>44.5</c:v>
                </c:pt>
                <c:pt idx="6">
                  <c:v>46.9</c:v>
                </c:pt>
              </c:numCache>
            </c:numRef>
          </c:val>
          <c:smooth val="0"/>
        </c:ser>
        <c:ser>
          <c:idx val="2"/>
          <c:order val="2"/>
          <c:tx>
            <c:strRef>
              <c:f>Hoja1!$D$1</c:f>
              <c:strCache>
                <c:ptCount val="1"/>
                <c:pt idx="0">
                  <c:v>Neto</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Hoja1!$A$2:$A$8</c:f>
              <c:strCache>
                <c:ptCount val="7"/>
                <c:pt idx="0">
                  <c:v>2019</c:v>
                </c:pt>
                <c:pt idx="1">
                  <c:v>2020</c:v>
                </c:pt>
                <c:pt idx="2">
                  <c:v>2021</c:v>
                </c:pt>
                <c:pt idx="3">
                  <c:v>2022</c:v>
                </c:pt>
                <c:pt idx="4">
                  <c:v>2023</c:v>
                </c:pt>
                <c:pt idx="5">
                  <c:v>2024</c:v>
                </c:pt>
                <c:pt idx="6">
                  <c:v>2025</c:v>
                </c:pt>
              </c:strCache>
            </c:strRef>
          </c:cat>
          <c:val>
            <c:numRef>
              <c:f>Hoja1!$D$2:$D$8</c:f>
              <c:numCache>
                <c:formatCode>0"%"</c:formatCode>
                <c:ptCount val="7"/>
                <c:pt idx="0">
                  <c:v>43.9</c:v>
                </c:pt>
                <c:pt idx="1">
                  <c:v>38.1</c:v>
                </c:pt>
                <c:pt idx="2">
                  <c:v>46.9</c:v>
                </c:pt>
                <c:pt idx="3">
                  <c:v>42.4</c:v>
                </c:pt>
                <c:pt idx="4">
                  <c:v>42.9</c:v>
                </c:pt>
                <c:pt idx="5">
                  <c:v>46.4</c:v>
                </c:pt>
                <c:pt idx="6">
                  <c:v>44.9</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Crecimiento interanual por trimestre (%)</a:t>
            </a:r>
          </a:p>
        </c:rich>
      </c:tx>
      <c:overlay val="0"/>
    </c:title>
    <c:autoTitleDeleted val="0"/>
    <c:plotArea>
      <c:layout/>
      <c:barChart>
        <c:barDir val="col"/>
        <c:grouping val="clustered"/>
        <c:varyColors val="0"/>
        <c:ser>
          <c:idx val="0"/>
          <c:order val="0"/>
          <c:tx>
            <c:strRef>
              <c:f>Hoja1!$B$1</c:f>
              <c:strCache>
                <c:ptCount val="1"/>
                <c:pt idx="0">
                  <c:v>Reportado</c:v>
                </c:pt>
              </c:strCache>
            </c:strRef>
          </c:tx>
          <c:spPr>
            <a:solidFill>
              <a:srgbClr val="2A78D6"/>
            </a:solidFill>
            <a:ln w="9525">
              <a:noFill/>
            </a:ln>
          </c:spPr>
          <c:invertIfNegative val="0"/>
          <c:cat>
            <c:strRef>
              <c:f>Hoja1!$A$2:$A$8</c:f>
              <c:strCache>
                <c:ptCount val="7"/>
                <c:pt idx="0">
                  <c:v>1S23</c:v>
                </c:pt>
                <c:pt idx="1">
                  <c:v>2S23</c:v>
                </c:pt>
                <c:pt idx="2">
                  <c:v>1S24</c:v>
                </c:pt>
                <c:pt idx="3">
                  <c:v>2S24</c:v>
                </c:pt>
                <c:pt idx="4">
                  <c:v>1S25</c:v>
                </c:pt>
                <c:pt idx="5">
                  <c:v>2S25</c:v>
                </c:pt>
                <c:pt idx="6">
                  <c:v>1S26</c:v>
                </c:pt>
              </c:strCache>
            </c:strRef>
          </c:cat>
          <c:val>
            <c:numRef>
              <c:f>Hoja1!$B$2:$B$8</c:f>
              <c:numCache>
                <c:formatCode>0.0"%"</c:formatCode>
                <c:ptCount val="7"/>
                <c:pt idx="0">
                  <c:v>21.5</c:v>
                </c:pt>
                <c:pt idx="1">
                  <c:v>22.9</c:v>
                </c:pt>
                <c:pt idx="2">
                  <c:v>23.6</c:v>
                </c:pt>
                <c:pt idx="3">
                  <c:v>22.1</c:v>
                </c:pt>
                <c:pt idx="4">
                  <c:v>19.7</c:v>
                </c:pt>
                <c:pt idx="5">
                  <c:v>17.4</c:v>
                </c:pt>
                <c:pt idx="6">
                  <c:v>19.1</c:v>
                </c:pt>
              </c:numCache>
            </c:numRef>
          </c:val>
        </c:ser>
        <c:ser>
          <c:idx val="1"/>
          <c:order val="1"/>
          <c:tx>
            <c:strRef>
              <c:f>Hoja1!$C$1</c:f>
              <c:strCache>
                <c:ptCount val="1"/>
                <c:pt idx="0">
                  <c:v>Orgánico</c:v>
                </c:pt>
              </c:strCache>
            </c:strRef>
          </c:tx>
          <c:spPr>
            <a:solidFill>
              <a:srgbClr val="EB6834"/>
            </a:solidFill>
            <a:ln w="9525">
              <a:noFill/>
            </a:ln>
          </c:spPr>
          <c:invertIfNegative val="0"/>
          <c:cat>
            <c:strRef>
              <c:f>Hoja1!$A$2:$A$8</c:f>
              <c:strCache>
                <c:ptCount val="7"/>
                <c:pt idx="0">
                  <c:v>1S23</c:v>
                </c:pt>
                <c:pt idx="1">
                  <c:v>2S23</c:v>
                </c:pt>
                <c:pt idx="2">
                  <c:v>1S24</c:v>
                </c:pt>
                <c:pt idx="3">
                  <c:v>2S24</c:v>
                </c:pt>
                <c:pt idx="4">
                  <c:v>1S25</c:v>
                </c:pt>
                <c:pt idx="5">
                  <c:v>2S25</c:v>
                </c:pt>
                <c:pt idx="6">
                  <c:v>1S26</c:v>
                </c:pt>
              </c:strCache>
            </c:strRef>
          </c:cat>
          <c:val>
            <c:numRef>
              <c:f>Hoja1!$C$2:$C$8</c:f>
              <c:numCache>
                <c:formatCode>0.0"%"</c:formatCode>
                <c:ptCount val="7"/>
                <c:pt idx="2">
                  <c:v>24</c:v>
                </c:pt>
                <c:pt idx="3">
                  <c:v>22</c:v>
                </c:pt>
                <c:pt idx="4">
                  <c:v>21</c:v>
                </c:pt>
                <c:pt idx="5">
                  <c:v>21</c:v>
                </c:pt>
                <c:pt idx="6">
                  <c:v>21</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Capital circulante en días</a:t>
            </a:r>
          </a:p>
        </c:rich>
      </c:tx>
      <c:overlay val="0"/>
    </c:title>
    <c:autoTitleDeleted val="0"/>
    <c:plotArea>
      <c:layout/>
      <c:lineChart>
        <c:grouping val="standard"/>
        <c:varyColors val="0"/>
        <c:ser>
          <c:idx val="0"/>
          <c:order val="0"/>
          <c:tx>
            <c:strRef>
              <c:f>Hoja1!$B$1</c:f>
              <c:strCache>
                <c:ptCount val="1"/>
                <c:pt idx="0">
                  <c:v>Días de cobro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Hoja1!$A$2:$A$8</c:f>
              <c:strCache>
                <c:ptCount val="7"/>
                <c:pt idx="0">
                  <c:v>2019</c:v>
                </c:pt>
                <c:pt idx="1">
                  <c:v>2020</c:v>
                </c:pt>
                <c:pt idx="2">
                  <c:v>2021</c:v>
                </c:pt>
                <c:pt idx="3">
                  <c:v>2022</c:v>
                </c:pt>
                <c:pt idx="4">
                  <c:v>2023</c:v>
                </c:pt>
                <c:pt idx="5">
                  <c:v>2024</c:v>
                </c:pt>
                <c:pt idx="6">
                  <c:v>2025</c:v>
                </c:pt>
              </c:strCache>
            </c:strRef>
          </c:cat>
          <c:val>
            <c:numRef>
              <c:f>Hoja1!$B$2:$B$8</c:f>
              <c:numCache>
                <c:formatCode>0</c:formatCode>
                <c:ptCount val="7"/>
                <c:pt idx="0">
                  <c:v>32</c:v>
                </c:pt>
                <c:pt idx="1">
                  <c:v>40</c:v>
                </c:pt>
                <c:pt idx="2">
                  <c:v>21</c:v>
                </c:pt>
                <c:pt idx="3">
                  <c:v>25</c:v>
                </c:pt>
                <c:pt idx="4">
                  <c:v>30</c:v>
                </c:pt>
                <c:pt idx="5">
                  <c:v>24</c:v>
                </c:pt>
                <c:pt idx="6">
                  <c:v>34</c:v>
                </c:pt>
              </c:numCache>
            </c:numRef>
          </c:val>
          <c:smooth val="0"/>
        </c:ser>
        <c:ser>
          <c:idx val="1"/>
          <c:order val="1"/>
          <c:tx>
            <c:strRef>
              <c:f>Hoja1!$C$1</c:f>
              <c:strCache>
                <c:ptCount val="1"/>
                <c:pt idx="0">
                  <c:v>Días de inventario</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Hoja1!$A$2:$A$8</c:f>
              <c:strCache>
                <c:ptCount val="7"/>
                <c:pt idx="0">
                  <c:v>2019</c:v>
                </c:pt>
                <c:pt idx="1">
                  <c:v>2020</c:v>
                </c:pt>
                <c:pt idx="2">
                  <c:v>2021</c:v>
                </c:pt>
                <c:pt idx="3">
                  <c:v>2022</c:v>
                </c:pt>
                <c:pt idx="4">
                  <c:v>2023</c:v>
                </c:pt>
                <c:pt idx="5">
                  <c:v>2024</c:v>
                </c:pt>
                <c:pt idx="6">
                  <c:v>2025</c:v>
                </c:pt>
              </c:strCache>
            </c:strRef>
          </c:cat>
          <c:val>
            <c:numRef>
              <c:f>Hoja1!$C$2:$C$8</c:f>
              <c:numCache>
                <c:formatCode>0</c:formatCode>
                <c:ptCount val="7"/>
                <c:pt idx="0">
                  <c:v>12</c:v>
                </c:pt>
                <c:pt idx="1">
                  <c:v>25</c:v>
                </c:pt>
                <c:pt idx="2">
                  <c:v>22</c:v>
                </c:pt>
                <c:pt idx="3">
                  <c:v>53</c:v>
                </c:pt>
                <c:pt idx="4">
                  <c:v>43</c:v>
                </c:pt>
                <c:pt idx="5">
                  <c:v>36</c:v>
                </c:pt>
                <c:pt idx="6">
                  <c:v>25</c:v>
                </c:pt>
              </c:numCache>
            </c:numRef>
          </c:val>
          <c:smooth val="0"/>
        </c:ser>
        <c:ser>
          <c:idx val="2"/>
          <c:order val="2"/>
          <c:tx>
            <c:strRef>
              <c:f>Hoja1!$D$1</c:f>
              <c:strCache>
                <c:ptCount val="1"/>
                <c:pt idx="0">
                  <c:v>Días de pago</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Hoja1!$A$2:$A$8</c:f>
              <c:strCache>
                <c:ptCount val="7"/>
                <c:pt idx="0">
                  <c:v>2019</c:v>
                </c:pt>
                <c:pt idx="1">
                  <c:v>2020</c:v>
                </c:pt>
                <c:pt idx="2">
                  <c:v>2021</c:v>
                </c:pt>
                <c:pt idx="3">
                  <c:v>2022</c:v>
                </c:pt>
                <c:pt idx="4">
                  <c:v>2023</c:v>
                </c:pt>
                <c:pt idx="5">
                  <c:v>2024</c:v>
                </c:pt>
                <c:pt idx="6">
                  <c:v>2025</c:v>
                </c:pt>
              </c:strCache>
            </c:strRef>
          </c:cat>
          <c:val>
            <c:numRef>
              <c:f>Hoja1!$D$2:$D$8</c:f>
              <c:numCache>
                <c:formatCode>0</c:formatCode>
                <c:ptCount val="7"/>
                <c:pt idx="0">
                  <c:v>148</c:v>
                </c:pt>
                <c:pt idx="1">
                  <c:v>144</c:v>
                </c:pt>
                <c:pt idx="2">
                  <c:v>98</c:v>
                </c:pt>
                <c:pt idx="3">
                  <c:v>90</c:v>
                </c:pt>
                <c:pt idx="4">
                  <c:v>70</c:v>
                </c:pt>
                <c:pt idx="5">
                  <c:v>92</c:v>
                </c:pt>
                <c:pt idx="6">
                  <c:v>93</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frente a beneficio neto (EUR, millones)</a:t>
            </a:r>
          </a:p>
        </c:rich>
      </c:tx>
      <c:overlay val="0"/>
    </c:title>
    <c:autoTitleDeleted val="0"/>
    <c:plotArea>
      <c:layout/>
      <c:barChart>
        <c:barDir val="col"/>
        <c:grouping val="clustered"/>
        <c:varyColors val="0"/>
        <c:ser>
          <c:idx val="0"/>
          <c:order val="0"/>
          <c:tx>
            <c:strRef>
              <c:f>Hoja1!$B$1</c:f>
              <c:strCache>
                <c:ptCount val="1"/>
                <c:pt idx="0">
                  <c:v>Flujo de caja libre</c:v>
                </c:pt>
              </c:strCache>
            </c:strRef>
          </c:tx>
          <c:spPr>
            <a:solidFill>
              <a:srgbClr val="2A78D6"/>
            </a:solidFill>
            <a:ln w="9525">
              <a:noFill/>
            </a:ln>
          </c:spPr>
          <c:invertIfNegative val="0"/>
          <c:cat>
            <c:strRef>
              <c:f>Hoja1!$A$2:$A$8</c:f>
              <c:strCache>
                <c:ptCount val="7"/>
                <c:pt idx="0">
                  <c:v>2019</c:v>
                </c:pt>
                <c:pt idx="1">
                  <c:v>2020</c:v>
                </c:pt>
                <c:pt idx="2">
                  <c:v>2021</c:v>
                </c:pt>
                <c:pt idx="3">
                  <c:v>2022</c:v>
                </c:pt>
                <c:pt idx="4">
                  <c:v>2023</c:v>
                </c:pt>
                <c:pt idx="5">
                  <c:v>2024</c:v>
                </c:pt>
                <c:pt idx="6">
                  <c:v>2025</c:v>
                </c:pt>
              </c:strCache>
            </c:strRef>
          </c:cat>
          <c:val>
            <c:numRef>
              <c:f>Hoja1!$B$2:$B$8</c:f>
              <c:numCache>
                <c:formatCode>#,##0</c:formatCode>
                <c:ptCount val="7"/>
                <c:pt idx="0">
                  <c:v>290.40000000000003</c:v>
                </c:pt>
                <c:pt idx="1">
                  <c:v>296.30000000000007</c:v>
                </c:pt>
                <c:pt idx="2">
                  <c:v>486.49999999999994</c:v>
                </c:pt>
                <c:pt idx="3">
                  <c:v>448.5</c:v>
                </c:pt>
                <c:pt idx="4">
                  <c:v>731.1</c:v>
                </c:pt>
                <c:pt idx="5">
                  <c:v>1011.9</c:v>
                </c:pt>
                <c:pt idx="6">
                  <c:v>1072.8000000000002</c:v>
                </c:pt>
              </c:numCache>
            </c:numRef>
          </c:val>
        </c:ser>
        <c:ser>
          <c:idx val="1"/>
          <c:order val="1"/>
          <c:tx>
            <c:strRef>
              <c:f>Hoja1!$C$1</c:f>
              <c:strCache>
                <c:ptCount val="1"/>
                <c:pt idx="0">
                  <c:v>Beneficio neto</c:v>
                </c:pt>
              </c:strCache>
            </c:strRef>
          </c:tx>
          <c:spPr>
            <a:solidFill>
              <a:srgbClr val="EB6834"/>
            </a:solidFill>
            <a:ln w="9525">
              <a:noFill/>
            </a:ln>
          </c:spPr>
          <c:invertIfNegative val="0"/>
          <c:cat>
            <c:strRef>
              <c:f>Hoja1!$A$2:$A$8</c:f>
              <c:strCache>
                <c:ptCount val="7"/>
                <c:pt idx="0">
                  <c:v>2019</c:v>
                </c:pt>
                <c:pt idx="1">
                  <c:v>2020</c:v>
                </c:pt>
                <c:pt idx="2">
                  <c:v>2021</c:v>
                </c:pt>
                <c:pt idx="3">
                  <c:v>2022</c:v>
                </c:pt>
                <c:pt idx="4">
                  <c:v>2023</c:v>
                </c:pt>
                <c:pt idx="5">
                  <c:v>2024</c:v>
                </c:pt>
                <c:pt idx="6">
                  <c:v>2025</c:v>
                </c:pt>
              </c:strCache>
            </c:strRef>
          </c:cat>
          <c:val>
            <c:numRef>
              <c:f>Hoja1!$C$2:$C$8</c:f>
              <c:numCache>
                <c:formatCode>#,##0</c:formatCode>
                <c:ptCount val="7"/>
                <c:pt idx="0">
                  <c:v>234.3</c:v>
                </c:pt>
                <c:pt idx="1">
                  <c:v>261</c:v>
                </c:pt>
                <c:pt idx="2">
                  <c:v>469.7</c:v>
                </c:pt>
                <c:pt idx="3">
                  <c:v>564.1</c:v>
                </c:pt>
                <c:pt idx="4">
                  <c:v>698.3</c:v>
                </c:pt>
                <c:pt idx="5">
                  <c:v>925.2</c:v>
                </c:pt>
                <c:pt idx="6">
                  <c:v>1062.5</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ROIC y ROE frente al coste del capital (%)</a:t>
            </a:r>
          </a:p>
        </c:rich>
      </c:tx>
      <c:overlay val="0"/>
    </c:title>
    <c:autoTitleDeleted val="0"/>
    <c:plotArea>
      <c:layout/>
      <c:lineChart>
        <c:grouping val="standard"/>
        <c:varyColors val="0"/>
        <c:ser>
          <c:idx val="0"/>
          <c:order val="0"/>
          <c:tx>
            <c:strRef>
              <c:f>Hoja1!$B$1</c:f>
              <c:strCache>
                <c:ptCount val="1"/>
                <c:pt idx="0">
                  <c:v>ROIC</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Hoja1!$A$2:$A$8</c:f>
              <c:strCache>
                <c:ptCount val="7"/>
                <c:pt idx="0">
                  <c:v>2019</c:v>
                </c:pt>
                <c:pt idx="1">
                  <c:v>2020</c:v>
                </c:pt>
                <c:pt idx="2">
                  <c:v>2021</c:v>
                </c:pt>
                <c:pt idx="3">
                  <c:v>2022</c:v>
                </c:pt>
                <c:pt idx="4">
                  <c:v>2023</c:v>
                </c:pt>
                <c:pt idx="5">
                  <c:v>2024</c:v>
                </c:pt>
                <c:pt idx="6">
                  <c:v>2025</c:v>
                </c:pt>
              </c:strCache>
            </c:strRef>
          </c:cat>
          <c:val>
            <c:numRef>
              <c:f>Hoja1!$B$2:$B$8</c:f>
              <c:numCache>
                <c:formatCode>0"%"</c:formatCode>
                <c:ptCount val="7"/>
                <c:pt idx="0">
                  <c:v>93.4</c:v>
                </c:pt>
                <c:pt idx="1">
                  <c:v>106.4</c:v>
                </c:pt>
                <c:pt idx="2">
                  <c:v>152.9</c:v>
                </c:pt>
                <c:pt idx="3">
                  <c:v>124.6</c:v>
                </c:pt>
                <c:pt idx="4">
                  <c:v>92.4</c:v>
                </c:pt>
                <c:pt idx="5">
                  <c:v>127.4</c:v>
                </c:pt>
                <c:pt idx="6">
                  <c:v>158</c:v>
                </c:pt>
              </c:numCache>
            </c:numRef>
          </c:val>
          <c:smooth val="0"/>
        </c:ser>
        <c:ser>
          <c:idx val="1"/>
          <c:order val="1"/>
          <c:tx>
            <c:strRef>
              <c:f>Hoja1!$C$1</c:f>
              <c:strCache>
                <c:ptCount val="1"/>
                <c:pt idx="0">
                  <c:v>WACC actual</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Hoja1!$A$2:$A$8</c:f>
              <c:strCache>
                <c:ptCount val="7"/>
                <c:pt idx="0">
                  <c:v>2019</c:v>
                </c:pt>
                <c:pt idx="1">
                  <c:v>2020</c:v>
                </c:pt>
                <c:pt idx="2">
                  <c:v>2021</c:v>
                </c:pt>
                <c:pt idx="3">
                  <c:v>2022</c:v>
                </c:pt>
                <c:pt idx="4">
                  <c:v>2023</c:v>
                </c:pt>
                <c:pt idx="5">
                  <c:v>2024</c:v>
                </c:pt>
                <c:pt idx="6">
                  <c:v>2025</c:v>
                </c:pt>
              </c:strCache>
            </c:strRef>
          </c:cat>
          <c:val>
            <c:numRef>
              <c:f>Hoja1!$C$2:$C$8</c:f>
              <c:numCache>
                <c:formatCode>0"%"</c:formatCode>
                <c:ptCount val="7"/>
                <c:pt idx="0">
                  <c:v>11.6</c:v>
                </c:pt>
                <c:pt idx="1">
                  <c:v>11.6</c:v>
                </c:pt>
                <c:pt idx="2">
                  <c:v>11.6</c:v>
                </c:pt>
                <c:pt idx="3">
                  <c:v>11.6</c:v>
                </c:pt>
                <c:pt idx="4">
                  <c:v>11.6</c:v>
                </c:pt>
                <c:pt idx="5">
                  <c:v>11.6</c:v>
                </c:pt>
                <c:pt idx="6">
                  <c:v>11.6</c:v>
                </c:pt>
              </c:numCache>
            </c:numRef>
          </c:val>
          <c:smooth val="0"/>
        </c:ser>
        <c:ser>
          <c:idx val="2"/>
          <c:order val="2"/>
          <c:tx>
            <c:strRef>
              <c:f>Hoja1!$D$1</c:f>
              <c:strCache>
                <c:ptCount val="1"/>
                <c:pt idx="0">
                  <c:v>ROE</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Hoja1!$A$2:$A$8</c:f>
              <c:strCache>
                <c:ptCount val="7"/>
                <c:pt idx="0">
                  <c:v>2019</c:v>
                </c:pt>
                <c:pt idx="1">
                  <c:v>2020</c:v>
                </c:pt>
                <c:pt idx="2">
                  <c:v>2021</c:v>
                </c:pt>
                <c:pt idx="3">
                  <c:v>2022</c:v>
                </c:pt>
                <c:pt idx="4">
                  <c:v>2023</c:v>
                </c:pt>
                <c:pt idx="5">
                  <c:v>2024</c:v>
                </c:pt>
                <c:pt idx="6">
                  <c:v>2025</c:v>
                </c:pt>
              </c:strCache>
            </c:strRef>
          </c:cat>
          <c:val>
            <c:numRef>
              <c:f>Hoja1!$D$2:$D$8</c:f>
              <c:numCache>
                <c:formatCode>0"%"</c:formatCode>
                <c:ptCount val="7"/>
                <c:pt idx="0">
                  <c:v>25.5</c:v>
                </c:pt>
                <c:pt idx="1">
                  <c:v>24.4</c:v>
                </c:pt>
                <c:pt idx="2">
                  <c:v>31</c:v>
                </c:pt>
                <c:pt idx="3">
                  <c:v>26.7</c:v>
                </c:pt>
                <c:pt idx="4">
                  <c:v>25.1</c:v>
                </c:pt>
                <c:pt idx="5">
                  <c:v>25.1</c:v>
                </c:pt>
                <c:pt idx="6">
                  <c:v>22.3</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Deuda neta / EBITDA al cierre de cada ejercicio (veces)</a:t>
            </a:r>
          </a:p>
        </c:rich>
      </c:tx>
      <c:overlay val="0"/>
    </c:title>
    <c:autoTitleDeleted val="0"/>
    <c:plotArea>
      <c:layout/>
      <c:barChart>
        <c:barDir val="col"/>
        <c:grouping val="clustered"/>
        <c:varyColors val="0"/>
        <c:ser>
          <c:idx val="0"/>
          <c:order val="0"/>
          <c:tx>
            <c:strRef>
              <c:f>Hoja1!$B$1</c:f>
              <c:strCache>
                <c:ptCount val="1"/>
                <c:pt idx="0">
                  <c:v>Deuda neta / EBITDA</c:v>
                </c:pt>
              </c:strCache>
            </c:strRef>
          </c:tx>
          <c:spPr>
            <a:solidFill>
              <a:srgbClr val="2A78D6"/>
            </a:solidFill>
            <a:ln w="9525">
              <a:noFill/>
            </a:ln>
          </c:spPr>
          <c:invertIfNegative val="0"/>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Hoja1!$A$2:$A$8</c:f>
              <c:strCache>
                <c:ptCount val="7"/>
                <c:pt idx="0">
                  <c:v>2019</c:v>
                </c:pt>
                <c:pt idx="1">
                  <c:v>2020</c:v>
                </c:pt>
                <c:pt idx="2">
                  <c:v>2021</c:v>
                </c:pt>
                <c:pt idx="3">
                  <c:v>2022</c:v>
                </c:pt>
                <c:pt idx="4">
                  <c:v>2023</c:v>
                </c:pt>
                <c:pt idx="5">
                  <c:v>2024</c:v>
                </c:pt>
                <c:pt idx="6">
                  <c:v>2025</c:v>
                </c:pt>
              </c:strCache>
            </c:strRef>
          </c:cat>
          <c:val>
            <c:numRef>
              <c:f>Hoja1!$B$2:$B$8</c:f>
              <c:numCache>
                <c:formatCode>0.0"x"</c:formatCode>
                <c:ptCount val="7"/>
                <c:pt idx="0">
                  <c:v>-2.11</c:v>
                </c:pt>
                <c:pt idx="1">
                  <c:v>-2.24</c:v>
                </c:pt>
                <c:pt idx="2">
                  <c:v>-2.38</c:v>
                </c:pt>
                <c:pt idx="3">
                  <c:v>-2.6</c:v>
                </c:pt>
                <c:pt idx="4">
                  <c:v>-3.53</c:v>
                </c:pt>
                <c:pt idx="5">
                  <c:v>-3.74</c:v>
                </c:pt>
                <c:pt idx="6">
                  <c:v>-3.8</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Usos de la caja (EUR, millones)</a:t>
            </a:r>
          </a:p>
        </c:rich>
      </c:tx>
      <c:overlay val="0"/>
    </c:title>
    <c:autoTitleDeleted val="0"/>
    <c:plotArea>
      <c:layout/>
      <c:barChart>
        <c:barDir val="col"/>
        <c:grouping val="stacked"/>
        <c:varyColors val="0"/>
        <c:ser>
          <c:idx val="0"/>
          <c:order val="0"/>
          <c:tx>
            <c:strRef>
              <c:f>Hoja1!$B$1</c:f>
              <c:strCache>
                <c:ptCount val="1"/>
                <c:pt idx="0">
                  <c:v>Adquisiciones</c:v>
                </c:pt>
              </c:strCache>
            </c:strRef>
          </c:tx>
          <c:spPr>
            <a:solidFill>
              <a:srgbClr val="2A78D6"/>
            </a:solidFill>
            <a:ln w="12700">
              <a:solidFill>
                <a:srgbClr val="FFFFFF"/>
              </a:solidFill>
            </a:ln>
          </c:spPr>
          <c:invertIfNegative val="0"/>
          <c:cat>
            <c:strRef>
              <c:f>Hoja1!$A$2:$A$8</c:f>
              <c:strCache>
                <c:ptCount val="7"/>
                <c:pt idx="0">
                  <c:v>2019</c:v>
                </c:pt>
                <c:pt idx="1">
                  <c:v>2020</c:v>
                </c:pt>
                <c:pt idx="2">
                  <c:v>2021</c:v>
                </c:pt>
                <c:pt idx="3">
                  <c:v>2022</c:v>
                </c:pt>
                <c:pt idx="4">
                  <c:v>2023</c:v>
                </c:pt>
                <c:pt idx="5">
                  <c:v>2024</c:v>
                </c:pt>
                <c:pt idx="6">
                  <c:v>2025</c:v>
                </c:pt>
              </c:strCache>
            </c:strRef>
          </c:cat>
          <c:val>
            <c:numRef>
              <c:f>Hoja1!$B$2:$B$8</c:f>
              <c:numCache>
                <c:formatCode>#,##0</c:formatCode>
                <c:ptCount val="7"/>
                <c:pt idx="0">
                  <c:v>0</c:v>
                </c:pt>
                <c:pt idx="1">
                  <c:v>0</c:v>
                </c:pt>
                <c:pt idx="2">
                  <c:v>0</c:v>
                </c:pt>
                <c:pt idx="3">
                  <c:v>0</c:v>
                </c:pt>
                <c:pt idx="4">
                  <c:v>0</c:v>
                </c:pt>
                <c:pt idx="5">
                  <c:v>0</c:v>
                </c:pt>
                <c:pt idx="6">
                  <c:v>0</c:v>
                </c:pt>
              </c:numCache>
            </c:numRef>
          </c:val>
        </c:ser>
        <c:ser>
          <c:idx val="1"/>
          <c:order val="1"/>
          <c:tx>
            <c:strRef>
              <c:f>Hoja1!$C$1</c:f>
              <c:strCache>
                <c:ptCount val="1"/>
                <c:pt idx="0">
                  <c:v>Dividendos</c:v>
                </c:pt>
              </c:strCache>
            </c:strRef>
          </c:tx>
          <c:spPr>
            <a:solidFill>
              <a:srgbClr val="EB6834"/>
            </a:solidFill>
            <a:ln w="12700">
              <a:solidFill>
                <a:srgbClr val="FFFFFF"/>
              </a:solidFill>
            </a:ln>
          </c:spPr>
          <c:invertIfNegative val="0"/>
          <c:cat>
            <c:strRef>
              <c:f>Hoja1!$A$2:$A$8</c:f>
              <c:strCache>
                <c:ptCount val="7"/>
                <c:pt idx="0">
                  <c:v>2019</c:v>
                </c:pt>
                <c:pt idx="1">
                  <c:v>2020</c:v>
                </c:pt>
                <c:pt idx="2">
                  <c:v>2021</c:v>
                </c:pt>
                <c:pt idx="3">
                  <c:v>2022</c:v>
                </c:pt>
                <c:pt idx="4">
                  <c:v>2023</c:v>
                </c:pt>
                <c:pt idx="5">
                  <c:v>2024</c:v>
                </c:pt>
                <c:pt idx="6">
                  <c:v>2025</c:v>
                </c:pt>
              </c:strCache>
            </c:strRef>
          </c:cat>
          <c:val>
            <c:numRef>
              <c:f>Hoja1!$C$2:$C$8</c:f>
              <c:numCache>
                <c:formatCode>#,##0</c:formatCode>
                <c:ptCount val="7"/>
                <c:pt idx="0">
                  <c:v>0</c:v>
                </c:pt>
                <c:pt idx="1">
                  <c:v>0</c:v>
                </c:pt>
                <c:pt idx="2">
                  <c:v>0</c:v>
                </c:pt>
                <c:pt idx="3">
                  <c:v>0</c:v>
                </c:pt>
                <c:pt idx="4">
                  <c:v>0</c:v>
                </c:pt>
                <c:pt idx="5">
                  <c:v>0</c:v>
                </c:pt>
                <c:pt idx="6">
                  <c:v>0</c:v>
                </c:pt>
              </c:numCache>
            </c:numRef>
          </c:val>
        </c:ser>
        <c:ser>
          <c:idx val="2"/>
          <c:order val="2"/>
          <c:tx>
            <c:strRef>
              <c:f>Hoja1!$D$1</c:f>
              <c:strCache>
                <c:ptCount val="1"/>
                <c:pt idx="0">
                  <c:v>Recompras</c:v>
                </c:pt>
              </c:strCache>
            </c:strRef>
          </c:tx>
          <c:spPr>
            <a:solidFill>
              <a:srgbClr val="1BAF7A"/>
            </a:solidFill>
            <a:ln w="12700">
              <a:solidFill>
                <a:srgbClr val="FFFFFF"/>
              </a:solidFill>
            </a:ln>
          </c:spPr>
          <c:invertIfNegative val="0"/>
          <c:cat>
            <c:strRef>
              <c:f>Hoja1!$A$2:$A$8</c:f>
              <c:strCache>
                <c:ptCount val="7"/>
                <c:pt idx="0">
                  <c:v>2019</c:v>
                </c:pt>
                <c:pt idx="1">
                  <c:v>2020</c:v>
                </c:pt>
                <c:pt idx="2">
                  <c:v>2021</c:v>
                </c:pt>
                <c:pt idx="3">
                  <c:v>2022</c:v>
                </c:pt>
                <c:pt idx="4">
                  <c:v>2023</c:v>
                </c:pt>
                <c:pt idx="5">
                  <c:v>2024</c:v>
                </c:pt>
                <c:pt idx="6">
                  <c:v>2025</c:v>
                </c:pt>
              </c:strCache>
            </c:strRef>
          </c:cat>
          <c:val>
            <c:numRef>
              <c:f>Hoja1!$D$2:$D$8</c:f>
              <c:numCache>
                <c:formatCode>#,##0</c:formatCode>
                <c:ptCount val="7"/>
                <c:pt idx="0">
                  <c:v>18.3</c:v>
                </c:pt>
                <c:pt idx="1">
                  <c:v>0</c:v>
                </c:pt>
                <c:pt idx="2">
                  <c:v>0</c:v>
                </c:pt>
                <c:pt idx="3">
                  <c:v>0</c:v>
                </c:pt>
                <c:pt idx="4">
                  <c:v>0</c:v>
                </c:pt>
                <c:pt idx="5">
                  <c:v>0</c:v>
                </c:pt>
                <c:pt idx="6">
                  <c:v>0</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Composición del consejo (número de consejeros)</a:t>
            </a:r>
          </a:p>
        </c:rich>
      </c:tx>
      <c:overlay val="0"/>
    </c:title>
    <c:autoTitleDeleted val="0"/>
    <c:plotArea>
      <c:layout/>
      <c:doughnutChart>
        <c:varyColors val="1"/>
        <c:ser>
          <c:idx val="0"/>
          <c:order val="0"/>
          <c:tx>
            <c:strRef>
              <c:f>Hoja1!$B$1</c:f>
              <c:strCache>
                <c:ptCount val="1"/>
                <c:pt idx="0">
                  <c:v>Consejeros</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Hoja1!$A$2:$A$3</c:f>
              <c:strCache>
                <c:ptCount val="2"/>
                <c:pt idx="0">
                  <c:v>Independiente</c:v>
                </c:pt>
                <c:pt idx="1">
                  <c:v>Ejecutivo</c:v>
                </c:pt>
              </c:strCache>
            </c:strRef>
          </c:cat>
          <c:val>
            <c:numRef>
              <c:f>Hoja1!$B$2:$B$3</c:f>
              <c:numCache>
                <c:formatCode>0</c:formatCode>
                <c:ptCount val="2"/>
                <c:pt idx="0">
                  <c:v>7</c:v>
                </c:pt>
                <c:pt idx="1">
                  <c:v>6</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Accionistas significativos (% del capital)</a:t>
            </a:r>
          </a:p>
        </c:rich>
      </c:tx>
      <c:overlay val="0"/>
    </c:title>
    <c:autoTitleDeleted val="0"/>
    <c:plotArea>
      <c:layout/>
      <c:barChart>
        <c:barDir val="bar"/>
        <c:grouping val="clustered"/>
        <c:varyColors val="0"/>
        <c:ser>
          <c:idx val="0"/>
          <c:order val="0"/>
          <c:tx>
            <c:strRef>
              <c:f>Hoja1!$B$1</c:f>
              <c:strCache>
                <c:ptCount val="1"/>
                <c:pt idx="0">
                  <c:v>% del capital</c:v>
                </c:pt>
              </c:strCache>
            </c:strRef>
          </c:tx>
          <c:spPr>
            <a:solidFill>
              <a:srgbClr val="2A78D6"/>
            </a:solidFill>
            <a:ln w="9525">
              <a:noFill/>
            </a:ln>
          </c:spPr>
          <c:invertIfNegative val="0"/>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Hoja1!$A$2:$A$10</c:f>
              <c:strCache>
                <c:ptCount val="9"/>
                <c:pt idx="0">
                  <c:v>Temasek Holdings</c:v>
                </c:pt>
                <c:pt idx="1">
                  <c:v>BlackRock Inc.</c:v>
                </c:pt>
                <c:pt idx="2">
                  <c:v>T. Rowe Price Group</c:v>
                </c:pt>
                <c:pt idx="3">
                  <c:v>Capital Research and Management Company</c:v>
                </c:pt>
                <c:pt idx="4">
                  <c:v>Pieter van der Does (cofundador y co-CEO)</c:v>
                </c:pt>
                <c:pt idx="5">
                  <c:v>Roelant Prins (CCO)</c:v>
                </c:pt>
                <c:pt idx="6">
                  <c:v>Ingo Uytdehaage (co-CEO)</c:v>
                </c:pt>
                <c:pt idx="7">
                  <c:v>WCM Investment Management</c:v>
                </c:pt>
                <c:pt idx="8">
                  <c:v>Goldman Sachs Group</c:v>
                </c:pt>
              </c:strCache>
            </c:strRef>
          </c:cat>
          <c:val>
            <c:numRef>
              <c:f>Hoja1!$B$2:$B$10</c:f>
              <c:numCache>
                <c:formatCode>0.0"%"</c:formatCode>
                <c:ptCount val="9"/>
                <c:pt idx="0">
                  <c:v>6.39</c:v>
                </c:pt>
                <c:pt idx="1">
                  <c:v>4.75</c:v>
                </c:pt>
                <c:pt idx="2">
                  <c:v>4.93</c:v>
                </c:pt>
                <c:pt idx="3">
                  <c:v>5.04</c:v>
                </c:pt>
                <c:pt idx="4">
                  <c:v>2.92</c:v>
                </c:pt>
                <c:pt idx="5">
                  <c:v>0.91</c:v>
                </c:pt>
                <c:pt idx="6">
                  <c:v>0.62</c:v>
                </c:pt>
                <c:pt idx="7">
                  <c:v>2.98</c:v>
                </c:pt>
                <c:pt idx="8">
                  <c:v>2.11</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Rentabilidad total por año: acción frente a su índice (%)</a:t>
            </a:r>
          </a:p>
        </c:rich>
      </c:tx>
      <c:overlay val="0"/>
    </c:title>
    <c:autoTitleDeleted val="0"/>
    <c:plotArea>
      <c:layout/>
      <c:barChart>
        <c:barDir val="col"/>
        <c:grouping val="clustered"/>
        <c:varyColors val="0"/>
        <c:ser>
          <c:idx val="0"/>
          <c:order val="0"/>
          <c:tx>
            <c:strRef>
              <c:f>Hoja1!$B$1</c:f>
              <c:strCache>
                <c:ptCount val="1"/>
                <c:pt idx="0">
                  <c:v>Acción</c:v>
                </c:pt>
              </c:strCache>
            </c:strRef>
          </c:tx>
          <c:spPr>
            <a:solidFill>
              <a:srgbClr val="2A78D6"/>
            </a:solidFill>
            <a:ln w="9525">
              <a:noFill/>
            </a:ln>
          </c:spPr>
          <c:invertIfNegative val="0"/>
          <c:cat>
            <c:strRef>
              <c:f>Hoja1!$A$2:$A$8</c:f>
              <c:strCache>
                <c:ptCount val="7"/>
                <c:pt idx="0">
                  <c:v>2019</c:v>
                </c:pt>
                <c:pt idx="1">
                  <c:v>2020</c:v>
                </c:pt>
                <c:pt idx="2">
                  <c:v>2021</c:v>
                </c:pt>
                <c:pt idx="3">
                  <c:v>2022</c:v>
                </c:pt>
                <c:pt idx="4">
                  <c:v>2023</c:v>
                </c:pt>
                <c:pt idx="5">
                  <c:v>2024</c:v>
                </c:pt>
                <c:pt idx="6">
                  <c:v>2025</c:v>
                </c:pt>
              </c:strCache>
            </c:strRef>
          </c:cat>
          <c:val>
            <c:numRef>
              <c:f>Hoja1!$B$2:$B$8</c:f>
              <c:numCache>
                <c:formatCode>0"%"</c:formatCode>
                <c:ptCount val="7"/>
                <c:pt idx="0">
                  <c:v>53.9</c:v>
                </c:pt>
                <c:pt idx="1">
                  <c:v>160.6</c:v>
                </c:pt>
                <c:pt idx="2">
                  <c:v>21.3</c:v>
                </c:pt>
                <c:pt idx="3">
                  <c:v>-44.3</c:v>
                </c:pt>
                <c:pt idx="4">
                  <c:v>-9.5</c:v>
                </c:pt>
                <c:pt idx="5">
                  <c:v>23.2</c:v>
                </c:pt>
                <c:pt idx="6">
                  <c:v>-4.3</c:v>
                </c:pt>
              </c:numCache>
            </c:numRef>
          </c:val>
        </c:ser>
        <c:ser>
          <c:idx val="1"/>
          <c:order val="1"/>
          <c:tx>
            <c:strRef>
              <c:f>Hoja1!$C$1</c:f>
              <c:strCache>
                <c:ptCount val="1"/>
                <c:pt idx="0">
                  <c:v>Índice</c:v>
                </c:pt>
              </c:strCache>
            </c:strRef>
          </c:tx>
          <c:spPr>
            <a:solidFill>
              <a:srgbClr val="EB6834"/>
            </a:solidFill>
            <a:ln w="9525">
              <a:noFill/>
            </a:ln>
          </c:spPr>
          <c:invertIfNegative val="0"/>
          <c:cat>
            <c:strRef>
              <c:f>Hoja1!$A$2:$A$8</c:f>
              <c:strCache>
                <c:ptCount val="7"/>
                <c:pt idx="0">
                  <c:v>2019</c:v>
                </c:pt>
                <c:pt idx="1">
                  <c:v>2020</c:v>
                </c:pt>
                <c:pt idx="2">
                  <c:v>2021</c:v>
                </c:pt>
                <c:pt idx="3">
                  <c:v>2022</c:v>
                </c:pt>
                <c:pt idx="4">
                  <c:v>2023</c:v>
                </c:pt>
                <c:pt idx="5">
                  <c:v>2024</c:v>
                </c:pt>
                <c:pt idx="6">
                  <c:v>2025</c:v>
                </c:pt>
              </c:strCache>
            </c:strRef>
          </c:cat>
          <c:val>
            <c:numRef>
              <c:f>Hoja1!$C$2:$C$8</c:f>
              <c:numCache>
                <c:formatCode>0"%"</c:formatCode>
                <c:ptCount val="7"/>
                <c:pt idx="0">
                  <c:v>28.4</c:v>
                </c:pt>
                <c:pt idx="1">
                  <c:v>-1.8</c:v>
                </c:pt>
                <c:pt idx="2">
                  <c:v>24.6</c:v>
                </c:pt>
                <c:pt idx="3">
                  <c:v>-10.3</c:v>
                </c:pt>
                <c:pt idx="4">
                  <c:v>15.5</c:v>
                </c:pt>
                <c:pt idx="5">
                  <c:v>8.5</c:v>
                </c:pt>
                <c:pt idx="6">
                  <c:v>20.5</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últimos 12 meses (cierre de cada año): historia y mediana (veces)</a:t>
            </a:r>
          </a:p>
        </c:rich>
      </c:tx>
      <c:overlay val="0"/>
    </c:title>
    <c:autoTitleDeleted val="0"/>
    <c:plotArea>
      <c:layout/>
      <c:lineChart>
        <c:grouping val="standard"/>
        <c:varyColors val="0"/>
        <c:ser>
          <c:idx val="0"/>
          <c:order val="0"/>
          <c:tx>
            <c:strRef>
              <c:f>Hoja1!$B$1</c:f>
              <c:strCache>
                <c:ptCount val="1"/>
                <c:pt idx="0">
                  <c:v>Múltiplo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Hoja1!$A$2:$A$9</c:f>
              <c:strCache>
                <c:ptCount val="8"/>
                <c:pt idx="0">
                  <c:v>2018</c:v>
                </c:pt>
                <c:pt idx="1">
                  <c:v>2019</c:v>
                </c:pt>
                <c:pt idx="2">
                  <c:v>2020</c:v>
                </c:pt>
                <c:pt idx="3">
                  <c:v>2021</c:v>
                </c:pt>
                <c:pt idx="4">
                  <c:v>2022</c:v>
                </c:pt>
                <c:pt idx="5">
                  <c:v>2023</c:v>
                </c:pt>
                <c:pt idx="6">
                  <c:v>2024</c:v>
                </c:pt>
                <c:pt idx="7">
                  <c:v>2025</c:v>
                </c:pt>
              </c:strCache>
            </c:strRef>
          </c:cat>
          <c:val>
            <c:numRef>
              <c:f>Hoja1!$B$2:$B$9</c:f>
              <c:numCache>
                <c:formatCode>0.0"x"</c:formatCode>
                <c:ptCount val="8"/>
                <c:pt idx="1">
                  <c:v>68.3</c:v>
                </c:pt>
                <c:pt idx="2">
                  <c:v>142.9</c:v>
                </c:pt>
                <c:pt idx="3">
                  <c:v>110.2</c:v>
                </c:pt>
                <c:pt idx="4">
                  <c:v>52.3</c:v>
                </c:pt>
                <c:pt idx="5">
                  <c:v>45.4</c:v>
                </c:pt>
                <c:pt idx="6">
                  <c:v>41.5</c:v>
                </c:pt>
                <c:pt idx="7">
                  <c:v>31.1</c:v>
                </c:pt>
              </c:numCache>
            </c:numRef>
          </c:val>
          <c:smooth val="0"/>
        </c:ser>
        <c:ser>
          <c:idx val="1"/>
          <c:order val="1"/>
          <c:tx>
            <c:strRef>
              <c:f>Hoja1!$C$1</c:f>
              <c:strCache>
                <c:ptCount val="1"/>
                <c:pt idx="0">
                  <c:v>Mediana del periodo</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Hoja1!$A$2:$A$9</c:f>
              <c:strCache>
                <c:ptCount val="8"/>
                <c:pt idx="0">
                  <c:v>2018</c:v>
                </c:pt>
                <c:pt idx="1">
                  <c:v>2019</c:v>
                </c:pt>
                <c:pt idx="2">
                  <c:v>2020</c:v>
                </c:pt>
                <c:pt idx="3">
                  <c:v>2021</c:v>
                </c:pt>
                <c:pt idx="4">
                  <c:v>2022</c:v>
                </c:pt>
                <c:pt idx="5">
                  <c:v>2023</c:v>
                </c:pt>
                <c:pt idx="6">
                  <c:v>2024</c:v>
                </c:pt>
                <c:pt idx="7">
                  <c:v>2025</c:v>
                </c:pt>
              </c:strCache>
            </c:strRef>
          </c:cat>
          <c:val>
            <c:numRef>
              <c:f>Hoja1!$C$2:$C$9</c:f>
              <c:numCache>
                <c:formatCode>0.0"x"</c:formatCode>
                <c:ptCount val="8"/>
                <c:pt idx="0">
                  <c:v>52.3</c:v>
                </c:pt>
                <c:pt idx="1">
                  <c:v>52.3</c:v>
                </c:pt>
                <c:pt idx="2">
                  <c:v>52.3</c:v>
                </c:pt>
                <c:pt idx="3">
                  <c:v>52.3</c:v>
                </c:pt>
                <c:pt idx="4">
                  <c:v>52.3</c:v>
                </c:pt>
                <c:pt idx="5">
                  <c:v>52.3</c:v>
                </c:pt>
                <c:pt idx="6">
                  <c:v>52.3</c:v>
                </c:pt>
                <c:pt idx="7">
                  <c:v>52.3</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de los próximos 12 meses: empresa y comparables (veces)</a:t>
            </a:r>
          </a:p>
        </c:rich>
      </c:tx>
      <c:overlay val="0"/>
    </c:title>
    <c:autoTitleDeleted val="0"/>
    <c:plotArea>
      <c:layout/>
      <c:barChart>
        <c:barDir val="bar"/>
        <c:grouping val="clustered"/>
        <c:varyColors val="0"/>
        <c:ser>
          <c:idx val="0"/>
          <c:order val="0"/>
          <c:tx>
            <c:strRef>
              <c:f>Hoja1!$B$1</c:f>
              <c:strCache>
                <c:ptCount val="1"/>
                <c:pt idx="0">
                  <c:v>EV/EBITDA NTM</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Pt>
            <c:idx val="5"/>
            <c:invertIfNegative val="0"/>
            <c:bubble3D val="0"/>
            <c:spPr>
              <a:solidFill>
                <a:srgbClr val="C9C8C2"/>
              </a:solidFill>
            </c:spPr>
          </c:dPt>
          <c:dPt>
            <c:idx val="6"/>
            <c:invertIfNegative val="0"/>
            <c:bubble3D val="0"/>
            <c:spPr>
              <a:solidFill>
                <a:srgbClr val="C9C8C2"/>
              </a:solidFill>
            </c:spPr>
          </c:dPt>
          <c:dPt>
            <c:idx val="7"/>
            <c:invertIfNegative val="0"/>
            <c:bubble3D val="0"/>
            <c:spPr>
              <a:solidFill>
                <a:srgbClr val="C9C8C2"/>
              </a:solidFill>
            </c:spPr>
          </c:dPt>
          <c:dPt>
            <c:idx val="8"/>
            <c:invertIfNegative val="0"/>
            <c:bubble3D val="0"/>
            <c:spPr>
              <a:solidFill>
                <a:srgbClr val="C9C8C2"/>
              </a:solidFill>
            </c:spPr>
          </c:dPt>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Hoja1!$A$2:$A$10</c:f>
              <c:strCache>
                <c:ptCount val="9"/>
                <c:pt idx="0">
                  <c:v>Adyen</c:v>
                </c:pt>
                <c:pt idx="1">
                  <c:v>Visa</c:v>
                </c:pt>
                <c:pt idx="2">
                  <c:v>Mastercard</c:v>
                </c:pt>
                <c:pt idx="3">
                  <c:v>PayPal</c:v>
                </c:pt>
                <c:pt idx="4">
                  <c:v>Block</c:v>
                </c:pt>
                <c:pt idx="5">
                  <c:v>Fiserv</c:v>
                </c:pt>
                <c:pt idx="6">
                  <c:v>Global Payments</c:v>
                </c:pt>
                <c:pt idx="7">
                  <c:v>Nexi</c:v>
                </c:pt>
                <c:pt idx="8">
                  <c:v>Worldline</c:v>
                </c:pt>
              </c:strCache>
            </c:strRef>
          </c:cat>
          <c:val>
            <c:numRef>
              <c:f>Hoja1!$B$2:$B$10</c:f>
              <c:numCache>
                <c:formatCode>0.0"x"</c:formatCode>
                <c:ptCount val="9"/>
                <c:pt idx="0">
                  <c:v>12.8</c:v>
                </c:pt>
                <c:pt idx="1">
                  <c:v>19.8</c:v>
                </c:pt>
                <c:pt idx="2">
                  <c:v>20.4</c:v>
                </c:pt>
                <c:pt idx="3">
                  <c:v>7.5</c:v>
                </c:pt>
                <c:pt idx="4">
                  <c:v>8.6</c:v>
                </c:pt>
                <c:pt idx="5">
                  <c:v>6.2</c:v>
                </c:pt>
                <c:pt idx="6">
                  <c:v>6.5</c:v>
                </c:pt>
                <c:pt idx="7">
                  <c:v>4.7</c:v>
                </c:pt>
                <c:pt idx="8">
                  <c:v>3.8</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Crecimiento esperado frente a múltiplo</a:t>
            </a:r>
          </a:p>
        </c:rich>
      </c:tx>
      <c:overlay val="0"/>
    </c:title>
    <c:autoTitleDeleted val="0"/>
    <c:plotArea>
      <c:layout/>
      <c:scatterChart>
        <c:scatterStyle val="lineMarker"/>
        <c:varyColors val="0"/>
        <c:ser>
          <c:idx val="0"/>
          <c:order val="0"/>
          <c:tx>
            <c:strRef>
              <c:f>Hoja1!$A$2</c:f>
              <c:strCache>
                <c:ptCount val="1"/>
                <c:pt idx="0">
                  <c:v>Adyen</c:v>
                </c:pt>
              </c:strCache>
            </c:strRef>
          </c:tx>
          <c:spPr>
            <a:ln w="19050">
              <a:noFill/>
            </a:ln>
          </c:spPr>
          <c:marker>
            <c:symbol val="circle"/>
            <c:size val="10"/>
            <c:spPr>
              <a:solidFill>
                <a:srgbClr val="2A78D6"/>
              </a:solidFill>
              <a:ln w="9525">
                <a:solidFill>
                  <a:srgbClr val="FFFFFF"/>
                </a:solidFill>
              </a:ln>
            </c:spPr>
          </c:marker>
          <c:dLbls>
            <c:spPr>
              <a:noFill/>
              <a:ln>
                <a:noFill/>
              </a:ln>
            </c:spPr>
            <c:txPr>
              <a:bodyPr/>
              <a:lstStyle/>
              <a:p>
                <a:pPr>
                  <a:defRPr sz="800">
                    <a:solidFill>
                      <a:srgbClr val="1F2A3C"/>
                    </a:solidFill>
                  </a:defRPr>
                </a:pPr>
                <a:endParaRPr lang="es-ES"/>
              </a:p>
            </c:txPr>
            <c:dLblPos val="r"/>
            <c:showLegendKey val="0"/>
            <c:showVal val="0"/>
            <c:showCatName val="0"/>
            <c:showSerName val="1"/>
            <c:showPercent val="0"/>
            <c:showBubbleSize val="0"/>
          </c:dLbls>
          <c:xVal>
            <c:numRef>
              <c:f>Hoja1!$B$2</c:f>
              <c:numCache>
                <c:formatCode>0"%"</c:formatCode>
                <c:ptCount val="1"/>
                <c:pt idx="0">
                  <c:v>22.8</c:v>
                </c:pt>
              </c:numCache>
            </c:numRef>
          </c:xVal>
          <c:yVal>
            <c:numRef>
              <c:f>Hoja1!$C$2</c:f>
              <c:numCache>
                <c:formatCode>0.0"x"</c:formatCode>
                <c:ptCount val="1"/>
                <c:pt idx="0">
                  <c:v>12.8</c:v>
                </c:pt>
              </c:numCache>
            </c:numRef>
          </c:yVal>
          <c:smooth val="0"/>
        </c:ser>
        <c:ser>
          <c:idx val="1"/>
          <c:order val="1"/>
          <c:tx>
            <c:strRef>
              <c:f>Hoja1!$A$3</c:f>
              <c:strCache>
                <c:ptCount val="1"/>
                <c:pt idx="0">
                  <c:v>Visa</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Hoja1!$B$3</c:f>
              <c:numCache>
                <c:formatCode>0"%"</c:formatCode>
                <c:ptCount val="1"/>
                <c:pt idx="0">
                  <c:v>12.3</c:v>
                </c:pt>
              </c:numCache>
            </c:numRef>
          </c:xVal>
          <c:yVal>
            <c:numRef>
              <c:f>Hoja1!$C$3</c:f>
              <c:numCache>
                <c:formatCode>0.0"x"</c:formatCode>
                <c:ptCount val="1"/>
                <c:pt idx="0">
                  <c:v>19.8</c:v>
                </c:pt>
              </c:numCache>
            </c:numRef>
          </c:yVal>
          <c:smooth val="0"/>
        </c:ser>
        <c:ser>
          <c:idx val="2"/>
          <c:order val="2"/>
          <c:tx>
            <c:strRef>
              <c:f>Hoja1!$A$4</c:f>
              <c:strCache>
                <c:ptCount val="1"/>
                <c:pt idx="0">
                  <c:v>Mastercard</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Hoja1!$B$4</c:f>
              <c:numCache>
                <c:formatCode>0"%"</c:formatCode>
                <c:ptCount val="1"/>
                <c:pt idx="0">
                  <c:v>13.3</c:v>
                </c:pt>
              </c:numCache>
            </c:numRef>
          </c:xVal>
          <c:yVal>
            <c:numRef>
              <c:f>Hoja1!$C$4</c:f>
              <c:numCache>
                <c:formatCode>0.0"x"</c:formatCode>
                <c:ptCount val="1"/>
                <c:pt idx="0">
                  <c:v>20.4</c:v>
                </c:pt>
              </c:numCache>
            </c:numRef>
          </c:yVal>
          <c:smooth val="0"/>
        </c:ser>
        <c:ser>
          <c:idx val="3"/>
          <c:order val="3"/>
          <c:tx>
            <c:strRef>
              <c:f>Hoja1!$A$5</c:f>
              <c:strCache>
                <c:ptCount val="1"/>
                <c:pt idx="0">
                  <c:v>PayPal</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Hoja1!$B$5</c:f>
              <c:numCache>
                <c:formatCode>0"%"</c:formatCode>
                <c:ptCount val="1"/>
                <c:pt idx="0">
                  <c:v>4.5</c:v>
                </c:pt>
              </c:numCache>
            </c:numRef>
          </c:xVal>
          <c:yVal>
            <c:numRef>
              <c:f>Hoja1!$C$5</c:f>
              <c:numCache>
                <c:formatCode>0.0"x"</c:formatCode>
                <c:ptCount val="1"/>
                <c:pt idx="0">
                  <c:v>7.5</c:v>
                </c:pt>
              </c:numCache>
            </c:numRef>
          </c:yVal>
          <c:smooth val="0"/>
        </c:ser>
        <c:ser>
          <c:idx val="4"/>
          <c:order val="4"/>
          <c:tx>
            <c:strRef>
              <c:f>Hoja1!$A$6</c:f>
              <c:strCache>
                <c:ptCount val="1"/>
                <c:pt idx="0">
                  <c:v>Block</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Hoja1!$B$6</c:f>
              <c:numCache>
                <c:formatCode>0"%"</c:formatCode>
                <c:ptCount val="1"/>
                <c:pt idx="0">
                  <c:v>10.2</c:v>
                </c:pt>
              </c:numCache>
            </c:numRef>
          </c:xVal>
          <c:yVal>
            <c:numRef>
              <c:f>Hoja1!$C$6</c:f>
              <c:numCache>
                <c:formatCode>0.0"x"</c:formatCode>
                <c:ptCount val="1"/>
                <c:pt idx="0">
                  <c:v>8.6</c:v>
                </c:pt>
              </c:numCache>
            </c:numRef>
          </c:yVal>
          <c:smooth val="0"/>
        </c:ser>
        <c:ser>
          <c:idx val="5"/>
          <c:order val="5"/>
          <c:tx>
            <c:strRef>
              <c:f>Hoja1!$A$7</c:f>
              <c:strCache>
                <c:ptCount val="1"/>
                <c:pt idx="0">
                  <c:v>Fiserv</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Hoja1!$B$7</c:f>
              <c:numCache>
                <c:formatCode>0"%"</c:formatCode>
                <c:ptCount val="1"/>
                <c:pt idx="0">
                  <c:v>1.7</c:v>
                </c:pt>
              </c:numCache>
            </c:numRef>
          </c:xVal>
          <c:yVal>
            <c:numRef>
              <c:f>Hoja1!$C$7</c:f>
              <c:numCache>
                <c:formatCode>0.0"x"</c:formatCode>
                <c:ptCount val="1"/>
                <c:pt idx="0">
                  <c:v>6.2</c:v>
                </c:pt>
              </c:numCache>
            </c:numRef>
          </c:yVal>
          <c:smooth val="0"/>
        </c:ser>
        <c:ser>
          <c:idx val="6"/>
          <c:order val="6"/>
          <c:tx>
            <c:strRef>
              <c:f>Hoja1!$A$8</c:f>
              <c:strCache>
                <c:ptCount val="1"/>
                <c:pt idx="0">
                  <c:v>Nexi</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Hoja1!$B$8</c:f>
              <c:numCache>
                <c:formatCode>0"%"</c:formatCode>
                <c:ptCount val="1"/>
                <c:pt idx="0">
                  <c:v>2.1</c:v>
                </c:pt>
              </c:numCache>
            </c:numRef>
          </c:xVal>
          <c:yVal>
            <c:numRef>
              <c:f>Hoja1!$C$8</c:f>
              <c:numCache>
                <c:formatCode>0.0"x"</c:formatCode>
                <c:ptCount val="1"/>
                <c:pt idx="0">
                  <c:v>4.7</c:v>
                </c:pt>
              </c:numCache>
            </c:numRef>
          </c:yVal>
          <c:smooth val="0"/>
        </c:ser>
        <c:ser>
          <c:idx val="7"/>
          <c:order val="7"/>
          <c:tx>
            <c:strRef>
              <c:f>Hoja1!$A$9</c:f>
              <c:strCache>
                <c:ptCount val="1"/>
                <c:pt idx="0">
                  <c:v>Worldline</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Hoja1!$B$9</c:f>
              <c:numCache>
                <c:formatCode>0"%"</c:formatCode>
                <c:ptCount val="1"/>
                <c:pt idx="0">
                  <c:v>-3.4</c:v>
                </c:pt>
              </c:numCache>
            </c:numRef>
          </c:xVal>
          <c:yVal>
            <c:numRef>
              <c:f>Hoja1!$C$9</c:f>
              <c:numCache>
                <c:formatCode>0.0"x"</c:formatCode>
                <c:ptCount val="1"/>
                <c:pt idx="0">
                  <c:v>3.8</c:v>
                </c:pt>
              </c:numCache>
            </c:numRef>
          </c:yVal>
          <c:smooth val="0"/>
        </c:ser>
        <c:axId val="10"/>
        <c:axId val="20"/>
      </c:scatterChart>
      <c:valAx>
        <c:axId val="10"/>
        <c:scaling>
          <c:orientation val="minMax"/>
          <c:max val="30"/>
        </c:scaling>
        <c:delete val="0"/>
        <c:axPos val="b"/>
        <c:title>
          <c:tx>
            <c:rich>
              <a:bodyPr/>
              <a:lstStyle/>
              <a:p>
                <a:pPr>
                  <a:defRPr sz="850" b="0">
                    <a:solidFill>
                      <a:srgbClr val="52514E"/>
                    </a:solidFill>
                  </a:defRPr>
                </a:pPr>
                <a:r>
                  <a:rPr lang="es-ES" sz="850" b="0">
                    <a:solidFill>
                      <a:srgbClr val="52514E"/>
                    </a:solidFill>
                  </a:rPr>
                  <a:t>Crecimiento de ingresos próximos 12 meses (%)</a:t>
                </a:r>
              </a:p>
            </c:rich>
          </c:tx>
          <c:overlay val="0"/>
        </c:title>
        <c:numFmt formatCode="0&quot;%&quot;"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crossBetween val="midCat"/>
      </c:valAx>
      <c:valAx>
        <c:axId val="20"/>
        <c:scaling>
          <c:orientation val="minMax"/>
        </c:scaling>
        <c:delete val="0"/>
        <c:axPos val="l"/>
        <c:majorGridlines>
          <c:spPr>
            <a:ln w="6350">
              <a:solidFill>
                <a:srgbClr val="E4E3DF"/>
              </a:solidFill>
            </a:ln>
          </c:spPr>
        </c:majorGridlines>
        <c:title>
          <c:tx>
            <c:rich>
              <a:bodyPr rot="-5400000" vert="horz"/>
              <a:lstStyle/>
              <a:p>
                <a:pPr>
                  <a:defRPr sz="850" b="0">
                    <a:solidFill>
                      <a:srgbClr val="52514E"/>
                    </a:solidFill>
                  </a:defRPr>
                </a:pPr>
                <a:r>
                  <a:rPr lang="es-ES" sz="850" b="0">
                    <a:solidFill>
                      <a:srgbClr val="52514E"/>
                    </a:solidFill>
                  </a:rPr>
                  <a:t>EV/EBITDA NTM (x)</a:t>
                </a:r>
              </a:p>
            </c:rich>
          </c:tx>
          <c:overlay val="0"/>
        </c:title>
        <c:numFmt formatCode="0.0&quot;x&quot;" sourceLinked="0"/>
        <c:majorTickMark val="none"/>
        <c:minorTickMark val="none"/>
        <c:tickLblPos val="low"/>
        <c:spPr>
          <a:ln>
            <a:noFill/>
          </a:ln>
        </c:spPr>
        <c:txPr>
          <a:bodyPr/>
          <a:lstStyle/>
          <a:p>
            <a:pPr>
              <a:defRPr sz="850">
                <a:solidFill>
                  <a:srgbClr val="52514E"/>
                </a:solidFill>
              </a:defRPr>
            </a:pPr>
            <a:endParaRPr lang="es-ES"/>
          </a:p>
        </c:txPr>
        <c:crossAx val="10"/>
        <c:crosses val="autoZero"/>
        <c:crossBetween val="midCat"/>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pagado en transacciones del sector (veces)</a:t>
            </a:r>
          </a:p>
        </c:rich>
      </c:tx>
      <c:overlay val="0"/>
    </c:title>
    <c:autoTitleDeleted val="0"/>
    <c:plotArea>
      <c:layout/>
      <c:barChart>
        <c:barDir val="bar"/>
        <c:grouping val="clustered"/>
        <c:varyColors val="0"/>
        <c:ser>
          <c:idx val="0"/>
          <c:order val="0"/>
          <c:tx>
            <c:strRef>
              <c:f>Hoja1!$B$1</c:f>
              <c:strCache>
                <c:ptCount val="1"/>
                <c:pt idx="0">
                  <c:v>EV/EBITDA</c:v>
                </c:pt>
              </c:strCache>
            </c:strRef>
          </c:tx>
          <c:spPr>
            <a:solidFill>
              <a:srgbClr val="2A78D6"/>
            </a:solidFill>
            <a:ln w="9525">
              <a:noFill/>
            </a:ln>
          </c:spPr>
          <c:invertIfNegative val="0"/>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Hoja1!$A$2:$A$7</c:f>
              <c:strCache>
                <c:ptCount val="6"/>
                <c:pt idx="0">
                  <c:v>First Data</c:v>
                </c:pt>
                <c:pt idx="1">
                  <c:v>Worldpay (Vantiv)</c:v>
                </c:pt>
                <c:pt idx="2">
                  <c:v>TSYS</c:v>
                </c:pt>
                <c:pt idx="3">
                  <c:v>Nets</c:v>
                </c:pt>
                <c:pt idx="4">
                  <c:v>Worldpay</c:v>
                </c:pt>
                <c:pt idx="5">
                  <c:v>Issuer Solutions (de Global Payments)</c:v>
                </c:pt>
              </c:strCache>
            </c:strRef>
          </c:cat>
          <c:val>
            <c:numRef>
              <c:f>Hoja1!$B$2:$B$7</c:f>
              <c:numCache>
                <c:formatCode>0.0"x"</c:formatCode>
                <c:ptCount val="6"/>
                <c:pt idx="3">
                  <c:v>20</c:v>
                </c:pt>
                <c:pt idx="4">
                  <c:v>8.5</c:v>
                </c:pt>
                <c:pt idx="5">
                  <c:v>12.3</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para la empresa proyectado (EUR, millones)</a:t>
            </a:r>
          </a:p>
        </c:rich>
      </c:tx>
      <c:overlay val="0"/>
    </c:title>
    <c:autoTitleDeleted val="0"/>
    <c:plotArea>
      <c:layout/>
      <c:barChart>
        <c:barDir val="col"/>
        <c:grouping val="clustered"/>
        <c:varyColors val="0"/>
        <c:ser>
          <c:idx val="0"/>
          <c:order val="0"/>
          <c:tx>
            <c:strRef>
              <c:f>Hoja1!$B$1</c:f>
              <c:strCache>
                <c:ptCount val="1"/>
                <c:pt idx="0">
                  <c:v>FCFF</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Hoja1!$A$2:$A$11</c:f>
              <c:strCache>
                <c:ptCount val="10"/>
                <c:pt idx="0">
                  <c:v>2026e</c:v>
                </c:pt>
                <c:pt idx="1">
                  <c:v>2027e</c:v>
                </c:pt>
                <c:pt idx="2">
                  <c:v>2028e</c:v>
                </c:pt>
                <c:pt idx="3">
                  <c:v>2029e</c:v>
                </c:pt>
                <c:pt idx="4">
                  <c:v>2030e</c:v>
                </c:pt>
                <c:pt idx="5">
                  <c:v>2031e</c:v>
                </c:pt>
                <c:pt idx="6">
                  <c:v>2032e</c:v>
                </c:pt>
                <c:pt idx="7">
                  <c:v>2033e</c:v>
                </c:pt>
                <c:pt idx="8">
                  <c:v>2034e</c:v>
                </c:pt>
                <c:pt idx="9">
                  <c:v>2035e</c:v>
                </c:pt>
              </c:strCache>
            </c:strRef>
          </c:cat>
          <c:val>
            <c:numRef>
              <c:f>Hoja1!$B$2:$B$11</c:f>
              <c:numCache>
                <c:formatCode>#,##0</c:formatCode>
                <c:ptCount val="10"/>
                <c:pt idx="0">
                  <c:v>884</c:v>
                </c:pt>
                <c:pt idx="1">
                  <c:v>1174</c:v>
                </c:pt>
                <c:pt idx="2">
                  <c:v>1471</c:v>
                </c:pt>
                <c:pt idx="3">
                  <c:v>1740</c:v>
                </c:pt>
                <c:pt idx="4">
                  <c:v>2033</c:v>
                </c:pt>
                <c:pt idx="5">
                  <c:v>2297</c:v>
                </c:pt>
                <c:pt idx="6">
                  <c:v>2565</c:v>
                </c:pt>
                <c:pt idx="7">
                  <c:v>2796</c:v>
                </c:pt>
                <c:pt idx="8">
                  <c:v>3000</c:v>
                </c:pt>
                <c:pt idx="9">
                  <c:v>3151</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 dónde sale el valor empresa del DCF (EUR, millones)</a:t>
            </a:r>
          </a:p>
        </c:rich>
      </c:tx>
      <c:overlay val="0"/>
    </c:title>
    <c:autoTitleDeleted val="0"/>
    <c:plotArea>
      <c:layout/>
      <c:doughnutChart>
        <c:varyColors val="1"/>
        <c:ser>
          <c:idx val="0"/>
          <c:order val="0"/>
          <c:tx>
            <c:strRef>
              <c:f>Hoja1!$B$1</c:f>
              <c:strCache>
                <c:ptCount val="1"/>
                <c:pt idx="0">
                  <c:v>Valor actual</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Hoja1!$A$2:$A$3</c:f>
              <c:strCache>
                <c:ptCount val="2"/>
                <c:pt idx="0">
                  <c:v>Flujos proyectados</c:v>
                </c:pt>
                <c:pt idx="1">
                  <c:v>Valor terminal</c:v>
                </c:pt>
              </c:strCache>
            </c:strRef>
          </c:cat>
          <c:val>
            <c:numRef>
              <c:f>Hoja1!$B$2:$B$3</c:f>
              <c:numCache>
                <c:formatCode>#,##0</c:formatCode>
                <c:ptCount val="2"/>
                <c:pt idx="0">
                  <c:v>11678</c:v>
                </c:pt>
                <c:pt idx="1">
                  <c:v>12785</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por escenario (EUR) · precio actual 886,10</a:t>
            </a:r>
          </a:p>
        </c:rich>
      </c:tx>
      <c:overlay val="0"/>
    </c:title>
    <c:autoTitleDeleted val="0"/>
    <c:plotArea>
      <c:layout/>
      <c:barChart>
        <c:barDir val="col"/>
        <c:grouping val="clustered"/>
        <c:varyColors val="0"/>
        <c:ser>
          <c:idx val="0"/>
          <c:order val="0"/>
          <c:tx>
            <c:strRef>
              <c:f>Hoja1!$B$1</c:f>
              <c:strCache>
                <c:ptCount val="1"/>
                <c:pt idx="0">
                  <c:v>Valor por acción</c:v>
                </c:pt>
              </c:strCache>
            </c:strRef>
          </c:tx>
          <c:spPr>
            <a:solidFill>
              <a:srgbClr val="2A78D6"/>
            </a:solidFill>
            <a:ln w="9525">
              <a:noFill/>
            </a:ln>
          </c:spPr>
          <c:invertIfNegative val="0"/>
          <c:dLbls>
            <c:numFmt formatCode="#,##0.0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Hoja1!$A$2:$A$4</c:f>
              <c:strCache>
                <c:ptCount val="3"/>
                <c:pt idx="0">
                  <c:v>Bajista</c:v>
                </c:pt>
                <c:pt idx="1">
                  <c:v>Base</c:v>
                </c:pt>
                <c:pt idx="2">
                  <c:v>Alcista</c:v>
                </c:pt>
              </c:strCache>
            </c:strRef>
          </c:cat>
          <c:val>
            <c:numRef>
              <c:f>Hoja1!$B$2:$B$4</c:f>
              <c:numCache>
                <c:formatCode>#,##0.00</c:formatCode>
                <c:ptCount val="3"/>
                <c:pt idx="0">
                  <c:v>659.05</c:v>
                </c:pt>
                <c:pt idx="1">
                  <c:v>939.87</c:v>
                </c:pt>
                <c:pt idx="2">
                  <c:v>1136.19</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(EUR) · precio actual 886,10</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Hoja1!$A$2:$A$10</c:f>
              <c:strCache>
                <c:ptCount val="9"/>
                <c:pt idx="0">
                  <c:v>Cotización 52 semanas (772,40 – 1.600,80)</c:v>
                </c:pt>
                <c:pt idx="1">
                  <c:v>Precio objetivo de los analistas (887,00 – 1.900,00)</c:v>
                </c:pt>
                <c:pt idx="2">
                  <c:v>Comparables: EV/EBITDA NTM (495,25 – 808,52)</c:v>
                </c:pt>
                <c:pt idx="3">
                  <c:v>Comparables: PER NTM (493,09 – 1.130,28)</c:v>
                </c:pt>
                <c:pt idx="4">
                  <c:v>Transacciones precedentes (EV/EBITDA) (610,84 – 855,72)</c:v>
                </c:pt>
                <c:pt idx="5">
                  <c:v>DCF (WACC y g ± 0,5) (876,09 – 1.018,72)</c:v>
                </c:pt>
                <c:pt idx="6">
                  <c:v>Escenarios (bajista – alcista) (659,05 – 1.136,19)</c:v>
                </c:pt>
                <c:pt idx="7">
                  <c:v>DCF con la prima implícita del mercado (4,2 %)</c:v>
                </c:pt>
                <c:pt idx="8">
                  <c:v>Precio actual (886,10)</c:v>
                </c:pt>
              </c:strCache>
            </c:strRef>
          </c:cat>
          <c:val>
            <c:numRef>
              <c:f>Hoja1!$B$2:$B$10</c:f>
              <c:numCache>
                <c:formatCode>#,##0</c:formatCode>
                <c:ptCount val="9"/>
                <c:pt idx="0">
                  <c:v>772.4</c:v>
                </c:pt>
                <c:pt idx="1">
                  <c:v>887</c:v>
                </c:pt>
                <c:pt idx="2">
                  <c:v>495.25</c:v>
                </c:pt>
                <c:pt idx="3">
                  <c:v>493.09</c:v>
                </c:pt>
                <c:pt idx="4">
                  <c:v>610.84</c:v>
                </c:pt>
                <c:pt idx="5">
                  <c:v>876.09</c:v>
                </c:pt>
                <c:pt idx="6">
                  <c:v>659.05</c:v>
                </c:pt>
                <c:pt idx="7">
                  <c:v>1097.02</c:v>
                </c:pt>
                <c:pt idx="8">
                  <c:v>881.67</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1"/>
            <c:invertIfNegative val="0"/>
            <c:bubble3D val="0"/>
            <c:spPr>
              <a:solidFill>
                <a:srgbClr val="C9C8C2"/>
              </a:solidFill>
            </c:spPr>
          </c:dPt>
          <c:dPt>
            <c:idx val="8"/>
            <c:invertIfNegative val="0"/>
            <c:bubble3D val="0"/>
            <c:spPr>
              <a:solidFill>
                <a:srgbClr val="C9C8C2"/>
              </a:solidFill>
            </c:spPr>
          </c:dPt>
          <c:cat>
            <c:strRef>
              <c:f>Hoja1!$A$2:$A$10</c:f>
              <c:strCache>
                <c:ptCount val="9"/>
                <c:pt idx="0">
                  <c:v>Cotización 52 semanas (772,40 – 1.600,80)</c:v>
                </c:pt>
                <c:pt idx="1">
                  <c:v>Precio objetivo de los analistas (887,00 – 1.900,00)</c:v>
                </c:pt>
                <c:pt idx="2">
                  <c:v>Comparables: EV/EBITDA NTM (495,25 – 808,52)</c:v>
                </c:pt>
                <c:pt idx="3">
                  <c:v>Comparables: PER NTM (493,09 – 1.130,28)</c:v>
                </c:pt>
                <c:pt idx="4">
                  <c:v>Transacciones precedentes (EV/EBITDA) (610,84 – 855,72)</c:v>
                </c:pt>
                <c:pt idx="5">
                  <c:v>DCF (WACC y g ± 0,5) (876,09 – 1.018,72)</c:v>
                </c:pt>
                <c:pt idx="6">
                  <c:v>Escenarios (bajista – alcista) (659,05 – 1.136,19)</c:v>
                </c:pt>
                <c:pt idx="7">
                  <c:v>DCF con la prima implícita del mercado (4,2 %)</c:v>
                </c:pt>
                <c:pt idx="8">
                  <c:v>Precio actual (886,10)</c:v>
                </c:pt>
              </c:strCache>
            </c:strRef>
          </c:cat>
          <c:val>
            <c:numRef>
              <c:f>Hoja1!$C$2:$C$10</c:f>
              <c:numCache>
                <c:formatCode>#,##0</c:formatCode>
                <c:ptCount val="9"/>
                <c:pt idx="0">
                  <c:v>828.4</c:v>
                </c:pt>
                <c:pt idx="1">
                  <c:v>1013</c:v>
                </c:pt>
                <c:pt idx="2">
                  <c:v>313.27</c:v>
                </c:pt>
                <c:pt idx="3">
                  <c:v>637.19</c:v>
                </c:pt>
                <c:pt idx="4">
                  <c:v>244.88</c:v>
                </c:pt>
                <c:pt idx="5">
                  <c:v>142.63</c:v>
                </c:pt>
                <c:pt idx="6">
                  <c:v>477.1400000000001</c:v>
                </c:pt>
                <c:pt idx="7">
                  <c:v>151.5999999999999</c:v>
                </c:pt>
                <c:pt idx="8">
                  <c:v>8.860000000000014</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30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Análisis de empresa cotizada — plantilla</dc:title>
  <dc:creator>analisis-inversion</dc:creator>
  <cp:lastModifiedBy>Un-named</cp:lastModifiedBy>
  <cp:revision>1</cp:revision>
  <dcterms:created xsi:type="dcterms:W3CDTF">2026-10-14T17:04:42.347Z</dcterms:created>
  <dcterms:modified xsi:type="dcterms:W3CDTF">2026-10-14T17:04:42.347Z</dcterms:modified>
</cp:coreProperties>
</file>

<file path=docProps/custom.xml><?xml version="1.0" encoding="utf-8"?>
<Properties xmlns="http://schemas.openxmlformats.org/officeDocument/2006/custom-properties" xmlns:vt="http://schemas.openxmlformats.org/officeDocument/2006/docPropsVTypes"/>
</file>