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Autotrader Group plc (antes Auto Trader Group plc)</w:t>
      </w:r>
    </w:p>
    <w:p>
      <w:pPr>
        <w:spacing w:after="60"/>
        <w:rPr>
          <w:color w:val="52514E"/>
          <w:sz w:val="22"/>
          <w:szCs w:val="22"/>
        </w:rPr>
      </w:pPr>
      <w:r>
        <w:rPr>
          <w:color w:val="52514E"/>
          <w:sz w:val="22"/>
          <w:szCs w:val="22"/>
        </w:rPr>
        <w:t xml:space="preserve">AUTO · London Stock Exchange (Main Market) · ISIN GB00BVYVFW23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4,89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5,20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+8,7 % (base +9,2 %)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6,83 GBP · mercado 7,69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3.754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Autotrader Group plc (antes Auto Trader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 / GB00BVYVFW23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Manchester · 1977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plc.autotrader.co.uk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 8,29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768,1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3.754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4.237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18,0 M GBP/día (3,6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5,20 GBP</w:t>
      </w:r>
      <w:r>
        <w:t xml:space="preserve"> frente a 4,89 · Rentabilidad a 12 meses </w:t>
      </w:r>
      <w:r>
        <w:rPr>
          <w:b/>
          <w:bCs/>
        </w:rPr>
        <w:t xml:space="preserve">+8,7 % (base +9,2 %)</w:t>
      </w:r>
      <w:r>
        <w:t xml:space="preserve"> · Valor intrínseco 6,83 GBP · con la prima implícita del mercado: 7,69 (+57,4 %) · Alcista / bajista +65,3 % / -24,5 %</w:t>
      </w:r>
    </w:p>
    <w:p>
      <w:pPr>
        <w:spacing w:after="100"/>
      </w:pPr>
      <w:r>
        <w:rPr>
          <w:b/>
        </w:rPr>
        <w:t xml:space="preserve">La recomendación y por qué.</w:t>
      </w:r>
      <w:r>
        <w:t xml:space="preserve"> Comprar, con convicción media. El valor objetivo es de 6,83 GBP, un 39,8 % por encima del precio de 4,887 GBP, y la rentabilidad total esperada a 12 meses es del 42,1 %. El alcista gana un 65,3 % y el bajista pierde un 24,5 %: asimetría de 2,67 veces. La razón en una frase: el precio descuenta que el portal dominante del Reino Unido deja de crecer, y nada en sus cifras lo muestra todavía. Los criterios del motor sugieren convicción alta; la bajamos a media porque la guía de FY2026 se incumplió, los ingresos de abril fueron planos y la caída de forecourts por Deal Builder aún no ha tocado fondo [2]. Subiría a alta si el 1S27 (5-nov-2026) muestra forecourts estables y la guía de 395-415 M confirmada; bajaría si los forecourts caen más de un 2 %.</w:t>
      </w:r>
    </w:p>
    <w:p>
      <w:pPr>
        <w:spacing w:after="100"/>
      </w:pPr>
      <w:r>
        <w:rPr>
          <w:b/>
        </w:rPr>
        <w:t xml:space="preserve">El negocio.</w:t>
      </w:r>
      <w:r>
        <w:t xml:space="preserve"> Auto Trader tiene más del 75 % de los minutos en portales de coches del Reino Unido, 11 veces su competidor más cercano [1]. Cobra una suscripción mensual a 13.942 forecourts y ha subido el ARPR de 1.546 a 2.995 GBP al mes en nueve años [2, 11]. El margen EBITDA es del 66 % y el ROIC del 50,9 %, más de cinco veces el WACC del 9,0 %. Su calidad sostiene el crecimiento del caso base (4,1 % anual) sin capital nuevo: sale del precio, como cada año desde FY2023 (+78-117 GBP al año), aunque los forecourts ya no suman [2, 3, 4].</w:t>
      </w:r>
    </w:p>
    <w:p>
      <w:pPr>
        <w:spacing w:after="100"/>
      </w:pPr>
      <w:r>
        <w:rPr>
          <w:b/>
        </w:rPr>
        <w:t xml:space="preserve">Finanzas.</w:t>
      </w:r>
      <w:r>
        <w:t xml:space="preserve"> Convierte en caja el 103 % del beneficio y casi no invierte: de FY2017 a FY2026 generó 2.238 M de flujo libre y devolvió 2.013 M en recompras y dividendos; las acciones diluidas bajaron un 13 % [2]. La deuda neta ajustada (con las recompras desde el balance) es de 529 M, 1,3 veces el EBITDA.</w:t>
      </w:r>
    </w:p>
    <w:p>
      <w:pPr>
        <w:spacing w:after="100"/>
      </w:pPr>
      <w:r>
        <w:rPr>
          <w:b/>
        </w:rPr>
        <w:t xml:space="preserve">Equipo y gobierno.</w:t>
      </w:r>
      <w:r>
        <w:t xml:space="preserve"> Suman, con matices. Consejo independiente que cumple el Código británico, remuneración aprobada con el 98,8 % y los ocho consejeros compraron acciones en mayo y junio a 4,43-4,90 GBP [1, 29, 35, 36, 37, 38]. Pero la dirección gestionó mal el lanzamiento de Deal Builder, incumplió la guía de FY2026 y no ha cubierto la salida de la directora de operaciones [2, 32].</w:t>
      </w:r>
    </w:p>
    <w:p>
      <w:pPr>
        <w:spacing w:after="100"/>
      </w:pPr>
      <w:r>
        <w:rPr>
          <w:b/>
        </w:rPr>
        <w:t xml:space="preserve">Valoración.</w:t>
      </w:r>
      <w:r>
        <w:t xml:space="preserve"> El DCF da 6,92 GBP (+41,6 %). El DCF inverso dice que el precio supone ingresos a la baja (−0,7 % anual hasta FY2034e) o un margen EBITDA del 49,5 %, frente al +4,1 % y el 67 % de nuestro caso base, que coincide con el consenso [56]. Cotiza a 10,3 veces el EBITDA, en el percentil 11 de su década (media de 17,1 veces), y con descuento sobre clasificados con menos margen: los comparables dan 5,80 GBP. Con la prima de riesgo que hoy pide el mercado (4,20 %), el valor objetivo sube a 7,69 GBP (+57,4 %). Discrepamos del mercado en la probabilidad de que la IA rompa el foso: hoy menos del 1 % del tráfico llega de asistentes de IA [1].</w:t>
      </w:r>
    </w:p>
    <w:p>
      <w:pPr>
        <w:spacing w:after="100"/>
      </w:pPr>
      <w:r>
        <w:rPr>
          <w:b/>
        </w:rPr>
        <w:t xml:space="preserve">Riesgos y catalizadores.</w:t>
      </w:r>
      <w:r>
        <w:t xml:space="preserve"> El mayor riesgo es la desintermediación por la IA o por Amazon Autos (el bajista: 3,69 GBP, −24,5 %), y el segundo, una salida lenta de concesionarios por Deal Builder: cada punto menos de crecimiento anual quita unos 0,47 GBP. La posición corta del 6,77 % dice que una parte del mercado apuesta por eso [53]; los foros, en cambio, la ven sobrevendida. Catalizadores: resultados del 1S27 el 5-nov-2026, el evento de precios de abril de 2027 y recompras de c. 500 M en FY2027 [2, 51].</w:t>
      </w:r>
    </w:p>
    <w:p>
      <w:pPr>
        <w:spacing w:after="100"/>
      </w:pPr>
      <w:r>
        <w:rPr>
          <w:b/>
        </w:rPr>
        <w:t xml:space="preserve">Qué cambiaría la decisión.</w:t>
      </w:r>
      <w:r>
        <w:t xml:space="preserve"> Seguiría siendo Comprar por debajo de 6,61 GBP y pasaría a Vender por encima de 7,81 GBP. Bajaríamos a Mantener si los forecourts del 1S27 caen más de un 2 % interanual, si la dirección rebaja la guía de FY2027 o si las visitas mensuales caen dos semestres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5,20 GBP</w:t>
      </w:r>
      <w:r>
        <w:t xml:space="preserve"> (rentabilidad +8,7 % (base +9,2 %)) · Valor intrínseco: 6,83 GBP (+39,8 % sobre 4,89) · con la prima implícita del mercado: 7,69 (+57,4 %)</w:t>
      </w:r>
    </w:p>
    <w:p>
      <w:pPr>
        <w:spacing w:after="100"/>
      </w:pPr>
      <w:r>
        <w:t xml:space="preserve">Auto Trader es el mercado de coches de segunda mano del Reino Unido: más del 75 % de los minutos en portales de coches y 11 veces la audiencia del segundo [1]. Ese dominio le da poder de precios: el ARPR casi se ha duplicado en nueve años, hasta 2.995 GBP al mes, con un margen EBITDA del 66 %, un ROIC del 50,9 % y una conversión de beneficio en caja del 103 % [2, 11].</w:t>
      </w:r>
    </w:p>
    <w:p>
      <w:pPr>
        <w:spacing w:after="100"/>
      </w:pPr>
      <w:r>
        <w:t xml:space="preserve">El precio de 4,887 GBP, un 41 % por debajo del máximo de 52 semanas, descuenta que eso se acaba: con nuestros márgenes, que los ingresos caigan un 0,7 % al año hasta FY2034e; con nuestro crecimiento, que el margen baje al 49,5 %. Cotiza a 10,3 veces el EBITDA, en el percentil 11 de su década y por debajo de clasificados con menos margen [7, 56, 57, 58, 59, 60, 61, 62, 63, 64]. La posición corta del 6,77 % es una apuesta explícita contra el foso [53].</w:t>
      </w:r>
    </w:p>
    <w:p>
      <w:pPr>
        <w:spacing w:after="100"/>
      </w:pPr>
      <w:r>
        <w:t xml:space="preserve">El mercado acierta en que el crecimiento se ha frenado (+3,9 % en FY2026) y en que el lanzamiento de Deal Builder dañó la relación con los concesionarios (−1,7 % de forecourts en el 2S26) [2]. Se equivoca al tratar ese frenazo como el principio del fin: la guía de FY2027 sigue dando un beneficio operativo de 395-415 M, la dirección compra acciones y la recompra retira un 13 % del capital al año a este precio. Para invertir hay que creer que el portal seguirá siendo el sitio donde se busca un coche usado en el Reino Unido durante los próximos cinco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0,36 = 3,45 · 11,2x × 0,47 = 5,22 · 14,6x × 0,50 = 7,31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(22x) es 2 veces el PER de hoy (11,2x);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(nuestro base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 / -24,5 %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9,0 %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42,1 %, asimetría de 2,67, bajista del -24,5 % y el precio descuenta 4,8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4,62 y 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5,90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7,81 GBP, pasaríamos a Vender.</w:t>
      </w:r>
    </w:p>
    <w:p>
      <w:pPr>
        <w:pStyle w:val="ListParagraph"/>
        <w:numPr>
          <w:ilvl w:val="0"/>
          <w:numId w:val="2"/>
        </w:numPr>
        <w:spacing w:after="60"/>
      </w:pPr>
      <w:r>
        <w:t xml:space="preserve">Si los forecourts del 1S27 caen más de un 2 % interanual, bajaríamos a Mantener.</w:t>
      </w:r>
    </w:p>
    <w:p>
      <w:pPr>
        <w:pStyle w:val="ListParagraph"/>
        <w:numPr>
          <w:ilvl w:val="0"/>
          <w:numId w:val="2"/>
        </w:numPr>
        <w:spacing w:after="60"/>
      </w:pPr>
      <w:r>
        <w:t xml:space="preserve">Si la dirección rebaja la guía de beneficio operativo de FY2027 (395-415 M), bajaríamos a Mantener.</w:t>
      </w:r>
    </w:p>
    <w:p>
      <w:pPr>
        <w:pStyle w:val="ListParagraph"/>
        <w:numPr>
          <w:ilvl w:val="0"/>
          <w:numId w:val="2"/>
        </w:numPr>
        <w:spacing w:after="60"/>
      </w:pPr>
      <w:r>
        <w:t xml:space="preserve">Si las visitas mensuales caen dos semestres seguidos, revisaríamos el caso base hacia el bajista.</w:t>
      </w:r>
    </w:p>
    <w:p>
      <w:pPr>
        <w:pStyle w:val="ListParagraph"/>
        <w:numPr>
          <w:ilvl w:val="0"/>
          <w:numId w:val="2"/>
        </w:numPr>
        <w:spacing w:after="60"/>
      </w:pPr>
      <w:r>
        <w:t xml:space="preserve">Si el 1S27 confirma la guía con forecourts estables, subiríamos la convicción a alta.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(asistentes de compra, agentes) y Amazon Autos van a quitarle a Auto Trader la búsqueda del coche, y que el rechazo a Deal Builder demuestra que ha agotado su poder de precios: ingresos a la baja y un múltiplo de portal en declive, como Cars.com o Hemnet.</w:t>
      </w:r>
    </w:p>
    <w:p>
      <w:pPr>
        <w:keepNext/>
        <w:spacing w:after="100"/>
      </w:pPr>
      <w:r>
        <w:rPr>
          <w:b/>
          <w:bCs/>
        </w:rPr>
        <w:t xml:space="preserve">Lo que creemos nosotros.</w:t>
      </w:r>
    </w:p>
    <w:p>
      <w:pPr>
        <w:spacing w:after="100"/>
      </w:pPr>
      <w:r>
        <w:t xml:space="preserve">El crecimiento será menor que en la década pasada (+4 % frente al 8 %), pero el foso sigue intacto: la audiencia es 11 veces la del segundo, el 67 % de sus usuarios no visita otros portales y menos del 1 % del tráfico llega de la IA [1, 2]. El conflicto de Deal Builder costó un 1,7 % de forecourts, no una huida.</w:t>
      </w:r>
    </w:p>
    <w:p>
      <w:pPr>
        <w:keepNext/>
        <w:spacing w:after="100"/>
      </w:pPr>
      <w:r>
        <w:rPr>
          <w:b/>
          <w:bCs/>
        </w:rPr>
        <w:t xml:space="preserve">Por qué podemos tener razón.</w:t>
      </w:r>
    </w:p>
    <w:p>
      <w:pPr>
        <w:spacing w:after="100"/>
      </w:pPr>
      <w:r>
        <w:t xml:space="preserve">Porque los datos que el mercado teme todavía no aparecen: visitas de 83,3 millones al mes en el 1S26, el ARPR sigue subiendo (+5 % en FY2026) y la guía de FY2027 se mantiene [2, 12]. Si la IA desintermediara el portal, se vería primero en las visitas y en los minutos, que publica cada semestre: es una tesis que se puede comprobar cada seis meses.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Dominio del mercado</w:t>
      </w:r>
      <w:r>
        <w:t xml:space="preserve">: más del 75 % de los minutos en portales de coches, 11 veces el segundo [1].</w:t>
      </w:r>
    </w:p>
    <w:p>
      <w:pPr>
        <w:pStyle w:val="ListParagraph"/>
        <w:numPr>
          <w:ilvl w:val="0"/>
          <w:numId w:val="2"/>
        </w:numPr>
        <w:spacing w:after="60"/>
      </w:pPr>
      <w:r>
        <w:rPr>
          <w:b/>
        </w:rPr>
        <w:t xml:space="preserve">Poder de precios</w:t>
      </w:r>
      <w:r>
        <w:t xml:space="preserve">: ARPR de 1.546 a 2.995 GBP al mes en nueve años [2, 11].</w:t>
      </w:r>
    </w:p>
    <w:p>
      <w:pPr>
        <w:pStyle w:val="ListParagraph"/>
        <w:numPr>
          <w:ilvl w:val="0"/>
          <w:numId w:val="2"/>
        </w:numPr>
        <w:spacing w:after="60"/>
      </w:pPr>
      <w:r>
        <w:rPr>
          <w:b/>
        </w:rPr>
        <w:t xml:space="preserve">Caja y rentabilidad</w:t>
      </w:r>
      <w:r>
        <w:t xml:space="preserve">: margen EBITDA del 66 %, ROIC del 50,9 % y conversión en caja del 103 %.</w:t>
      </w:r>
    </w:p>
    <w:p>
      <w:pPr>
        <w:pStyle w:val="ListParagraph"/>
        <w:numPr>
          <w:ilvl w:val="0"/>
          <w:numId w:val="2"/>
        </w:numPr>
        <w:spacing w:after="60"/>
      </w:pPr>
      <w:r>
        <w:rPr>
          <w:b/>
        </w:rPr>
        <w:t xml:space="preserve">Precio de crisis</w:t>
      </w:r>
      <w:r>
        <w:t xml:space="preserve">: 10,3 veces el EBITDA, en el percentil 11 de su década; el DCF inverso pide −0,7 % de crecimiento anual.</w:t>
      </w:r>
    </w:p>
    <w:p>
      <w:pPr>
        <w:pStyle w:val="ListParagraph"/>
        <w:numPr>
          <w:ilvl w:val="0"/>
          <w:numId w:val="2"/>
        </w:numPr>
        <w:spacing w:after="60"/>
      </w:pPr>
      <w:r>
        <w:rPr>
          <w:b/>
        </w:rPr>
        <w:t xml:space="preserve">Recompras y compras de consejeros</w:t>
      </w:r>
      <w:r>
        <w:t xml:space="preserve">: c. 500 M de recompras en FY2027 y los ocho consejeros compraron en mayo-junio [2, 35, 36, 37, 38].</w:t>
      </w:r>
    </w:p>
    <w:p>
      <w:pPr>
        <w:pStyle w:val="Heading2"/>
      </w:pPr>
      <w:r>
        <w:t xml:space="preserve">En contra</w:t>
      </w:r>
    </w:p>
    <w:p>
      <w:pPr>
        <w:pStyle w:val="ListParagraph"/>
        <w:numPr>
          <w:ilvl w:val="0"/>
          <w:numId w:val="2"/>
        </w:numPr>
        <w:spacing w:after="60"/>
      </w:pPr>
      <w:r>
        <w:rPr>
          <w:b/>
        </w:rPr>
        <w:t xml:space="preserve">Guía incumplida</w:t>
      </w:r>
      <w:r>
        <w:t xml:space="preserve">: ingresos de concesionarios +4 % en FY2026 frente al 5-7 % prometido, y abril de 2026 plano [2].</w:t>
      </w:r>
    </w:p>
    <w:p>
      <w:pPr>
        <w:pStyle w:val="ListParagraph"/>
        <w:numPr>
          <w:ilvl w:val="0"/>
          <w:numId w:val="2"/>
        </w:numPr>
        <w:spacing w:after="60"/>
      </w:pPr>
      <w:r>
        <w:rPr>
          <w:b/>
        </w:rPr>
        <w:t xml:space="preserve">Concesionarios molestos</w:t>
      </w:r>
      <w:r>
        <w:t xml:space="preserve">: −236 forecourts (−1,7 %) en el 2S26 por el lanzamiento de Deal Builder [2, 25].</w:t>
      </w:r>
    </w:p>
    <w:p>
      <w:pPr>
        <w:pStyle w:val="ListParagraph"/>
        <w:numPr>
          <w:ilvl w:val="0"/>
          <w:numId w:val="2"/>
        </w:numPr>
        <w:spacing w:after="60"/>
      </w:pPr>
      <w:r>
        <w:rPr>
          <w:b/>
        </w:rPr>
        <w:t xml:space="preserve">Riesgo de la IA y de Amazon Autos</w:t>
      </w:r>
      <w:r>
        <w:t xml:space="preserve">: el propio informe anual lo reconoce como riesgo principal [1].</w:t>
      </w:r>
    </w:p>
    <w:p>
      <w:pPr>
        <w:pStyle w:val="ListParagraph"/>
        <w:numPr>
          <w:ilvl w:val="0"/>
          <w:numId w:val="2"/>
        </w:numPr>
        <w:spacing w:after="60"/>
      </w:pPr>
      <w:r>
        <w:rPr>
          <w:b/>
        </w:rPr>
        <w:t xml:space="preserve">Posición corta del 6,77 %</w:t>
      </w:r>
      <w:r>
        <w:t xml:space="preserve">, de las más altas del FTSE 100 [53].</w:t>
      </w:r>
    </w:p>
    <w:p>
      <w:pPr>
        <w:pStyle w:val="ListParagraph"/>
        <w:numPr>
          <w:ilvl w:val="0"/>
          <w:numId w:val="2"/>
        </w:numPr>
        <w:spacing w:after="60"/>
      </w:pPr>
      <w:r>
        <w:rPr>
          <w:b/>
        </w:rPr>
        <w:t xml:space="preserve">Crecimiento maduro</w:t>
      </w:r>
      <w:r>
        <w:t xml:space="preserve">: el mercado de usados creció un 0,9 % anual en 2021-2025 [17].</w:t>
      </w:r>
    </w:p>
    <w:p>
      <w:pPr>
        <w:pStyle w:val="Heading2"/>
      </w:pPr>
      <w:r>
        <w:t xml:space="preserve">Qué tiene que pasar para que la tesis funcione</w:t>
      </w:r>
    </w:p>
    <w:p>
      <w:pPr>
        <w:spacing w:after="100"/>
      </w:pPr>
      <w:r>
        <w:t xml:space="preserve">La tesis depende de que los forecourts se estabilicen y el ARPR siga subiendo por encima de la inflación. La señal de que no ocurre sería un 1S27 (5-nov-2026) con forecourts por debajo de −2 % interanual, o una caída de las visitas mensuales desde los 83,3 millones del 1S26: sería el primer dato que confirma lo que el precio ya descuenta.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 medios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 (FY2026); −1,7 %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interanual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rechazo a Deal Builder se convierte en salida de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 GBP/mes (FY2026, +5 %)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poder de precios que el precio da por perdido.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millones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semestres seguidos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desintermediación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395-415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 de la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FY2026 se incumplió.</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 agregada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apuesta del mercado contra el foso.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Autotrader nació en 1977 como Thames Valley Trader, una revista regional de anuncios de coches fundada por John Madejski, Paul Gibbons y Peter Taylor, y adoptó la marca Auto Trader en 1988 [28]. Abrió su web en 1996 y, tras décadas de doble canal, publicó la última edición impresa en junio de 2013 [28]. Guardian Media Group la controló a través de Trader Media hasta que Apax la compró en enero de 2014 por 600 M GBP; salió a bolsa en Londres en marzo de 2015 [1, 28]. Desde entonces ha sumado negocios complementarios: datos de vehículos (KeeResources, 2019), subastas entre profesionales (Dealer Auction, empresa conjunta con Cox Automotive) y alquiler de coches nuevos (Autorama, 2022) [6, 8, 28]. En 2025 convirtió Deal Builder en parte de su oferta básica y en noviembre de ese año los concesionarios organizaron una campaña de bajas en redes sociales [1, 25]. Ya en 2011 hubo una petición de concesionarios contra una subida de tarifas [28]. En enero de 2026 pasó a llamarse Autotrader Group plc [1,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Thames Valley Trader, revista regional de anuncios clasificados de coches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cabeceras regionales se agrupan bajo la marca Auto Trader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Autotrader.co.uk, su primer mercado digital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 la última edición impresa en junio, tras 36 años, y queda como negocio solo digital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Apax Partners compra el negocio a Guardian Media Group por 600 M GBP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Londres en marzo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Dealer Auction, empresa conjunta con Cox Automotive para subastas de coches entre profesionales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KeeResources (octubre), su proveedor de datos de vehículos, para controlar la taxonomía de su plataforma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Ofrece anuncios gratis a los concesionarios en los confinamientos: el ARPR del ejercicio 2021 cae a 1.324 GBP al mes (2020: 1.949)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Acuerda en marzo la compra de Autorama (Vanarama), plataforma de alquiler de coches nuevos; la operación se cierra en el ejercicio 2023 [5,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Deal Builder pasa a formar parte de la oferta básica en mayo; en noviembre los concesionarios organizan una campaña de bajas en redes sociales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su nombre a Autotrader Group plc (14 de enero) y anuncia c.600 M GBP de retribución al accionista para el ejercicio 2027 [1,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Autotrader Group gestiona el mayor mercado digital de coches del Reino Unido. Su plataforma reúne a compradores (81,7 millones de visitas al mes y 548 millones de minutos mensuales en el ejercicio 2026) con una media de 13.942 puntos de venta de concesionarios (forecourts) que anuncian 451.000 coches en vivo [1]. Vende tres cosas: paquetes de anuncios y productos de visibilidad a concesionarios (Trade, 531,3 M GBP en 2026, de ellos Retailer 501,1 M, Home Trader 16,7 M y Other 13,5 M); servicios al consumidor, sobre todo anuncios de particulares y servicios de motor como seguros y financiación (Consumer Services, 38,8 M); y publicidad de marcas y agencias (Manufacturer &amp; Agency, 15,2 M) [1, 16]. Además vende datos, valoraciones y API a más de 220 socios tecnológicos (155 millones de llamadas al mes) y, a través de Autorama, intermedia el alquiler de coches nuevos (39,0 M de ingresos) [1]. Todo el negocio está en el Reino Unido; la sede está en Manchester.</w:t>
      </w:r>
    </w:p>
    <w:p>
      <w:pPr>
        <w:pStyle w:val="Heading2"/>
      </w:pPr>
      <w:r>
        <w:t xml:space="preserve">Cómo gana dinero</w:t>
      </w:r>
    </w:p>
    <w:p>
      <w:pPr>
        <w:spacing w:after="100"/>
      </w:pPr>
      <w:r>
        <w:t xml:space="preserve">El grueso de los ingresos es una suscripción mensual: los concesionarios contratan un paquete de anuncios según el número de coches que anuncian, con preaviso de 30 días y facturación mensual a mes vencido, y añaden productos de visibilidad y datos [1]. Los ingresos de Retailer son forecourts por ingreso medio por concesionario (ARPR, 2.995 GBP al mes en 2026, +5 %) [1, 16]. El ARPR crece por tres palancas: precio (+117 GBP en 2026), producto (+72 GBP) y volumen de coches pagados (−48 GBP) [16]. Casi todo el coste es fijo (personal, tecnología, marketing), así que el margen operativo del negocio Autotrader se mantiene en el 70 % (408,0 M GBP sobre 585,3 M) [1]. Los particulares pagan por adelantado anuncios de dos a seis semanas [1]. La estacionalidad es baja; la palanca de volumen depende del stock de coches usados que tengan los concesionarios.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Autotrader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(compra de Autorama)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Autotrader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(compra de Autorama)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auditor describe un gran volumen de transacciones sin concentración significativa, y los ingresos de concesionarios se reparten entre 13.942 forecourts de media en 2026 (14.013 en 2025, 13.783 en 2024) [1, 16]. Los contratos son mensuales con 30 días de preaviso, pero la base es estable porque más del 80 % de las visitas llega directo a Autotrader y su audiencia supone más del 75 % de los minutos en portales de coches [1]. El poder de precios se ve en el ARPR: de 1.546 GBP al mes en el ejercicio 2017 a 2.995 GBP en 2026, con +12 % en 2024, +5 % en 2025 y +5 % en 2026 [11, 16]. La subida de tarifas de abril bajó del 8 % en 2025 al 5,5 % en 2026 [27]. Para 2027 la empresa espera +85-95 GBP de la palanca precio y +65-75 GBP de producto, con −30-40 GBP de stock y forecourts un 1-2 % más bajos [16]. El límite apareció en noviembre de 2025: la campaña de concesionarios contra el despliegue acelerado de Deal Builder coincidió con 236 forecourts menos (−1,7 %) en el segundo semestre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 medios de concesionarios (número)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 menos (−1,7 %) en el segundo semestre del FY2026; guía FY2027: −1-2 %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ARPR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(+141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+117, producto +72, stock −48 GBP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precio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Evento anual de precios y producto del 1-abr-2025, con Co-Driver incluido; guía FY2027: 85-95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stock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stock de pago desde noviembre de 2025; guía FY2027: −30-40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producto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Co-Driver y más concesionarios de coche nuevo, con menor penetración de paquetes; guía FY2027: 65-75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Coches anunciados de media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Usados 428.000 (429.000) y nuevos 23.000 (20.000), con una oferta de stock gratuita al inicio del año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Minutos de uso al mes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9 millones de visitantes únicos al mes; más del 80 % de las visitas llegan directas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Vehículos entregados por Autorama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3.804 originados en Autotrader (976); comisión media por unidad 1.167 GBP (1.627)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publicidad digital de coches (sobre todo usados) en el Reino Unido: portales donde concesionarios y particulares anuncian vehículos y por los que pagan suscripciones o anuncios. No hay estadística pública de su tamaño en libras, así que el informe mide el mercado subyacente: las transacciones de coches usados que publica la SMMT con datos de la DVLA (7,81 millones en el año natural 2025) [17, 18], contrastadas con la serie de Autotrader en ejercicio a marzo (7,7 millones en los 12 meses a marzo de 2026, con 2,1 millones de matriculaciones nuevas) [1]. Se usa la serie de la SMMT por ser la fuente oficial y anual. La concentración se mide por cuota de minutos de audiencia en portales de coches (Comscore), que publica Autotrader [1,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7,81 millones de transacciones de coches usados en 2025 (+2,2 %) [18]; 7,7 millones en los 12 meses a marzo de 2026 según Autotrader [1]. Con 2,1 millones de matriculaciones nuevas, el mercado total se acerca a 10 millones de transacciones al año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transacciones de coches usados (año natural, SMMT))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compraventas de usados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7,81 millones de transacciones en 2025, tercer año de crecimiento (+2,2 %); en 2022 cayeron un 8,5 % hasta 6,89 millones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coches de 5-7 años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2,5 millones de matriculaciones perdidas en la pandemia llevan a una caída prevista del 17 % de la oferta de coches de 5-7 años en los dos próximos años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del parque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eléctricos usados crecieron un 45,7 % en 2025 hasta 274.815 (3,5 % del mercado) [18]; los eléctricos nuevos llegaron al 23,4 % de las matriculaciones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coches en línea (digital retailing)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operaciones enviadas por Deal Builder pasaron de 14.000 en 2024 a 137.000 en 2026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de compra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del 1 % de la audiencia de Autotrader llega desde asistentes de IA; la empresa usa más de 50 modelos de IA y ya tiene integración con ChatGPT vía MCP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de los concesionarios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limitó la subida de tarifas de 2026 al 5,5 % (8 % en 2025) citando el alza de costes laborales de los concesionarios tras los presupuestos [27]; forecourts −1,7 % en el segundo semestre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Autotrader tiene más del 75 % de los minutos en portales de coches y es 11 veces mayor en tiempo que su competidor más cercano (un grupo de cuatro marcas) y 22 veces mayor que CarGurus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14.000 forecourts muy fragmentados, pero capaces de organizarse: un grupo de protesta en Facebook reunió 1.900 miembros en noviembre de 2025 y la subida de tarifas bajó del 8 % al 5,5 % [25,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personal, nube y datos; Autotrader compró en 2019 a su proveedor de datos de vehículos (KeeResources) para controlar la taxonomía [1,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de audiencia es la barrera (6 veces más tiempo que todos sus rivales juntos), pero la empresa espera que Amazon lance Amazon Autos en el Reino Unido y vigila a grandes tecnológicas y redes sociales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agéntica podría desintermediar los portales o dirigir al comprador a los anuncios sin que el concesionario pague visibilidad; hoy menos del 1 % del tráfico viene de asistentes de IA [1].</w:t>
            </w:r>
          </w:p>
        </w:tc>
      </w:tr>
    </w:tbl>
    <w:p>
      <w:pPr>
        <w:spacing w:after="160" w:before="0"/>
      </w:pPr>
    </w:p>
    <w:p>
      <w:pPr>
        <w:pStyle w:val="Heading2"/>
      </w:pPr>
      <w:r>
        <w:t xml:space="preserve">Ciclo</w:t>
      </w:r>
    </w:p>
    <w:p>
      <w:pPr>
        <w:spacing w:after="100"/>
      </w:pPr>
      <w:r>
        <w:t xml:space="preserve">Las compraventas de usados llevan tres años creciendo y en 2025 alcanzaron 7,81 millones, aún por debajo del nivel previo a la pandemia que Autotrader sitúa cerca de 10 millones de transacciones totales [1, 18]. El crecimiento se frena (+1 % en los 12 meses a marzo de 2026) y la oferta de coches de 5-7 años caerá un 17 % [1]. En 2020 las transacciones bajaron a 6,75 millones y Autotrader regaló anuncios: su ARPR cayó a 1.324 GBP al mes en el ejercicio 2021 [7, 17]. En 2022 las transacciones cayeron un 8,5 % [17]. No hay datos citables de 2008-09 en las fuentes leídas.</w:t>
      </w:r>
    </w:p>
    <w:p>
      <w:pPr>
        <w:pStyle w:val="Heading2"/>
      </w:pPr>
      <w:r>
        <w:t xml:space="preserve">Regulación</w:t>
      </w:r>
    </w:p>
    <w:p>
      <w:pPr>
        <w:spacing w:after="100"/>
      </w:pPr>
      <w:r>
        <w:t xml:space="preserve">La ley de mercados digitales y consumidores (DMCC) dio a la CMA poderes directos de sanción: el 27 de marzo de 2026 abrió una investigación sobre reseñas en línea que incluye a Autotrader y a su moderador Feefo [1]. La FCA confirmó el 30 de marzo de 2026 un plan de compensación por comisiones en financiación de coches, paralizado tras recursos de varios prestamistas; Autotrader cree no tener responsabilidad directa [1]. Sus filiales reguladas por la FCA (intermediación de crédito en Deal Builder y alquiler) siguen el régimen de directivos y Consumer Duty [1]. El mandato ZEV, las ayudas a eléctricos de menos de 37.000 GBP y un impuesto por milla a eléctricos previsto para 2028 condicionan la oferta de coches [1].</w:t>
      </w:r>
    </w:p>
    <w:p>
      <w:pPr>
        <w:pStyle w:val="Heading2"/>
      </w:pPr>
      <w:r>
        <w:t xml:space="preserve">Tendencias y disrupción</w:t>
      </w:r>
    </w:p>
    <w:p>
      <w:pPr>
        <w:spacing w:after="100"/>
      </w:pPr>
      <w:r>
        <w:t xml:space="preserve">La compra se digitaliza: Deal Builder permite valorar el coche usado, pedir financiación y reservar en línea, y sus operaciones pasaron de 14.000 a 137.000 en dos años [16]. La IA generativa cambia la búsqueda: Autotrader lanzó búsqueda por lenguaje natural, descripciones automáticas Co-Driver (2,7 millones generadas) e integración con ChatGPT por MCP, mientras menos del 1 % de su tráfico viene de asistentes de IA [1, 16]. La empresa considera la IA agéntica un riesgo de desintermediación [1]. Entran marcas chinas y crece el eléctrico (23,4 % de las matriculaciones nuevas) [1]. Amazon prepara Amazon Autos en el Reino Unido [1]. Autotrader gana si se mantiene como fuente de datos de referencia; pierde si los agentes de IA capturan la relación con el comprador.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portal de coches del Reino Unido por audiencia: más del 75 % de los minutos en portales de coches, 11 veces el tiempo de su competidor más cercano y 6 veces el de todos sus rivales principales juntos [1]. En alquiler de coches nuevos (Autorama) es un actor menor, con 39,0 M GBP de ingresos y pérdidas operativas de 2,0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 (CarGurus UK y PistonHeads)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2025: 907,0 M USD, de ellos 79,7 M fuera de EE. UU. (Reino Unido y Canadá); 8.360 concesionarios de pago internacionales [19]. En el Reino Unido Autotrader le supera 22 veces en minutos y 74 veces a PistonHeads [16]. Cuota: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Motors.co.uk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Portal de anuncios para concesionarios; Autotrader le supera 47 veces en minutos [16]. Sin cuentas leídas. Cuota: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eBay y Gumtree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Clasificados generalistas con fuerte peso del particular; Autotrader les supera 41 veces (eBay) y 25 veces (Gumtree) en minutos [16]. Cuota conjunta: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Carwow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Comparador de coches nuevos y de venta de coches usados a concesionarios; Autotrader le supera 66 veces en minutos [16]. Privada, sin cuentas leídas.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de portal de coches en EE. UU.: ingresos de 723,2 M USD y beneficio operativo de 60,3 M en 2025 [20]. No opera en el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 (carsales)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ingresos 1.253 M AUD, EBITDA proforma 700 M y amortizaciones 101 M [21]. Margen EBIT proforma (antes de partidas significativas). No opera en el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RMV.L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Clasificado inmobiliario de referencia: ingresos 425,1 M GBP y beneficio operativo de 287,9 M en 2025 (subyacente 297,7 M, 70 %); ARPA 1.621 GBP al mes (+6 %)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Scout24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G24.DE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Clasificado inmobiliario alemán: ingresos 649,6 M EUR, EBITDA 341,3 M y EBIT 291,7 M en 2025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veces más tiempo que todos sus rivales principales juntos, 67 % de su audiencia no visita otros portales y 451.000 coches en vivo; la ventaja frente al competidor más cercano pasó de 10 a 11 veces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mensuales con 30 días de preaviso, pero datos y API integrados en los sistemas de los clientes (155 millones de llamadas al mes, 220 socios); la campaña de bajas de noviembre de 2025 dejó menos de 100 bajas o rebajas según el CEO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las visitas llega directo (app, URL o búsqueda de la marca) y solo el 4 % de tráfico pagado; marca con casi 50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70 % en Autotrader frente al 26,9 % de CarGurus y el 8,3 % de Cars.com; marketing de solo 21,9 M GBP (3,5 % de los ingresos)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nacional de unos 14.000 forecourts donde el segundo actor por minutos es 22 veces menor; los rivales internacionales (CarGurus) solo facturan 79,7 M USD fuera de EE. UU. [1, 2, 5].</w:t>
            </w:r>
          </w:p>
        </w:tc>
      </w:tr>
    </w:tbl>
    <w:p>
      <w:pPr>
        <w:spacing w:after="160" w:before="0"/>
      </w:pPr>
    </w:p>
    <w:p>
      <w:pPr>
        <w:pStyle w:val="Heading2"/>
      </w:pPr>
      <w:r>
        <w:t xml:space="preserve">Amenazas</w:t>
      </w:r>
    </w:p>
    <w:p>
      <w:pPr>
        <w:spacing w:after="100"/>
      </w:pPr>
      <w:r>
        <w:t xml:space="preserve">Tres amenazas con hechos. La primera, los propios clientes: el despliegue obligatorio de Deal Builder, con reserva por 99 GBP y un botón que sustituía a «Mensaje», generó en noviembre de 2025 una campaña de bajas y 236 forecourts menos en el semestre, y la subida de tarifas bajó al 5,5 % [1, 25, 27]. La segunda, la IA agéntica: la empresa reconoce el riesgo de que los asistentes desintermedien el portal o lleven al comprador al anuncio sin que el concesionario pague visibilidad, aunque hoy aporta menos del 1 % del tráfico [1]. La tercera, un entrante con capital: la empresa espera que Amazon lance Amazon Autos en el Reino Unido [1]. Los rivales actuales están lejos: ninguno supera la vigésima parte del tiempo de Autotrader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8,0 %</w:t>
      </w:r>
      <w:r>
        <w:t xml:space="preserve">, EBITDA </w:t>
      </w:r>
      <w:r>
        <w:rPr>
          <w:b/>
          <w:bCs/>
        </w:rPr>
        <w:t xml:space="preserve">7,7 %</w:t>
      </w:r>
      <w:r>
        <w:t xml:space="preserve">, BPA </w:t>
      </w:r>
      <w:r>
        <w:rPr>
          <w:b/>
          <w:bCs/>
        </w:rPr>
        <w:t xml:space="preserve">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311,4 M en el FY2017 a 624,3 M en el FY2026 [2, 11]. El FY2021 no es comparable: los descuentos a concesionarios por la COVID-19 hundieron el ARPR un 32 % hasta 1.324 GBP y los ingresos un 29 % [7]; el FY2022 recuperó (+65 %) y el margen operativo volvió al 70 % [6]. Desde el FY2023 el grupo incluye Autorama, un negocio de alquiler de coches nuevos con margen negativo y coste de ventas de vehículos (15,7-29,9 M al año), que diluye el margen operativo del grupo hasta el 63 % frente al ~70 % de Autotrader [2, 4].</w:t>
      </w:r>
    </w:p>
    <w:p>
      <w:pPr>
        <w:spacing w:after="100"/>
      </w:pPr>
      <w:r>
        <w:t xml:space="preserve">El crecimiento del FY2026 (+4 %) se apoyó en el ARPR (+5 %, 2.995 GBP al mes), con el precio aportando 117 GBP, el producto 72 GBP y el stock restando 48 GBP; los forecourts medios bajaron un 0,5 % hasta 13.942 [2]. El segundo semestre creció un 3 % y el cuarto trimestre menos, por la reacción de los concesionarios al despliegue de Deal Builder [2]. Desde el FY2025 el impuesto británico sobre servicios digitales se presenta aparte (10,2 M y 10,6 M) [2, 3]. El tipo impositivo saltó del 19 % al 25 % desde el FY2024 [4].</w:t>
      </w:r>
    </w:p>
    <w:p>
      <w:pPr>
        <w:pStyle w:val="Heading2"/>
      </w:pPr>
      <w:r>
        <w:t xml:space="preserve">Ajustes y partidas no recurrentes</w:t>
      </w:r>
    </w:p>
    <w:p>
      <w:pPr>
        <w:spacing w:after="100"/>
      </w:pPr>
      <w:r>
        <w:t xml:space="preserve">Se usan cifras reportadas. El EBITDA es el beneficio operativo más amortizaciones y depreciaciones (incluida la de derechos de uso); incluye el 49 % de Dealer Auction por el método de la participación (participadas_en_ebitda, 0,9-4,1 M al año) [2]. Partidas no recurrentes dentro del EBITDA: el pago diferido de 49,9 M por Autorama, condicionado a la permanencia de los vendedores y por eso registrado como gasto de personal en costes centrales: 38,8 M en el FY2023 y 11,1 M en el FY2024 [4]. Fuera del resultado operativo: plusvalías por venta de filiales de 8,7 M (FY2019) y 19,1 M (FY2023), incluidas en el resultado financiero de la tabla para que cuadre con el beneficio antes de impuestos [4, 8]. La amortización de intangibles de Autorama (13,3 M en el FY2026) es recurrente hasta su vencimiento y se queda en el EBIT [2]. El FY2017 tuvo 369 días y el FY2018, 365 [10]. FY2017-FY2018 sin NIIF 16; FY2019 reexpresado con NIIF 16 en las cuentas del FY2020 [8, 10]. La cuenta se presenta como costes operativos por naturaleza (personal, marketing, coste de vehículos, otros), sin coste de ventas ni gastos generales por función: formato «naturaleza», con coste_ventas = coste de los vehículos de Autorama.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resultados del primer semestre (6-nov-2025) la dirección mantuvo la guía del año y puso el foco en la IA: Co-Driver, lanzado en el evento de precios del 1-abr-2025, y una cartera de productos de IA sobre sus datos propios; reconoció que el 18 % de su audiencia llega por búsqueda orgánica y que los asistentes de IA serán una interfaz alternativa [12]. Deal Builder ganó unos 2.000 concesionarios en el semestre, hasta más de 4.000 [12].</w:t>
      </w:r>
    </w:p>
    <w:p>
      <w:pPr>
        <w:spacing w:after="100"/>
      </w:pPr>
      <w:r>
        <w:t xml:space="preserve">En los resultados anuales (21-may-2026) el discurso cambió: el crecimiento del segundo semestre se quedó en el 3 %, el cuarto trimestre fue más flojo y la dirección atribuyó parte a la reacción de los concesionarios a la velocidad y la forma del despliegue de Deal Builder; pausó el despliegue automático, abrió sesiones de escucha y grupos asesores de clientes e introdujo «request a reservation» antes de retomarlo [2]. Los ingresos de concesionarios crecieron un 4 % frente a la guía de 5-7 % dada en mayo de 2025 [2, 3]. El consejo afirmó que la cotización no refleja los fundamentales y anunció c. 600 M de retorno en el FY2027 (c. 500 M en recompras), con apalancamiento de hasta c. 1,0x [2]. Para el FY2027 avanzó ingresos de Autotrader planos en abril, recuperación en el segundo semestre y beneficio operativo de 395-415 M [2]. También insistió en que menos del 1 % de la audiencia llega desde asistentes de IA generativa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(FY2023: Autorama (Vanarama), comprada el 22-jun-2022 por 150 M en caja más 50 M diferidos en acciones: consolida unos nueve meses y medio del ejercicio [4, 5]. Venta de la filial irlandesa con una plusvalía de 19,1 M, fuera del resultado operativo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Tras la salida a bolsa de 2015 el grupo llegó con 363 M de deuda bruta y patrimonio negativo en el FY2017, fruto de la reserva de reorganización de −1.060,8 M [10]. La ampliación de capital de 183,2 M de la COVID-19 en el FY2021 y la caja generada llevaron a caja neta en el FY2022 [6, 7]. La compra de Autorama (FY2023) se financió en parte con el RCF (60 M dispuestos) y en el FY2025 la deuda bancaria volvió a cero [3, 4]. En el FY2026 la empresa aceleró las recompras y dispuso 165 M; la deuda bancaria neta fue de 146,8 M y el apalancamiento de 0,3x [2]. El circulante es negativo y estable: clientes de 82,1 M frente a acreedores de 60,1 M, con existencias mínimas (4,3 M de vehículos de Autorama) [2]. El patrimonio cayó de 569,4 M a 407,1 M en el FY2026 por las amortizaciones de acciones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2.238</w:t>
      </w:r>
      <w:r>
        <w:t xml:space="preserve">, conversión </w:t>
      </w:r>
      <w:r>
        <w:rPr>
          <w:b/>
          <w:bCs/>
        </w:rPr>
        <w:t xml:space="preserve">103 %</w:t>
      </w:r>
      <w:r>
        <w:t xml:space="preserve"> del beneficio neto; adquisiciones 221, dividendos 615, recompras 1.398.</w:t>
      </w:r>
    </w:p>
    <w:p>
      <w:pPr>
        <w:spacing w:after="100"/>
      </w:pPr>
      <w:r>
        <w:t xml:space="preserve">La conversión en caja es muy alta y estable: el efectivo generado por las operaciones fue de 418,0 M en el FY2026, un 106 % del beneficio operativo, con circulante casi neutro [2]. El flujo operativo es después de impuestos (95,2 M pagados en el FY2026) y los intereses bancarios se pagan en financiación [2]. El capex de mantenimiento es mínimo: 1,4-4,0 M al año entre el FY2019 y el FY2025 [3, 4, 6, 7, 8]; el FY2026 sube a 27,4 M por el acondicionamiento de la nueva sede de Manchester (25,1 M, no recurrente), compensado en parte por 4,5 M de ventas de inmovilizado, entre ellas la oficina de Hemel Hempstead [2]. Las compras de intangibles son casi nulas (0,1 M en el FY2026), sin capitalización significativa de desarrollo. El FY2021 es anómalo por la COVID-19 (124,7 M) y la ampliación de capital de 183,2 M [7]. Las adquisiciones del FY2023 (153,6 M) son Autorama (144,2 M netos de caja), un pago aplazado de una compra anterior (8,1 M) y 1,3 M en participaciones [4]. Los dividendos de Dealer Auction (4,9 M en el FY2026) van en inversión, no en el flujo operativo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al grupo desde el FY2017; tras un concurso obligatorio, el consejo lo volvió a nombrar para el FY2027 y el socio responsable rotó en 2025 [1, 2]. La opinión del FY2026 es favorable, con dos asuntos clave: la recuperabilidad del fondo de comercio de Autorama y el reconocimiento de ingresos de concesionarios, que el auditor considera de bajo riesgo por el gran número de transacciones pequeñas [1]. El fondo de comercio de Autorama (92,5 M) solo tiene 16,8 M de holgura y depende de que las entregas de coches crezcan un 44 % anual durante cinco años; con un 40 % la holgura desaparece [1]. No hay capitalización relevante de desarrollo (intangibles comprados por 0,1 M en el FY2026) [2]. Los pagos en acciones fueron de 9,2 M (3,1 % del beneficio) y la empresa prevé 14 M en el FY2027 [2]. El impuesto pagado (95,2 M) coincide con el contable (94,9 M) [2]. El pago diferido de Autorama (49,9 M) se llevó a resultados como gasto de personal en FY2023-FY2024, lo que penaliza esos dos años [4]. El patrimonio es bajo por una reserva de reorganización de −1.060,8 M heredada de la salida a bolsa, no por pérdidas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Autorama con poca holgura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de 16,8 M sobre un valor contable de 118,1 M; el escenario combinado de la empresa daría un deterioro de 30,3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diferido de compra registrado como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38,8 M (FY2023) y 11,1 M (FY2024) en costes centrales; ya terminado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M en el FY2026 y c. 14 M previstos en el FY2027, un 2 % de los ingresos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regulatorias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CMA sobre opiniones de consumidores (marzo de 2026) sin provisión; la empresa dice no tener exposición directa al plan de compensación de la FCA por financiación de coches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reducido por la reserva de reorganización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de −1.060,8 M de la salida a bolsa; distorsiona el ROE y el Altman Z, no la solvencia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54,3 % · </w:t>
      </w:r>
      <w:r>
        <w:rPr>
          <w:b/>
          <w:bCs/>
        </w:rPr>
        <w:t xml:space="preserve">WACC</w:t>
      </w:r>
      <w:r>
        <w:t xml:space="preserve">: 9,0 %.</w:t>
      </w:r>
    </w:p>
    <w:p>
      <w:pPr>
        <w:spacing w:after="100"/>
      </w:pPr>
      <w:r>
        <w:rPr>
          <w:b/>
        </w:rPr>
        <w:t xml:space="preserve">Auto Trader crea valor como pocas empresas cotizadas.</w:t>
      </w:r>
      <w:r>
        <w:t xml:space="preserve"> El ROIC después de impuestos ha estado entre el 46 % y el 56 % todos los años de la década salvo FY2021, cuando bajó al 29,4 % por los meses de anuncios gratis del confinamiento; en FY2026 fue del 50,9 %, más de cinco veces el WACC del 9,0 %. Lo sostiene el margen, no la rotación: un 66 % de EBITDA con un capital invertido de unos 600 M, casi todo fondo de comercio de la compra de 2014 [1, 2]. El negocio apenas necesita capital: el capex normal es el 0,6-0,7 % de las ventas y el circulante, el 4-5 %. La única inversión que no ha rendido es Autorama, con 92,5 M de fondo de comercio y pérdidas en los cuatro años [1, 2]. Entre los clasificados, solo Rightmove tiene un margen mayor (72 % frente a 66 %) [58].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18,2 M y crédito sindicado revolvente (RCF) de 200 M con 165 M dispuestos a 31-mar-2026; el 15-may-2026 se activó el acordeón de 100 M y la línea quedó en 300 M, toda con vencimiento en febrero de 2030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del RCF: deuda bancaria neta / EBITDA no superior a 3,5x y EBITDA / intereses netos no inferior a 3,0x; apalancamiento de 0,3x a marzo de 2026, con holgura amplia, y la empresa prevé c. 1,0x tras las recompras del FY2027 [2]. Margen del RCF: SONIA más 1,2-2,1 % según el apalancamiento [2]. Arrendamientos de 42,6 M, casi todos de la nueva sede de Circle Square en Manchester (pasivo inicial de 40,1 M en junio de 2025) [2]. Préstamo de financiación de stock de vehículos de Autorama (intereses de 0,3 M), fuera de la deuda bancaria neta [2]. Superávit de pensiones de prestación definida pequeño (0,2 M en el FY2025, cero en el FY2026) [2]. Pasivos contingentes: investigación de la CMA sobre opiniones de consumidores (27-mar-2026) y plan de compensación de la FCA por comisiones de financiación de coches, sin exposición directa según la empresa [2].</w:t>
      </w:r>
    </w:p>
    <w:p>
      <w:pPr>
        <w:pStyle w:val="Heading1"/>
      </w:pPr>
      <w:r>
        <w:t xml:space="preserve">12. Asignación de capital</w:t>
      </w:r>
    </w:p>
    <w:p>
      <w:pPr>
        <w:pStyle w:val="Confianza"/>
        <w:spacing w:after="100"/>
      </w:pPr>
      <w:r>
        <w:t xml:space="preserve">Confianza: Alta</w:t>
      </w:r>
    </w:p>
    <w:p>
      <w:pPr>
        <w:spacing w:after="100"/>
      </w:pPr>
      <w:r>
        <w:t xml:space="preserve">La prioridad declarada es invertir en el negocio y devolver aproximadamente un tercio del beneficio neto en dividendos; el resto se recompra [2]. En el FY2026 devolvió 463,2 M: 94,1 M en dividendos y 369,1 M en 58,5 M de acciones (6,6 % del capital) a un precio medio de 630,1 p, financiadas en parte con 165 M del RCF [2]. Para el FY2027 prevé devolver c. 600 M (c. 500 M en recompras y un tercio del beneficio en dividendos), con un apalancamiento de c. 1,0x, y pidió en la junta de 2026 autorización para recomprar hasta el 15 % del capital [2]. El dividendo final propuesto es de 7,8 p (11,6 p en el año, +9 %) [2]. Casi todas las acciones recompradas se amortizan; una parte va a autocartera para los planes de empleados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Trade Delivery (mercado de transporte de vehículos entre profesionales)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Autotrader; sin deterioro publicado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49 % de Dealer Auction (empresa conjunta con Cox Automotive)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M en caja y aportación del negocio Smart Buying</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la participada de 4,1 M y dividendos de 4,9 M en el FY2026; valor contable de 46,6 M [2,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KeeResources (datos de vehículos)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de datos integrado en la plataforma; sin deterioro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AutoConvert (plataforma de financiación de coches)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1,1 M de ingresos en el FY2021; integrado en Autotrader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Autorama (Vanarama), alquiler de vehículos nuevos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M en caja (en parte con el RCF) y 50 M diferidos en acciones condicionados a permanencia (49,9 M pagados)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del plan: pérdidas operativas de 11,2 M, 8,8 M, 4,3 M y 2,0 M en FY2023-FY2026, más 13,3 M anuales de amortización de intangibles; holgura de su fondo de comercio de solo 16,8 M [1, 2, 4]. En el año natural 2021 tenía un EBITDA negativo de 6 M [6].</w:t>
            </w:r>
          </w:p>
        </w:tc>
      </w:tr>
    </w:tbl>
    <w:p>
      <w:pPr>
        <w:spacing w:after="160" w:before="0"/>
      </w:pPr>
    </w:p>
    <w:p>
      <w:pPr>
        <w:spacing w:after="100"/>
      </w:pPr>
      <w:r>
        <w:t xml:space="preserve">Entre el FY2017 y el FY2026 la empresa recompró acciones por unos 1.398 M y pagó dividendos por unos 615 M, frente a unos 220 M pagados en caja por compras de empresas [2, 3, 4, 5, 6, 7, 8, 9, 10, 11]. Las acciones diluidas bajaron de 991,8 millones a 862,7 millones (−13 %) pese a la ampliación de 2020 [2, 11]. La ampliación de 183,2 M a 400 p en la COVID-19 se recompró después a precios más altos (673,0 p de media en el FY2024 y 630,1 p en el FY2026) [2, 4, 7]. Las compras pequeñas de datos y tecnología encajaron; la mayor, Autorama, no ha dado beneficio en cuatro años [2,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Nathan Coe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Auto Trader en 2007 para dirigir el paso de revista a negocio digital; consejero desde abril de 2017 como director de operaciones y financiero desde julio de 2017, y CEO desde el 1 de marzo de 2020. Antes, fusiones y adquisiciones en Telstra y consultor en PwC [1]. Entre FY2020 y FY2026 los ingresos del grupo pasaron de 368,9 a 624,3 M GBP (con la compra de Autorama) y el beneficio operativo de 258,9 a 392,7 M; el ARPR, de 1.949 a 2.995 GBP al mes [2, 8]. Tiene 3.519.827 acciones con su cónyuge (0,452 % según el aviso de agosto de 2026), equivalentes al 2.255 % de su salario a 31-mar-2026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Warner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Auto Trader desde 2012 en finanzas comerciales, información financiera, precios y relación con inversores; director financiero adjunto y designado antes de su nombramiento en marzo de 2020. Antes fue corredor de derivados de fletes en GFI y trabajó en una empresa emergente (Swapit). Contable colegiado (CIMA) [1]. Su participación (153.406 acciones a 31-mar-2026, más 4.377 compradas y 36.453 retenidas en 2026) es una estimación propia sobre 768,0 M de derechos de voto [1, 36, 40,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Davies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designado desde el 1 de julio de 2023 y presidente desde la junta de septiembre de 2023. Antes, consejero delegado de Tesco UK &amp; ROI (2015-2018) y de Pets at Home y Halfords; preside Greggs plc y Travel Counsellors; expresidente de N Brown. Contable colegiado [1]. Ha comprado unas 16.277 acciones en el mercado en mayo y junio de 2026 (unos 75.000 GBP) [35, 37, 38]. El consejo ya ha aprobado prorrogar su mandato hasta el 30-jun-2029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Faiers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operaciones (COO), salida en diciembre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años en Auto Trader; anunció el 31-oct-2025 que dejaba la compañía para ser consejera delegada de otra cotizada británica (Moonpig plc). Salió del consejo el 9-dic-2025 y de la plantilla el 27-feb-2026 [1, 32, 33]. Sin indemnización por cese y sin trato de good leaver: sus PSP y bonos diferidos de 2023-2025 caducaron [1]. No se ha nombrado sustituto directo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Claire Baty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del consejo y directora de Gobierno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Auto Trader desde julio de 2015; responsable de gobierno corporativo, servicios jurídicos, cumplimiento normativo, compras y gestión de riesgos. Antes, secretaria adjunta del consejo de Betfair Group y secretaria del consejo de Centaur Media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2021: ARPR con crecimiento de un dígito alto sobre FY2020 (1.949 GBP al mes), margen operativo en línea con FY2020 (70 %) y concesionarios en línea con FY2020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de 2.210 GBP (+13 % sobre FY2020), margen operativo del 70 % y 13.964 concesionarios de media (+5 %)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2022: buen año de ARPR, con la palanca de producto por encima de 2021 y por debajo de 2022, precio similar al año anterior, stock plano, concesionarios ligeramente a la baja y margen del 70 %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+10 % (2.437 GBP): producto 137 GBP (2022: 121), precio 90 GBP (74), stock plano; 13.913 concesionarios (2022: 13.964); margen de Auto Trader del 70 %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junio de 2023: ARPR con un crecimiento similar al de FY2023 (+10 %), producto en torno a 137 GBP, precio algo por encima de 90 GBP, stock plano; margen de Auto Trader del 70 %; reducir las pérdidas de Autorama (15 M GBP anualizadas); costes centrales de unos 18 M GBP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+12 % (2.721 GBP): producto 136, precio 114 y stock +34 GBP; margen del 71 %; pérdida de Autorama de 8,8 M GBP; costes centrales de 21,1 M GBP, por encima de lo previsto [3,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2024: palancas del ARPR de +90-100 GBP (precio), +120-130 GBP (producto) y +20-40 GBP (stock); concesionarios ligeramente a la baja; margen de Auto Trader del 69 % con el impuesto digital (DST); menores pérdidas en Autorama [4]. En noviembre de 2024 rebajó el stock a ligeramente negativo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+5 % (+133 GBP): precio +78, producto +77 y stock −22 GBP; concesionarios +2 % (14.013); margen de Auto Trader del 70 %; pérdida de Autorama de 4,3 M GBP [2,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mayo de 2025, mantenida en noviembre de 2025: ingresos de concesionarios +5-7 %; palanca de precio de +90-100 GBP y de producto de +70-80 GBP; stock ligeramente negativo; Consumer Services y Manufacturer &amp; Agency estables; margen de Auto Trader mantenido; menores pérdidas en Autorama [3,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concesionarios +4 % (501,1 M GBP); precio +117, producto +72 y stock −48 GBP; Consumer Services −8 %; concesionarios −0,5 % (13.942); margen de Auto Trader del 70 %; pérdida de Autorama de 2,0 M GBP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y formado en casa: Nathan Coe es consejero delegado desde 2020 y lleva en la empresa desde 2007; Jamie Warner, director financiero desde 2020, desde 2012 [1]. La guía anual se cumplió de FY2022 a FY2024. Después se quedó corta: en FY2025 fallaron las palancas del ARPR (+133 GBP frente a los +230-270 previstos) y en FY2026 los ingresos de concesionarios crecieron un 4 % frente al 5-7 % de la guía, que se había mantenido en noviembre [2, 3, 4, 12]. La salida de la directora de operaciones (diciembre de 2025) no se ha cubierto con un relevo directo. La propia evaluación del consejo pide una planificación de la sucesión ejecutiva más estructurada, también para emergencias [1]. Para FY2027 la dirección guía un beneficio operativo de 395-415 M GBP [2].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Davies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Nathan Coe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Warner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Geeta Gopalan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(SID)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Auditoría,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James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Remuneración,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Jasvinder Gakhal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Megan Quinn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 (presidenta), 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Adam Jay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 Responsabilidad Corporativa,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0,32 / ventas 0,51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8,27 % en acciones y 1,65 % en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10,36 % antes de sep-2025; 9,95 % (23-sep-2025); 10,00 % (11-may-2026); 9,92 % (28-may-2026) [1, 44,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 Limited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 en febrero de 2026 (5,12 %); máximo del 5,42 %; baja al 4,76 % en mayo de 2026 y vuelve al 5,27 % (16-sep-2026) [1,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Oscila en torno al 5 % (5,05 % en oct-2025; 4,99 % en abr-2026; 5,05 % en jun-2026); 4,96 % (24-jul-2026) [1,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3 % el 22-may-2026 (24.885.477 acciones)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5.501.335 acciones en autocartera sobre 773.509.507 emitidas a 30-sep-2026; 58,5 M de acciones recompradas en FY2026 (6,65 %), la mayoría amortizadas [1, 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Amanda James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Jamie Warner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Nathan Coe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Geeta Gopalan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Jasvinder Gakhal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Adam Jay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Megan Quinn (consejera, con su cónyuge)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Nathan Coe (CEO), venta para impuestos al ejercer PSP 2023 y bono diferido 2024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Jamie Warner (CFO), venta para impuestos al ejercer PSP 2023 y bono diferido 2024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Bonus anual (máximo del 150 % del salario del CEO): 75 % beneficio operativo y 25 % hitos estratégicos. En FY2026 pagó el 39,7 % del máximo: 392,7 M GBP de beneficio frente a un umbral de 380 M y un máximo de 415 M, más la mitad del tramo de Deal Builder pese a las quejas de los concesionarios [1]. PSP (250 % del salario): 70 % crecimiento del BPA (7-13 % anual en el plan de 2025, 6-12 % en el de 2026), 20 % ingresos y 10 % indicadores culturales; no mide ROIC, TSR ni caja. El plan de 2023 consolidó el 44,6 % [1]. Recuperación de 3 años (bonus) y 6 años (PSP), dos años de tenencia y acciones por el 200 % del salario. La COO salió sin indemnización [1].</w:t>
      </w:r>
    </w:p>
    <w:p>
      <w:pPr>
        <w:pStyle w:val="Heading2"/>
      </w:pPr>
      <w:r>
        <w:t xml:space="preserve">Operaciones vinculadas, estructura de control y defensas</w:t>
      </w:r>
    </w:p>
    <w:p>
      <w:pPr>
        <w:spacing w:after="100"/>
      </w:pPr>
      <w:r>
        <w:t xml:space="preserve">Sin accionista de control: el mayor es BlackRock, con el 9,92 % (parte en instrumentos), seguido de Fidelity (5,27 %), Baillie Gifford (4,96 %) y Norges Bank (3,06 %) [44, 45, 46, 47]. Una sola clase de acciones, un voto por acción, sin límites de voto ni restricciones a la transmisión [1]. El único contrato con cláusula de cambio de control es la línea de crédito sindicada, ampliada a 300 M GBP en mayo de 2026. Los planes de acciones pueden consolidarse en caso de OPA, y no hay indemnizaciones pactadas por cambio de control [1]. Las únicas operaciones vinculadas son la remuneración de consejeros y directivos [1]. La junta de 2026 renovó la autorización para recomprar hasta el 15 % del capital y para convocar juntas con 14 días de preaviso (95,56 % a favor) [1, 29].</w:t>
      </w:r>
    </w:p>
    <w:p>
      <w:pPr>
        <w:pStyle w:val="Heading2"/>
      </w:pPr>
      <w:r>
        <w:t xml:space="preserve">Señales de alerta</w:t>
      </w:r>
    </w:p>
    <w:p>
      <w:pPr>
        <w:pStyle w:val="ListParagraph"/>
        <w:numPr>
          <w:ilvl w:val="0"/>
          <w:numId w:val="2"/>
        </w:numPr>
        <w:spacing w:after="60"/>
      </w:pPr>
      <w:r>
        <w:t xml:space="preserve">Investigación de la CMA (27-mar-2026), con sus nuevos poderes de protección al consumidor, sobre las reseñas en línea de Autotrader y de su moderador Feefo. Figura como pasivo contingente sin importe [1].</w:t>
      </w:r>
    </w:p>
    <w:p>
      <w:pPr>
        <w:pStyle w:val="ListParagraph"/>
        <w:numPr>
          <w:ilvl w:val="0"/>
          <w:numId w:val="2"/>
        </w:numPr>
        <w:spacing w:after="60"/>
      </w:pPr>
      <w:r>
        <w:t xml:space="preserve">Salida de la directora de operaciones, Catherine Faiers (anunciada el 31-oct-2025, efectiva el 9-dic-2025), para ser consejera delegada de Moonpig plc. No hay sustituto directo y el consejo se ha reducido a dos ejecutivos [1, 32, 33].</w:t>
      </w:r>
    </w:p>
    <w:p>
      <w:pPr>
        <w:pStyle w:val="ListParagraph"/>
        <w:numPr>
          <w:ilvl w:val="0"/>
          <w:numId w:val="2"/>
        </w:numPr>
        <w:spacing w:after="60"/>
      </w:pPr>
      <w:r>
        <w:t xml:space="preserve">Auditor: KPMG desde FY2017. Tras el concurso obligatorio de febrero de 2026 se le reelige a partir de FY2027 (99,58 % en la junta de 2026) [29, 34].</w:t>
      </w:r>
    </w:p>
    <w:p>
      <w:pPr>
        <w:pStyle w:val="ListParagraph"/>
        <w:numPr>
          <w:ilvl w:val="0"/>
          <w:numId w:val="2"/>
        </w:numPr>
        <w:spacing w:after="60"/>
      </w:pPr>
      <w:r>
        <w:t xml:space="preserve">La consejera Amanda James también es consejera y presidenta de la comisión de auditoría de Rightmove plc, otro portal británico de anuncios [1].</w:t>
      </w:r>
    </w:p>
    <w:p>
      <w:pPr>
        <w:pStyle w:val="ListParagraph"/>
        <w:numPr>
          <w:ilvl w:val="0"/>
          <w:numId w:val="2"/>
        </w:numPr>
        <w:spacing w:after="60"/>
      </w:pPr>
      <w:r>
        <w:t xml:space="preserve">Bonus FY2026: se pagó el 50 % del tramo estratégico ligado a Deal Builder, el producto cuyo despliegue rechazaron parte de los concesionarios [1].</w:t>
      </w:r>
    </w:p>
    <w:p>
      <w:pPr>
        <w:pStyle w:val="ListParagraph"/>
        <w:numPr>
          <w:ilvl w:val="0"/>
          <w:numId w:val="2"/>
        </w:numPr>
        <w:spacing w:after="60"/>
      </w:pPr>
      <w:r>
        <w:t xml:space="preserve">La reelección del presidente es la votación con más voto en contra del consejo (3,37 % en 2024, 3,24 % en 2025 y 2,75 % en 2026), aunque es bajo [29, 30, 31].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FY27 se dio con los resultados del 21-may-2026 y no se ha cambiado desde entonces (la junta del 16-jul-2026 no publicó actualización) [16, 51]. Beneficio operativo del grupo de 395-415 M GBP (392,7 M en FY26) con el margen operativo sin ventas de vehículos y accesorios al menos estable, y crecimiento del BPA básico de al menos un dígito alto gracias a recompras aceleradas [16]. Los ingresos de Autotrader estuvieron planos en abril de 2026; la empresa espera volver a crecer en el segundo semestre. Palancas del ARPR: precio +85-95 GBP, producto +65-75 GBP y stock −30-40 GBP; concesionarios medios −1-2 % en el año. Autorama con un pequeño beneficio y unos 40 M de ventas de vehículos. Retorno al accionista de ≈600 M GBP en FY27 (≈500 M en recompras y un tercio del beneficio neto en dividendos), con un apalancamiento de ≈1,0x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19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19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19 analistas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10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 8,00</w:t>
            </w:r>
          </w:p>
        </w:tc>
      </w:tr>
    </w:tbl>
    <w:p>
      <w:pPr>
        <w:spacing w:after="160" w:before="0"/>
      </w:pPr>
    </w:p>
    <w:p>
      <w:pPr>
        <w:pStyle w:val="Heading2"/>
      </w:pPr>
      <w:r>
        <w:t xml:space="preserve">Revisiones de estimaciones</w:t>
      </w:r>
    </w:p>
    <w:p>
      <w:pPr>
        <w:spacing w:after="100"/>
      </w:pPr>
      <w:r>
        <w:t xml:space="preserve">Ninguna fuente gratuita publica la serie de revisiones a 3 y 12 meses en texto (MarketScreener solo la da en gráfico) [57]. Lo verificable: el consenso de FY27 sitúa el EBIT en 412,8 M GBP, dentro de la parte alta de la guía de 395-415 M, y el BPA en 0,375 GBP (+10 % sobre los 0,341 de FY26), apoyado en la reducción de acciones a ≈783 M [56]. La recomendación media es Mantener, con 6 compras, 10 mantener y 3 ventas, y el precio objetivo medio de 5,59 GBP (de 4,10 a 8,00) se actualizó por última vez el 9-sep-2026 según Stock Analysis [57].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bl>
    <w:p>
      <w:pPr>
        <w:spacing w:after="160" w:before="0"/>
      </w:pPr>
    </w:p>
    <w:p>
      <w:pPr>
        <w:spacing w:after="100"/>
      </w:pPr>
      <w:r>
        <w:t xml:space="preserve">La acción cae un 36,3 % en un año frente a una subida del 11,9 % del FTSE 100, y está un 41 % por debajo del máximo de 8,29 GBP del 6-nov-2025 [52]. La caída máxima de cinco años, del 53 %, va del 23-may-2025 al 28-may-2026, el periodo en que la empresa integró Deal Builder en su oferta básica con rechazo de parte de los concesionarios [1, 52]. Las mayores caídas diarias fueron el 21-may-2026 (−8,8 %), día de los resultados de FY26 con ingresos planos en abril, y el 7-nov-2025 (−5,9 %), tras los semestrales [16, 52]. Desde el mínimo de 4,19 GBP del 28-may-2026 sube un 17 %, con recompras de 57,7 M de acciones (≈7 % del capital) en seis meses [55]. La posición corta agregada es del 6,77 % del capital, de las más altas del FTSE 100 [53].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último día hábil de marzo de cada ejercicio [52]. FY2021 se excluye: el beneficio de abril de 2020 a marzo de 2021 cayó por la gratuidad de los anuncios concedida a los concesionarios durante el confinamiento (cuatro meses gratis y uno con un 25 % de descuento; beneficio operativo −38 %, a 161,2 M GBP) [7], y el múltiplo de los últimos 12 meses a marzo de 2021 sale inflado. El cierre de FY2026, 4,695 GBP, es el más bajo desde el de marzo de 2020 (4,391 GBP, en pleno desplome por la pandemia) pese a que el BPA básico pasó de 0,256 GBP en FY2022 a 0,341 en FY2026 [1, 56]: la compresión es de múltiplo, no de beneficio.</w:t>
      </w:r>
    </w:p>
    <w:p>
      <w:pPr>
        <w:pStyle w:val="Heading1"/>
      </w:pPr>
      <w:r>
        <w:t xml:space="preserve">18. Comparables cotizados</w:t>
      </w:r>
    </w:p>
    <w:p>
      <w:pPr>
        <w:pStyle w:val="Confianza"/>
        <w:spacing w:after="100"/>
      </w:pPr>
      <w:r>
        <w:t xml:space="preserve">Confianza: Media</w:t>
      </w:r>
    </w:p>
    <w:p>
      <w:pPr>
        <w:spacing w:after="100"/>
      </w:pPr>
      <w:r>
        <w:t xml:space="preserve">Siete portales de anuncios clasificados cotizados con modelo de suscripción o pago por anuncio y márgenes altos: los dos líderes británicos o alemanes más parecidos (Rightmove, Scout24), los dos australianos que dominan su vertical (REA en inmobiliario, CAR Group en coches), los dos portales de coches de EE. UU. (CarGurus, Cars.com) y Hemnet en Suecia. Fuera quedan Adevinta (no cotiza desde 2024), Schibsted (MarketScreener no da su EBITDA) y eBay (marketplace generalista). Todas las cifras son de MarketScreener a 9-oct-2026, convertidas a GBP con los tipos del Banco de Inglaterra del 8-oct-2026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 Trader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Scout24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Hemnet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10,6x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12,0x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 / 15,1x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7,8x / 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8,8 + 0,19 × crecimiento; R² = 0,08. El crecimiento explica poco los múltiplos de estos comparables (R² &lt; 0,3): la regresión no se usa en la valoración.</w:t>
      </w:r>
    </w:p>
    <w:p>
      <w:pPr>
        <w:spacing w:after="100"/>
      </w:pPr>
      <w:r>
        <w:t xml:space="preserve">Auto Trader cotiza a 10,3 veces el EBITDA de los últimos 12 meses y 9,5 veces el de los próximos, con descuento sobre la mediana de sus comparables (12,0 y 10,6 veces) pese a tener el segundo margen más alto del grupo (66 % frente a una mediana del 55,9 %) y un crecimiento algo menor (consenso de +4-5 % frente al 7,3 %) [7, 56, 57, 58, 59, 60, 61, 62, 63, 64]. La mediana de EV/EBITDA y PER da 5,80 GBP. </w:t>
      </w:r>
      <w:r>
        <w:rPr>
          <w:b/>
        </w:rPr>
        <w:t xml:space="preserve">El descuento no se explica por el negocio sino por el miedo</w:t>
      </w:r>
      <w:r>
        <w:t xml:space="preserve">: Rightmove (12,0 veces), el negocio más parecido, sufre el mismo debate de la IA y cotiza con prima. Los dos comparables más baratos (Cars.com, 4,2 veces, y CarGurus, 7,7 veces) tienen márgenes de la mitad o menos y cuotas mucho menores en sus mercados. Usaríamos el EV/EBITDA de los próximos 12 meses; con la mediana del grupo, la acción vale lo que marca hoy el consenso de los analistas.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AutoScout24 (con FinanceScout24 y Finanzcheck)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Hellman &amp; Friedman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100 % por ≈2.900 M EUR (precio de 2.892 M antes de ajustes), 26,1x el EBITDA operativo ordinario de los 12 meses a septiembre de 2019 [66]. Valor empresa en GBP al tipo del 8-oct-2026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(49 %)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de 1.625 M USD, 26,5x el EBITDA ajustado de 2020 (61 M USD) y 13,2x sus ingresos ajustados (123 M USD); portales de vehículos industriales, recreativos y motos en EE. UU.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(51 %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Eurazeo vende su 51 % valorando Trader Interactive en 1.897 M USD, 25,0x el EBITDA ajustado de 2021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Adevinta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Permira y Blackstone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115 NOK por acción, valor de las acciones ≈141.000 M NOK; prima del 54 % sobre la media ponderada de tres meses hasta el 19-sep-2023. El anuncio no publica valor empresa ni múltiplo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(propuesta no aceptada)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propuesta, rechazada por el consejo: 346 p en efectivo, 0,0417 acciones de REA y 6 p de dividendo especial, 781 p por acción y ≈6.200 M GBP por el capital; prima del 41 % sobre el precio sin perturbar de 556 p [70]. Valor empresa y múltiplos estimación propia: 6.200 M menos la caja neta de 31,5 M de 2023, sobre el EBITDA (269,6 M) y las ventas (364,3 M) de 2023 según MarketScreener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4,43 AUD por acción; valor empresa implícito de 3.000 M AUD (631,7 M de acciones, 185,8 M de deuda neta a dic-2024 más 12,6 M de dividendos y 12,1 M de minoritarios y asociadas); prima del 42,0 % sobre el precio sin perturbar de 3,12 AUD [71]. El anuncio no da el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25,6x (24,5x – 26,2x)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12,50 – 13,42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cerradas con múltiplo publicado se pagaron a 25-26,5x el EBITDA (AutoScout24 en 2019 y las dos mitades de Trader Interactive en 2021-2022) [66, 67, 68], en un entorno de tipos bajos. La propuesta de REA por Rightmove, el comparable más directo de Auto Trader por mercado y margen, implicaba ≈23x el EBITDA de 2023 y una prima del 41 %, y el consejo la rechazó por insuficiente [70]. Las primas en las exclusiones de bolsa recientes rondan el 41-54 % [69, 70, 71]. Auto Trader cotiza a ≈10x el EBITDA de FY26 [56]. Su tamaño, ≈3.700 M GBP de capitalización, está al alcance del capital privado que compró Adevinta y AutoScout24. El valor empresa se convierte a GBP con los tipos del Banco de Inglaterra del 8-oct-2026 [65]; los múltiplos no dependen del tipo.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+3,6 %: la guía da un beneficio operativo de 395-415 M con palancas del ARPR de +120-130 GBP (precio +85-95, producto +65-75 y stock −30-40) y forecourts −1-2 %, lo que deja los ingresos de concesionarios en +2,5-3 %; Autorama sube sus ventas de vehículos a ≈40 M [2]. Los ingresos de abril fueron planos [2]. El consenso da +3,9 % (648,6 M) [56]. FY2028e-FY2030e +4,5-5,0 %: el ARPR ha subido entre 77 y 136 GBP al año por precio desde FY2023 [2, 3, 4] y el parque de 37 millones de coches no cae; por debajo del 8 % anual de la década, que incluye la recuperación del confinamiento. Baja al 3,0 % en FY2034e.</w:t>
      </w:r>
    </w:p>
    <w:p>
      <w:pPr>
        <w:keepNext/>
        <w:spacing w:after="100"/>
      </w:pPr>
      <w:r>
        <w:rPr>
          <w:b/>
          <w:bCs/>
        </w:rPr>
        <w:t xml:space="preserve">Márgenes.</w:t>
      </w:r>
    </w:p>
    <w:p>
      <w:pPr>
        <w:spacing w:after="100"/>
      </w:pPr>
      <w:r>
        <w:t xml:space="preserve">Margen EBITDA del 66,0 % en FY2027e, el mismo de FY2026 sin Dealer Auction (412,0 M sobre 624,3 M) [2], con el impuesto digital (10,6 M) y la inversión en Deal Builder dentro. Sube hasta el 67 % desde FY2029e, por debajo del 69-71 % de FY2018-FY2022, antes de que Autorama y la inversión en producto rebajaran el del grupo [2, 6]. El consenso da un 66,3 % en FY2027e y un 66,7 % en FY2029e [56].</w:t>
      </w:r>
    </w:p>
    <w:p>
      <w:pPr>
        <w:keepNext/>
        <w:spacing w:after="100"/>
      </w:pPr>
      <w:r>
        <w:rPr>
          <w:b/>
          <w:bCs/>
        </w:rPr>
        <w:t xml:space="preserve">Inversión y circulante.</w:t>
      </w:r>
    </w:p>
    <w:p>
      <w:pPr>
        <w:spacing w:after="100"/>
      </w:pPr>
      <w:r>
        <w:t xml:space="preserve">Capex del 1,4 % de las ventas en FY2027e que sube al 2,0 % en FY2033e: el normal de un portal (0,6-0,7 % de FY2019-FY2025) más las altas de derechos de uso de la sede nueva (NIIF 16). El 4,4 % de FY2026 fue la obra de la sede (25,1 M), que no se repite [2]. La amortización baja del 3,6 % al 2,0 % a medida que se amortizan los intangibles de las compras y converge con el capex. Circulante del 4,2 % de las ventas, el de FY2026; la tasa impositiva, la general británica del 25 %.</w:t>
      </w:r>
    </w:p>
    <w:p>
      <w:pPr>
        <w:keepNext/>
        <w:spacing w:after="100"/>
      </w:pPr>
      <w:r>
        <w:rPr>
          <w:b/>
          <w:bCs/>
        </w:rPr>
        <w:t xml:space="preserve">Coste del capital.</w:t>
      </w:r>
    </w:p>
    <w:p>
      <w:pPr>
        <w:spacing w:after="100"/>
      </w:pPr>
      <w:r>
        <w:t xml:space="preserve">Tasa libre del 5,39 %, el gilt a 10 años del Banco de Inglaterra del 7-oct-2026 [54]. Beta de 0,75: la mensual a 5 años frente al FTSE 100 (0,62), ajustada por Blume; la semanal a 5 años es 0,83 [52]. Prima de mercado del 5,5 % y sin prima adicional: vende en el Reino Unido y cotiza en el FTSE 100. Coste de la deuda del 5,9 % (crédito revolvente referenciado al SONIA) y un 10 % de deuda a valor de mercado. WACC del 9,01 %. Con la prima implícita del mercado (4,20 %), el WACC baja al 8,13 % [72].</w:t>
      </w:r>
    </w:p>
    <w:p>
      <w:pPr>
        <w:keepNext/>
        <w:spacing w:after="100"/>
      </w:pPr>
      <w:r>
        <w:rPr>
          <w:b/>
          <w:bCs/>
        </w:rPr>
        <w:t xml:space="preserve">Valor terminal.</w:t>
      </w:r>
    </w:p>
    <w:p>
      <w:pPr>
        <w:spacing w:after="100"/>
      </w:pPr>
      <w:r>
        <w:t xml:space="preserve">Crecimiento a perpetuidad del 3,0 %: inflación británica esperada de algo más del 2,5 % y casi nada real, por debajo de la tasa libre menos medio punto (4,89 %). El múltiplo de salida implícito es de 12,4 veces el EBITDA, por debajo de la media de la propia Auto Trader en la década (17,1 veces) y de los comparables con más margen (Rightmove, 12,0 veces hoy) [58].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M (-1 % del NOPAT)</w:t>
            </w:r>
          </w:p>
        </w:tc>
      </w:tr>
    </w:tbl>
    <w:p>
      <w:pPr>
        <w:spacing w:after="160" w:before="0"/>
      </w:pPr>
    </w:p>
    <w:p>
      <w:pPr>
        <w:spacing w:after="100"/>
      </w:pPr>
      <w:r>
        <w:t xml:space="preserve">La proyección apenas necesita inversión neta de la amortización (reinversión acumulada de -37 M, con un capex bruto medio del 1,7 % de las ventas). En un negocio de activos ligeros, el crecimiento medio del 4,1 %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forecourts −1-2 %, palanca de precio +85-95 GBP (≈3 % del ARPR), producto y stock +35 GBP netos y Autorama con ≈40 M de ventas de vehículos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Forecourts estables y precio en línea con FY2023-FY2026 (+78-117 GBP al año) [2,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(Deal Builder, Co-Driver) como en FY2025-FY2026 (+72-77 GBP) [2, 3].</w:t>
            </w:r>
          </w:p>
        </w:tc>
      </w:tr>
    </w:tbl>
    <w:p>
      <w:pPr>
        <w:spacing w:after="160" w:before="0"/>
      </w:pPr>
    </w:p>
    <w:p>
      <w:pPr>
        <w:spacing w:after="100"/>
      </w:pPr>
      <w:r>
        <w:t xml:space="preserve">El crecimiento del caso base (4,1 % anual) no necesita capital: sale del precio y del producto, y la empresa ha demostrado ese poder de precios cada año de la década salvo FY2021 (el ARPR pasó de 1.546 a 2.995 GBP al mes) [2, 11]. La palanca de precio de FY2023-FY2026 fue de +78 a +117 GBP al año, el 3-4 % del ARPR [2, 3, 4], y la guía de FY2027 pide +85-95 GBP [2]. El foso (más del 75 % de los minutos en portales de coches) la sostiene [1]. El límite está en el volumen: los forecourts caen y el mercado de usados apenas crece (+0,9 % anual en 2021-2025) [17], así que el caso base no cuenta con ellos.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49,5 % (base: 67,0 %)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9,0 %)</w:t>
            </w:r>
          </w:p>
        </w:tc>
      </w:tr>
    </w:tbl>
    <w:p>
      <w:pPr>
        <w:spacing w:after="160" w:before="0"/>
      </w:pPr>
    </w:p>
    <w:p>
      <w:pPr>
        <w:spacing w:after="100"/>
      </w:pPr>
      <w:r>
        <w:t xml:space="preserve">El DCF da 6,92 GBP por acción, un 41,6 % por encima del precio, con un 65 % del valor en el terminal. </w:t>
      </w:r>
      <w:r>
        <w:rPr>
          <w:b/>
        </w:rPr>
        <w:t xml:space="preserve">El precio descuenta que Auto Trader deja de crecer.</w:t>
      </w:r>
      <w:r>
        <w:t xml:space="preserve"> El DCF inverso dice que, con nuestros márgenes, los 4,887 GBP de hoy suponen que los ingresos caen un 0,7 % al año de FY2027e a FY2034e, frente al +4,1 % de nuestro caso base; o, con nuestro crecimiento, que el margen EBITDA cae del 66 % al 49,5 %. Visto de otro modo, comprar a este precio rinde un 11,3 % anual si se cumple el caso base, frente a un WACC del 9,0 %. Ninguna de esas dos cosas ha pasado nunca: en los diez ejercicios solo cayeron los ingresos en FY2021, por los anuncios gratis del confinamiento, y el margen EBITDA del grupo no ha bajado del 62,8 % [2, 3, 4, 5, 6, 7, 8, 9, 10, 11]. Lo que el precio descuenta es que la IA o un rival grande (Amazon, los asistentes de compra) rompan el foso. Es posible, pero no hay aún ningún dato que lo muestre: menos del 1 % del tráfico llega de asistentes de IA [1].</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rechazo a Deal Builder se convierte en una salida lenta de concesionarios (−2 % de forecourts al año, como en el 2S26) y los asistentes de IA y Amazon Autos se quedan con parte de la búsqueda: Auto Trader pierde el poder de precios, como Hemnet en Suecia (ventas −16 % en 2026e) [64]. Ingresos casi planos durante ocho años, margen EBITDA del 61 %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con ingresos de +3,6 % y las palancas del ARPR siguen aportando +100-130 GBP al año; los forecourts se estabilizan. Crecimiento medio del 4,1 % y margen EBITDA del 67 % desde FY2029.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Deal Builder se convierte en la palanca de producto que fue Co-Driver (el 86 % de los concesionarios ya lo usa) y el ARPR vuelve a subir como en FY2022-FY2024 (+136 GBP de producto en FY2024) [2, 4]. Crecimiento medio del 6 % y margen del 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6,34 GBP (+29,7 %).</w:t>
      </w:r>
    </w:p>
    <w:p>
      <w:pPr>
        <w:spacing w:after="100"/>
      </w:pPr>
      <w:r>
        <w:t xml:space="preserve">La asimetría es buena: el alcista vale 8,08 GBP (+65,3 %) y el bajista 3,69 (−24,5 %), una asimetría de 2,67 veces. El bajista no es cosmético: deja los ingresos casi planos ocho años, quita seis puntos de margen y baja el crecimiento a perpetuidad al 1,5 %, algo que a Auto Trader no le ha pasado nunca y que se parece a lo que hoy le pasa a Hemnet [64]. Aun así, el bajista pierde menos de lo que gana el base, porque el precio ya descuenta casi ese mundo (el DCF inverso pide −0,7 % de crecimiento anual). El valor ponderado por probabilidad es de 6,34 GBP. Con la prima de riesgo que hoy pide el mercado (4,20 %), el bajista queda en 4,22 GBP (−13,6 %).</w:t>
      </w:r>
    </w:p>
    <w:p>
      <w:pPr>
        <w:pStyle w:val="Heading1"/>
      </w:pPr>
      <w:r>
        <w:t xml:space="preserve">22. Suma de partes</w:t>
      </w:r>
    </w:p>
    <w:p>
      <w:pPr>
        <w:pStyle w:val="Confianza"/>
        <w:spacing w:after="100"/>
      </w:pPr>
      <w:r>
        <w:t xml:space="preserve">Confianza: Alta</w:t>
      </w:r>
    </w:p>
    <w:p>
      <w:pPr>
        <w:spacing w:after="100"/>
      </w:pPr>
      <w:r>
        <w:t xml:space="preserve">No aplica: Autorama pesa el 6 % de los ingresos y apenas aporta beneficio, y desde FY2027 la empresa reporta un único segmento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6,83 GBP (+39,8 % sobre 4,89).</w:t>
      </w:r>
    </w:p>
    <w:p>
      <w:pPr>
        <w:spacing w:after="100"/>
      </w:pPr>
      <w:r>
        <w:t xml:space="preserve">Pesos: DCF 50 %, comparables 25 %, escenarios 20 %, transacciones 5 % y suma de partes 0 %. El DCF manda porque el negocio es estable, casi no necesita capital y su caja es predecible: la conversión de beneficio en caja fue del 103 % en la década. Los comparables pesan un 25 % porque el mercado de clasificados online es amplio y comparable en márgenes, aunque hoy todos cotizan con el mismo miedo a la IA. Las transacciones (13,08 GBP, 22,9-26,5 veces el EBITDA) llevan prima de control y son de 2019-2024, con tipos más bajos: solo un 5 %, como recordatorio de lo que pagan los compradores estratégicos (REA ofreció 22,9 veces por Rightmove en 2024) [70]. La dispersión es grande: de 5,80 GBP (comparables) a 6,92 GBP (DCF), todos por encima del precio de 4,887 GBP. El valor objetivo es de 6,83 GBP.</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r>
    </w:tbl>
    <w:p>
      <w:pPr>
        <w:spacing w:after="160" w:before="0"/>
      </w:pPr>
    </w:p>
    <w:p>
      <w:pPr>
        <w:spacing w:after="100"/>
      </w:pPr>
      <w:r>
        <w:rPr>
          <w:b/>
          <w:bCs/>
        </w:rPr>
        <w:t xml:space="preserve">Objetivo a 12 meses (ponderado):</w:t>
      </w:r>
      <w:r>
        <w:t xml:space="preserve"> 5,20 GBP · rentabilidad +8,7 % (base +9,2 %) · señal Mantener.</w:t>
      </w:r>
    </w:p>
    <w:p>
      <w:pPr>
        <w:spacing w:after="100"/>
      </w:pPr>
      <w:r>
        <w:t xml:space="preserve">Para comparar, con la regla v2 (historia al cierre, mismo precio): 9,5x / 11,2x / 14,6x, 8,7 % Mantener; con el tope anterior del base (×1,3, 14-oct mediodía): 40,8 % Comprar; con la v3 sin el selector (tope ×1,1): 19,3 % Comprar. Decide la v2, elegida por el selector de método (desrateada: la mediana adelantada (22x) es 2 veces el PER de hoy (11,2x); la historia es de otro régimen y decide la v2; METODO-VIGENTE.md).</w:t>
      </w:r>
    </w:p>
    <w:p>
      <w:pPr>
        <w:keepNext/>
        <w:spacing w:after="100"/>
      </w:pPr>
      <w:r>
        <w:rPr>
          <w:b/>
          <w:bCs/>
        </w:rPr>
        <w:t xml:space="preserve">Frente al consenso (solo contraste).</w:t>
      </w:r>
    </w:p>
    <w:p>
      <w:pPr>
        <w:spacing w:after="100"/>
      </w:pPr>
      <w:r>
        <w:t xml:space="preserve">Nuestro BPA base de FY2029e (0,47) se separa un -4,3 % del consenso (0,49) y nuestro precio base (5,22) un -6,6 % del objetivo medio de los analistas (5,59).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6,83 (+39,8 %) frente al objetivo a 12 meses ponderado 5,20 (+8,7 % con dividendo; base +9,2 %).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(beneficio operativo de 395-415 M): ingresos de concesionarios, forecourts tras el rechazo a Deal Builder y ARPR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Evento anual de precios y paquetes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la palanca de precio del ARPR; una subida por debajo de la inflación confirmaría la pérdida de poder de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Continua (≈600 M en 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c. 500 M y dividendos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este precio, la recompra retira ≈13 % del capital al año; ya van 278,6 M desde abril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CMA sobre las reseñas en línea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sanción o de cambios en el producto; sin importe estimado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Amazon Autos en el Reino Unido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riesgo de desintermediación que el precio ya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política de remuneración y plan de sucesión ejecutiva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estructura en la sucesión; posible cambio de métricas del variable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si la caída de forecourts de FY2026 fue puntual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la IA: asistentes de compra y agentes que buscan coches sin pasar por el portal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3,69 GBP, −47 %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de precios y stock (155 millones de llamadas al mes) e integración con ChatGPT por MCP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mensuales y minutos de uso a la baja dos semestres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concesionarios y del poder de precios por el rechazo a Deal Builder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≈0,5 GBP por acción (estimación propia con la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Disculpa pública del consejero delegado y menos de 100 bajas o rebajas declaradas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Forecourts por debajo de −2 % interanual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Amazon Autos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75 % de los minutos en portales de coches y 11 veces la audiencia del segundo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lanzamiento o acuerdos con grupos de concesionarios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coche usado y de los concesionarios (tipos, financiación, quiebras)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año de forecourts −5 % quitaría ≈4 % de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suscripción, no por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de usados de la SMMT por debajo de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CMA (reseñas en línea), impuesto digital y la compensación de la FCA en la financiación de coches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impuesto digital ya cuesta 10,6 M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FCA no afecta directamente a Auto Trader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CMA o subida del impuesto digital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Autorama (92,5 M) con poca holgura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deterioro no movería la caja; ≈0,12 GBP por acción en libros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Autorama apenas pesa en el valor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Autorama por debajo del +40 % anual del test de deterioro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el gilt a 10 años en el 5,39 %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WACC del 10 %: el DCF baja a 5,86 GBP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con 1,3 veces de deuda neta ajustada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Gilt por encima del 6 %</w:t>
            </w:r>
          </w:p>
        </w:tc>
      </w:tr>
    </w:tbl>
    <w:p>
      <w:pPr>
        <w:spacing w:after="160" w:before="0"/>
      </w:pPr>
    </w:p>
    <w:p>
      <w:pPr>
        <w:pStyle w:val="Heading2"/>
      </w:pPr>
      <w:r>
        <w:t xml:space="preserve">Pre-mortem</w:t>
      </w:r>
    </w:p>
    <w:p>
      <w:pPr>
        <w:spacing w:after="100"/>
      </w:pPr>
      <w:r>
        <w:t xml:space="preserve">Octubre de 2029: la acción ha caído un 40 %, a unos 2,90 GBP. La historia más probable empieza en el semestre de noviembre de 2026: los forecourts caen otro 2 % y la dirección rebaja la palanca de precio del evento de abril de 2027 para frenar las bajas. Con los concesionarios en contra, Deal Builder no despega y el ARPR crece menos que la inflación por primera vez desde FY2021. En 2027 Amazon Autos llega al Reino Unido con grupos de concesionarios grandes y los asistentes de IA empiezan a mandar compradores directamente a las webs de los concesionarios; las visitas mensuales de Auto Trader bajan dos semestres seguidos. El margen aguanta un año gracias a los costes, pero el mercado deja de verlo como un monopolio y el múltiplo baja a 7-8 veces el EBITDA, como Cars.com o CarGurus. Las recompras, hechas a precios más altos, no lo evitan. El indicador que lo habría anticipado: los forecourts del 2S26 (−1,7 %) y unos ingresos de abril de 2026 planos.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un portal digital, lo material es la gestión de datos, la relación con los clientes y el clima a través de su papel en la transición al eléctrico. Datos: no hubo sanciones por seguridad de datos o brechas en el ejercicio 2026, y los incidentes se notifican a la ICO [1]. Emisiones: 144,1 mil toneladas de CO2 en alcances 1, 2 y 3 (93,2 mil en 2025), un 55 % más por la obra de la nueva sede y por los coches que Autorama pasa por su balance; casi todo es alcance 3 [1]. Objetivos validados por SBTi: −50 % de alcances 1 y 2 y −46,2 % del alcance 3 para el ejercicio 2030/31, y cero neto en 2040 [1]. Personas: el compromiso de los empleados cayó del 91 % al 72 % tras reestructuraciones, la caída de la acción y las protestas de concesionarios [1].</w:t>
      </w:r>
    </w:p>
    <w:p>
      <w:pPr>
        <w:pStyle w:val="Heading2"/>
      </w:pPr>
      <w:r>
        <w:t xml:space="preserve">Controversias</w:t>
      </w:r>
    </w:p>
    <w:p>
      <w:pPr>
        <w:spacing w:after="100"/>
      </w:pPr>
      <w:r>
        <w:t xml:space="preserve">La CMA abrió el 27 de marzo de 2026 una investigación sobre reseñas en línea que incluye a Autotrader y a su moderador Feefo, con sus nuevos poderes de sanción directa [1]. El plan de compensación de la FCA por comisiones de financiación de coches (marzo de 2026, paralizado por recursos) no le afecta directamente según la empresa [1]. En noviembre de 2025 los concesionarios organizaron en redes una campaña de bajas contra Deal Builder [25, 26]. No constan sanciones por protección de datos en el ejercicio 2026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concesionarios se han dado de baja o han rebajado su paquete por Deal Builder desde noviembre de 2025, y cuántos han vuelto?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forecourts son la base del ingreso; cayeron un 1,7 % en el 2S26.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de precio aplicará en el evento de abril de 2027 y qué peso tendrá Deal Builder en la palanca de producto?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que el ARPR deja de crecer.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búsquedas y de los contactos llega hoy de asistentes de IA y cómo cobra Auto Trader esa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pesa en el bajista y en la posición corta del 6,77 %.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grupos de concesionarios negocian con Amazon Autos y qué exclusividades tiene Auto Trader con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competidor con audiencia propia es la única amenaza creíble al foso.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dará beneficio Autorama y qué pasa si las entregas no crecen al 44 % anual que supone el test de deterioro?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compra grande y no ha dado beneficio en cuatro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precio seguirá recomprando y con qué apalancamiento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Recompró a 630 p de media en FY2026, un 29 % por encima del precio de hoy.</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cubre las funciones de la directora de operaciones y cuál es el plan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evaluación del propio consejo pide más estructura.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(Stockwatch)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caída como una sobrerreacción alimentada por las posiciones cortas y recomienda comprar poco a poco; acepta que la IA es un riesgo real pero cree que el precio ya lo descuenta de sobra [73].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(Shares for the future)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Respeta el negocio pero ve riesgos que se acumulan: IA, rechazo de los concesionarios a Deal Builder y menor crecimiento; aun así lo considera apto para invertir a largo plazo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Dealer Magazine (concesionarios)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indicadores de precio renovados de Autotrader, una fuente de quejas de los concesionarios desde hace años, siguen siendo polémicos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de concesionarios en Facebook (vía Car Dealer Magazine y AM-online)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Contexto de hace once meses: un grupo de concesionarios amenazó con cancelaciones masivas por Deal Builder y las subidas de precio; la empresa rebajó la reserva en línea a una solicitud que el concesionario acepta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cotiza a 10,3 veces el EBITDA, en el percentil 11 de su década, y el DCF inverso pide ingresos a la baja.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Deal Builder y la relación con los concesionarios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los forecourts cayeron un 1,7 % en el 2S26 y los ingresos de abril fueron planos, aunque las bajas declaradas fueron menos de 100.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desintermediación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que la propia empresa reconoce, pero hoy menos del 1 % del tráfico llega de asistentes de 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posición corta es del 6,77 % (FCA, 7-oct-2026) frente a recompras de c. 500 M previstas en FY2027 y compras de los ocho consejeros.</w:t>
            </w:r>
          </w:p>
        </w:tc>
      </w:tr>
    </w:tbl>
    <w:p>
      <w:pPr>
        <w:spacing w:after="160" w:before="0"/>
      </w:pPr>
    </w:p>
    <w:p>
      <w:pPr>
        <w:spacing w:after="100"/>
      </w:pPr>
      <w:r>
        <w:t xml:space="preserve">El sentimiento de los inversores es mejor que el precio y el de los concesionarios, peor. Los comentaristas que siguen el valor lo ven sobrevendido y achacan la caída a los bajistas [73, 74], mientras los concesionarios siguen quejándose de precios e indicadores de precio [75]. Esa división es la tesis: si la queja de los clientes no se traduce en bajas, el precio está descontando un daño que no llega. Los foros con más debate de particulares (Reddit, LSE Chat, ADVFN)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1 explicados. Fuentes: 77 (54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4,2 % frente a 4,2 %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siete clasificados de cuatro países y dos negocios en caída (Cars.com y Hemnet), el crecimiento no explica el múltiplo (R² = 0,08); no se usa el valor de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42,1 %, asimetría de 2,67, bajista del -24,5 % y el precio descuenta 4,8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semestrales: no comparan con el consenso; 2) página de consenso de analistas de la web de inversores: solo da el consenso vigente, no el previo a cada semestre; 3) prensa: no buscado para no agotar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FY26 y 1S26: sin turno de preguntas; 2) centro de resultados de la web: no publica transcripciones; 3) webcast en edge.media-server.com: audio,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coste_deuda_pct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FY26: solo SONIA + 1,2-2,1 %; 2) gastos financieros de 2,8 M sobre una deuda media incierta (dispuesta casi toda en el segundo semestre); 3) nota de prensa: no da el tipo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en libras del mercado británico de anuncios de motor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presentación de Autotrader 2026 (solo volúmenes de la SMMT); 2) web de datos de la SMMT (unidades, no valor); 3) informes de mercado de pago no accesibles gratis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(solo la caída del 17 % de la oferta de coches de 5-7 años); 2) SMMT, sin previsión de usados publicada; 3) presentación de resultados, sin previsión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Motors.co.uk, Carwow y Cinch; cuota de Facebook Marketplace y Cinch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Autotrader (Comscore sin Cinch ni Facebook); 2) informe anual 2026 (sin cifras de rivales); 3) Companies House requiere abrir cuentas escaneadas una a una,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Working Responsibly 2026, sin calificaciones; 2) ficha de Sustainalytics, cargada por JavaScript sin dato legible; 3) búsqueda web, solo agregadores sin fecha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(variación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páginas finances y consensus: la serie de revisiones solo aparece en gráfico; 2) Stock Analysis, forecast: los años 2028-2029 y el historial requieren suscripción; 3) RNS de la empresa: no publica consenso compilado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solo publica ROE y ROA; 2) Stock Analysis exigía una consulta por empresa con otro proveedor (mezcla de fuentes); 3) cálculo desde informes anuales de siete empresas fuera del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y ev_ebitda de Adevinta (2023) y ev_ebitda de Domain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de la oferta de Permira y Blackstone y anuncio de Domain a la ASX: dan valor de las acciones o valor empresa pero no EBITDA ni múltiplo; 2) búsqueda del documento de oferta de Adevinta y del informe del experto independiente de Domain: no localizados en fuente primaria; 3) prensa sectorial: cifras de EBITDA contradictorias (137,1 frente a 37,1 M AUD en Domain)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no publica flotante; 2) MarketScreener finances: no muestra capitalización ni flotante en la página leída; 3) RNS de derechos de voto: solo el número de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(r/UKInvesting, r/investing): bloqueado para la lectura automática; 2) LSE Chat (lse.co.uk) y AM-online: 403; 3) búsqueda de foros y comentarios de lectores de 2026: solo artículos sin comentarios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Financial Statements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https://plc.autotrader.co.uk/media/d4wcf00t/at-ar26-web.pdf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FY26 (press release,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https://plc.autotrader.co.uk/media/usjleen0/full-year-press-release-fy26.pdf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https://plc.autotrader.co.uk/media/umddcnxx/full-year-press-release-fy25.pdf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FY24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https://plc.autotrader.co.uk/media/cjxgyjih/full-year-press-release-fy24.pdf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FY23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https://plc.autotrader.co.uk/media/3dbbyupi/fy-press-release-fy23-final_no_pw-0106.pdf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FY22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https://plc.autotrader.co.uk/media/swsdgt4q/2022_press_release_final_.pdf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FY21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https://plc.autotrader.co.uk/media/rdthmxvx/2021_press_release_final_ws.pdf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FY20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https://plc.autotrader.co.uk/media/qgpi103h/auto-trader-group-plc-full-year-results-25-june-2020.pdf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FY19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https://plc.autotrader.co.uk/media/s5gjpgac/auto-trader-group-plc-full-year-results-6-june-2019.pdf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FY18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https://plc.autotrader.co.uk/media/fmfeocnj/auto-trader-group-plc-full-year-results-7-june-2018.pdf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FY17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https://plc.autotrader.co.uk/media/olvhktab/auto-trader-group-plc-full-year-results-8-june-20171.pdf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FY26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https://plc.autotrader.co.uk/media/ayhdcjt1/half-year-press-release-fy26.pdf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https://plc.autotrader.co.uk/media/olal5vsi/half-year-financial-results-press-release-fy25-final.pdf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FY24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https://plc.autotrader.co.uk/media/bj3hx5ro/half-year-financial-results-press-release-fy24-final-no-pwd.pdf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FY23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https://plc.autotrader.co.uk/media/m5xnve3m/half-year-financial-results-press-release-fy23-final.pdf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presentation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https://plc.autotrader.co.uk/media/x0akwm5z/analyst-presentation-fy26.pdf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 car sales data (transacciones mensuales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https://www.smmt.co.uk/vehicle-data/used-car-sales/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EVs power up used car market in three year growth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https://www.smmt.co.uk/evs-power-up-used-car-market-in-three-year-growth-run/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https://www.sec.gov/Archives/edgar/data/1494259/000119312526059435/carg-20251231.htm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https://www.sec.gov/Archives/edgar/data/1683606/000119312526076546/cars-20251231.htm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Full Year Results, year ended 30 June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Limited /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https://announcements.asx.com.au/asxpdf/20260810/pdf/072l1lzz9zjdz3.pdf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FY25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https://plc.rightmove.co.uk/content/uploads/2026/02/260227-FY25-Presentation.pdf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https://www.scout24.com/media/scout24/Investor_Relations/Berichte_und_Praesentationen/2025/Scout24_Annual_Report_2025_EN.pdf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GBP, AUD)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https://data-api.ecb.europa.eu/service/data/EXR/D.USD+GBP+AUD.EUR.SP00.A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dealers threaten mass cancellation of Auto Trader contracts in light of Deal Builder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https://cardealermagazine.co.uk/car-dealers-threaten-mass-cancellation-of-auto-trader-in-light-of-deal-builder-roll-out/320049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CEO apologises for Deal Builder roll out as he pledges to make product work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https://cardealermagazine.co.uk/auto-trader-ceo-apologises-for-deal-builder-roll-out-as-he-pledges-to-make-product-work/320199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boss confirms package prices will rise again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https://cardealermagazine.co.uk/autotrader-boss-confirms-package-prices-will-rise-again-and-explains-why-in-car-dealer-podcast/321583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(historia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https://en.wikipedia.org/wiki/Autotrader_Group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(16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https://www.investegate.co.uk/announcement/rns/autotrader-group-plc--auto/result-of-agm/9672971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(18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https://www.investegate.co.uk/announcement/rns/autotrader-group-plc--auto/result-of-agm/9117132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(19 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https://www.investegate.co.uk/announcement/rns/autotrader-group-plc--auto/result-of-agm/8426523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Change (salida de la COO)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https://www.investegate.co.uk/announcement/rns/autotrader-group-plc--auto/board-change/9205125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to Board 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https://www.investegate.co.uk/announcement/rns/autotrader-group-plc--auto/update-to-board-change/9283168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 Tender Outcome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https://www.investegate.co.uk/announcement/rns/autotrader-group-plc--auto/audit-tender-outcome/9427001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M. Davies y A. James,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https://www.investegate.co.uk/announcement/rns/autotrader-group-plc--auto/director-pdmr-shareholding/9580697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consejeros, 21-22 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https://www.investegate.co.uk/announcement/rns/autotrader-group-plc--auto/director-pdmr-shareholding/9583912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M. Davies, 27-may-2026)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https://www.investegate.co.uk/announcement/rns/autotrader-group-plc--auto/director-pdmr-shareholding/9587532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M. Davies, 29-jun-2026)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https://www.investegate.co.uk/announcement/rns/autotrader-group-plc--auto/director-pdmr-shareholding/9642462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(concesión LTIP y bono diferido, 24-jun-2026)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https://www.investegate.co.uk/announcement/rns/autotrader-group-plc--auto/director-pdmr-shareholding/9634886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(ejercicio de PSP y DABP y venta para impuestos, 17-jul-2026)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https://www.investegate.co.uk/announcement/rns/autotrader-group-plc--auto/director-pdmr-shareholding/9675790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(traspaso a titularidad conjunta de N. Coe, 21-ago-2026)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https://www.investegate.co.uk/announcement/rns/autotrader-group-plc--auto/director-pdmr-shareholding/9736440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(ejercicio SAYE de J. Warner, 2-feb-2026)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https://www.investegate.co.uk/announcement/rns/autotrader-group-plc--auto/director-pdmr-shareholding/9403416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(traspaso a titularidad conjunta de N. Coe,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https://www.investegate.co.uk/announcement/rns/autotrader-group-plc--auto/director-pdmr-shareholding/9494621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https://www.investegate.co.uk/announcement/rns/autotrader-group-plc--auto/holding-s-in-company/9592827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(FIL Limited, 16-sep-2026)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https://www.investegate.co.uk/announcement/rns/autotrader-group-plc--auto/holding-s-in-company/9778292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(Baillie Gifford, 24-jul-2026)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https://www.investegate.co.uk/announcement/rns/autotrader-group-plc--auto/holding-s-in-company/9689261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(Norges Bank, 22-may-2026)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https://www.investegate.co.uk/announcement/rns/autotrader-group-plc--auto/holding-s-in-company/9586324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(30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https://www.investegate.co.uk/announcement/rns/autotrader-group-plc--auto/total-voting-rights/9801755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23-sep-2025)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https://www.investegate.co.uk/announcement/rns/autotrader-group-plc--auto/holding-s-in-company/9129577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(RNS, 5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https://www.investegate.co.uk/announcement/rns/autotrader-group-plc--auto/transaction-in-own-shares/9806782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Half Year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https://www.investegate.co.uk/announcement/rns/autotrader-group-plc--auto/notice-of-half-year-results/9800267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AUTO.L, ^FTSE e ISF.L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https://finance.yahoo.com/quote/AUTO.L/history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current net short positions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https://www.fca.org.uk/publication/documents/aggregated-current-net-short-positions.csv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nominal a la par del gilt a 10 años (serie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https://www.bankofengland.co.uk/boeapps/database/_iadb-fromshowcolumns.asp?csv.x=yes&amp;Datefrom=01/Sep/2026&amp;Dateto=10/Oct/2026&amp;SeriesCodes=IUDMNPY&amp;CSVF=TN&amp;UsingCodes=Y&amp;VPD=Y&amp;VFD=N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anuncios diarios de abril a octubre de 2026 (113 sesiones, agregados)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https://www.investegate.co.uk/company/AUTO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https://www.marketscreener.com/quote/stock/AUTO-TRADER-GROUP-PLC-21296406/finances/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(LON: AUTO)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https://stockanalysis.com/quote/lon/AUTO/forecast/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https://www.marketscreener.com/quote/stock/RIGHTMOVE-PLC-45538042/finances/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https://www.marketscreener.com/quote/stock/SCOUT24-SE-24181607/finances/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https://www.marketscreener.com/quote/stock/REA-GROUP-LIMITED-6492683/finances/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https://www.marketscreener.com/quote/stock/CAR-GROUP-LIMITED-21002328/finances/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https://www.marketscreener.com/quote/stock/CARGURUS-INC-38123462/finances/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https://www.marketscreener.com/quote/stock/CARS-COM-INC-40449845/finances/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Hemnet: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https://www.marketscreener.com/quote/stock/HEMNET-GROUP-AB-122145266/finances/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frente a la libra (XUDLUSS, XUDLERS, XUDLADS, XUDLSKS)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https://www.bankofengland.co.uk/boeapps/database/_iadb-fromshowcolumns.asp?csv.x=yes&amp;Datefrom=01/Oct/2026&amp;Dateto=10/Oct/2026&amp;SeriesCodes=XUDLUSS,XUDLERS,XUDLADS,XUDLSKS,XUDLNKS&amp;CSVF=TN&amp;UsingCodes=Y&amp;VPD=Y&amp;VFD=N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 to sell AutoScout24 for attractive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https://www.scout24.com/en/news-media/news/detail/scout24-ag-to-sell-autoscout24-for-attractive-valuation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 announces acquisition (49 % de Trader Interactive) and entitlement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carsales.com Ltd (ASX: CAR)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https://quoteapi.com/resources/4ec85c869fdae450/announcements/car.asx/3A566980/CAR_carsales_Announces_Acquisition_and_Entitlement_Offer.pdf?embed=1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 to sell the remaining 51% of its stake in Trader Interactive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https://en.newsroom.eurazeo.com/news/eurazeo-to-sell-the-remaining-51-of-its-stake-in-trader-interactive-0de4c-52e2c.html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Permira and Blackstone announce voluntary offer for all outstanding ordinary class A shares in Adevinta at NOK 115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Adevinta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https://adevinta.com/press-releases/permira-and-blackstone-announce-voluntary-offer-for-all-outstanding-ordinary-class-a-shares-in-adevinta-at-nok-115-per-share/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fourth proposal to Rightmove plc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https://announcements.asx.com.au/asxpdf/20240927/pdf/068fkm60skz437.pdf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enters into Scheme Implementation Deed with CoStar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https://announcements.asx.com.au/asxpdf/20250509/pdf/06jkzs19tnt4l0.pdf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 an oversold FTSE 100 share to average into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https://www.ii.co.uk/analysis-commentary/stockwatch-oversold-ftse-100-share-average-ii539722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Shares for the future: a FTSE 100 company to fear and respect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https://www.ii.co.uk/analysis-commentary/shares-future-ftse-100-company-fear-and-respect-ii539686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Weekly Briefing: What do dealers think of Autotrader's revamped Price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https://cardealermagazine.co.uk/weekly-briefing-what-do-dealers-think-of-autotraders-revamped-price-indicators/327892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defends its pricing as bosses deny Deal Builder is responsible for falling share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https://cardealermagazine.co.uk/auto-trader-defends-its-pricing-as-bosses-deny-deal-builder-is-responsible-for-falling-share-value/320741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faces tougher road to growth as dealers push back, rivals circle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https://www.am-online.com/news/autotrader-faces-tougher-road-to-growth-as-dealers-push-back-rivals-circle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la Bolsa de Londres (AUTO), que cotiza en peniques; precio y valores por acción se dan en libras (488,7 p = 4,887 GBP, cierre del viernes 9-oct-2026; el corte cae en sábado) [52]. El ejercicio cierra el 31 de marzo y se nombra por el año en que termina (FY2026 = abr-25 a mar-26). Las acciones (768,1 M diluidas) son las del 2-oct-2026, después de 57,7 M de acciones recompradas desde el balance; el puente es del 31-mar-2026 y resta en otros ajustes esas recompras (279,9 M con el impuesto de timbre) y el dividendo final de 7,8 p pagado en septiembre (≈60 M) [2, 48, 55]. La cuenta se presenta por naturaleza; el EBITDA excluye el resultado de Dealer Auction (49 %), que se valora en el puente a valor contable, igual que hace el consenso [2, 56]. FY2017 y FY2018 no aplican la NIIF 16 y FY2017 tuvo 369 días [11]. Auto Trader publica semestres, no trimestres; los segundos semestres se obtienen restando el primero del año [2]. No hay transcripciones gratuitas de las conferencias. Comparables y consenso de un solo proveedor (MarketScreener), contrastado con Stock Analysis [56, 57]; sin ROIC de los comparables.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Autotrader Group plc (antes Auto Trader Group plc) (AUTO)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Hoja1!$B$2:$B$10</c:f>
              <c:numCache>
                <c:formatCode>#,##0.0</c:formatCode>
                <c:ptCount val="9"/>
                <c:pt idx="0">
                  <c:v>4.19</c:v>
                </c:pt>
                <c:pt idx="1">
                  <c:v>4.1</c:v>
                </c:pt>
                <c:pt idx="2">
                  <c:v>4.11</c:v>
                </c:pt>
                <c:pt idx="3">
                  <c:v>5.13</c:v>
                </c:pt>
                <c:pt idx="4">
                  <c:v>12.5</c:v>
                </c:pt>
                <c:pt idx="5">
                  <c:v>6.01</c:v>
                </c:pt>
                <c:pt idx="6">
                  <c:v>3.69</c:v>
                </c:pt>
                <c:pt idx="7">
                  <c:v>7.42</c:v>
                </c:pt>
                <c:pt idx="8">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Hoja1!$C$2:$C$10</c:f>
              <c:numCache>
                <c:formatCode>#,##0.0</c:formatCode>
                <c:ptCount val="9"/>
                <c:pt idx="0">
                  <c:v>4.099999999999999</c:v>
                </c:pt>
                <c:pt idx="1">
                  <c:v>3.9000000000000004</c:v>
                </c:pt>
                <c:pt idx="2">
                  <c:v>2.05</c:v>
                </c:pt>
                <c:pt idx="3">
                  <c:v>2.4800000000000004</c:v>
                </c:pt>
                <c:pt idx="4">
                  <c:v>0.9199999999999999</c:v>
                </c:pt>
                <c:pt idx="5">
                  <c:v>2.17</c:v>
                </c:pt>
                <c:pt idx="6">
                  <c:v>4.390000000000001</c:v>
                </c:pt>
                <c:pt idx="7">
                  <c:v>1.7200000000000006</c:v>
                </c:pt>
                <c:pt idx="8">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Autotrader</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262.8</c:v>
                </c:pt>
                <c:pt idx="1">
                  <c:v>432.7</c:v>
                </c:pt>
                <c:pt idx="2">
                  <c:v>473</c:v>
                </c:pt>
                <c:pt idx="3">
                  <c:v>529.7</c:v>
                </c:pt>
                <c:pt idx="4">
                  <c:v>564.8</c:v>
                </c:pt>
                <c:pt idx="5">
                  <c:v>585.3</c:v>
                </c:pt>
              </c:numCache>
            </c:numRef>
          </c:val>
        </c:ser>
        <c:ser>
          <c:idx val="1"/>
          <c:order val="1"/>
          <c:tx>
            <c:strRef>
              <c:f>Hoja1!$C$1</c:f>
              <c:strCache>
                <c:ptCount val="1"/>
                <c:pt idx="0">
                  <c:v>Autorama</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2">
                  <c:v>27.2</c:v>
                </c:pt>
                <c:pt idx="3">
                  <c:v>41.2</c:v>
                </c:pt>
                <c:pt idx="4">
                  <c:v>36.3</c:v>
                </c:pt>
                <c:pt idx="5">
                  <c:v>39</c:v>
                </c:pt>
              </c:numCache>
            </c:numRef>
          </c:val>
        </c:ser>
        <c:ser>
          <c:idx val="2"/>
          <c:order val="2"/>
          <c:tx>
            <c:strRef>
              <c:f>Hoja1!$D$1</c:f>
              <c:strCache>
                <c:ptCount val="1"/>
                <c:pt idx="0">
                  <c:v>Costes centrales (compra de Autorama)</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Autotrader</c:v>
                </c:pt>
                <c:pt idx="1">
                  <c:v>Autorama</c:v>
                </c:pt>
                <c:pt idx="2">
                  <c:v>Costes centrales (compra de Autorama)</c:v>
                </c:pt>
              </c:strCache>
            </c:strRef>
          </c:cat>
          <c:val>
            <c:numRef>
              <c:f>Hoja1!$B$2:$B$4</c:f>
              <c:numCache>
                <c:formatCode>General</c:formatCode>
                <c:ptCount val="3"/>
                <c:pt idx="0">
                  <c:v>93.8</c:v>
                </c:pt>
                <c:pt idx="1">
                  <c:v>6.2</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Reino Unido</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transacciones de coches usados (año natural, SMMT))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6.75</c:v>
                </c:pt>
                <c:pt idx="1">
                  <c:v>7.53</c:v>
                </c:pt>
                <c:pt idx="2">
                  <c:v>6.89</c:v>
                </c:pt>
                <c:pt idx="3">
                  <c:v>7.24</c:v>
                </c:pt>
                <c:pt idx="4">
                  <c:v>7.64</c:v>
                </c:pt>
                <c:pt idx="5">
                  <c:v>7.81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Auto Trader</c:v>
                </c:pt>
                <c:pt idx="1">
                  <c:v>CarGurus (CarGurus UK y PistonHeads)</c:v>
                </c:pt>
                <c:pt idx="2">
                  <c:v>Motors.co.uk</c:v>
                </c:pt>
                <c:pt idx="3">
                  <c:v>eBay y Gumtree</c:v>
                </c:pt>
                <c:pt idx="4">
                  <c:v>Carwow</c:v>
                </c:pt>
                <c:pt idx="5">
                  <c:v>Cars.com</c:v>
                </c:pt>
                <c:pt idx="6">
                  <c:v>CAR Group (carsales)</c:v>
                </c:pt>
                <c:pt idx="7">
                  <c:v>Rightmove</c:v>
                </c:pt>
                <c:pt idx="8">
                  <c:v>Scout24</c:v>
                </c:pt>
              </c:strCache>
            </c:strRef>
          </c:cat>
          <c:val>
            <c:numRef>
              <c:f>Hoja1!$B$2:$B$10</c:f>
              <c:numCache>
                <c:formatCode>0.0"%"</c:formatCode>
                <c:ptCount val="9"/>
                <c:pt idx="0">
                  <c:v>62.2</c:v>
                </c:pt>
                <c:pt idx="1">
                  <c:v>26.9</c:v>
                </c:pt>
                <c:pt idx="5">
                  <c:v>8.3</c:v>
                </c:pt>
                <c:pt idx="6">
                  <c:v>47.8</c:v>
                </c:pt>
                <c:pt idx="7">
                  <c:v>67.7</c:v>
                </c:pt>
                <c:pt idx="8">
                  <c:v>44.9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311.4</c:v>
                </c:pt>
                <c:pt idx="1">
                  <c:v>330.1</c:v>
                </c:pt>
                <c:pt idx="2">
                  <c:v>355.1</c:v>
                </c:pt>
                <c:pt idx="3">
                  <c:v>368.9</c:v>
                </c:pt>
                <c:pt idx="4">
                  <c:v>262.8</c:v>
                </c:pt>
                <c:pt idx="5">
                  <c:v>432.7</c:v>
                </c:pt>
                <c:pt idx="6">
                  <c:v>500.2</c:v>
                </c:pt>
                <c:pt idx="7">
                  <c:v>570.9</c:v>
                </c:pt>
                <c:pt idx="8">
                  <c:v>601.1</c:v>
                </c:pt>
                <c:pt idx="9">
                  <c:v>624.3</c:v>
                </c:pt>
                <c:pt idx="10">
                  <c:v>647</c:v>
                </c:pt>
                <c:pt idx="11">
                  <c:v>676</c:v>
                </c:pt>
                <c:pt idx="12">
                  <c:v>710</c:v>
                </c:pt>
                <c:pt idx="13">
                  <c:v>744</c:v>
                </c:pt>
                <c:pt idx="14">
                  <c:v>777</c:v>
                </c:pt>
                <c:pt idx="15">
                  <c:v>808</c:v>
                </c:pt>
                <c:pt idx="16">
                  <c:v>837</c:v>
                </c:pt>
                <c:pt idx="17">
                  <c:v>862</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211.1</c:v>
                </c:pt>
                <c:pt idx="1">
                  <c:v>227.7</c:v>
                </c:pt>
                <c:pt idx="2">
                  <c:v>251.7</c:v>
                </c:pt>
                <c:pt idx="3">
                  <c:v>262.2</c:v>
                </c:pt>
                <c:pt idx="4">
                  <c:v>165.1</c:v>
                </c:pt>
                <c:pt idx="5">
                  <c:v>307.90000000000003</c:v>
                </c:pt>
                <c:pt idx="6">
                  <c:v>328</c:v>
                </c:pt>
                <c:pt idx="7">
                  <c:v>375.3</c:v>
                </c:pt>
                <c:pt idx="8">
                  <c:v>393.9</c:v>
                </c:pt>
                <c:pt idx="9">
                  <c:v>412</c:v>
                </c:pt>
                <c:pt idx="10">
                  <c:v>427</c:v>
                </c:pt>
                <c:pt idx="11">
                  <c:v>449</c:v>
                </c:pt>
                <c:pt idx="12">
                  <c:v>475</c:v>
                </c:pt>
                <c:pt idx="13">
                  <c:v>498</c:v>
                </c:pt>
                <c:pt idx="14">
                  <c:v>521</c:v>
                </c:pt>
                <c:pt idx="15">
                  <c:v>542</c:v>
                </c:pt>
                <c:pt idx="16">
                  <c:v>561</c:v>
                </c:pt>
                <c:pt idx="17">
                  <c:v>577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100</c:v>
                </c:pt>
                <c:pt idx="1">
                  <c:v>100</c:v>
                </c:pt>
                <c:pt idx="2">
                  <c:v>100</c:v>
                </c:pt>
                <c:pt idx="3">
                  <c:v>100</c:v>
                </c:pt>
                <c:pt idx="4">
                  <c:v>100</c:v>
                </c:pt>
                <c:pt idx="5">
                  <c:v>100</c:v>
                </c:pt>
                <c:pt idx="6">
                  <c:v>96.9</c:v>
                </c:pt>
                <c:pt idx="7">
                  <c:v>95.1</c:v>
                </c:pt>
                <c:pt idx="8">
                  <c:v>95.6</c:v>
                </c:pt>
                <c:pt idx="9">
                  <c:v>95.2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67.8</c:v>
                </c:pt>
                <c:pt idx="1">
                  <c:v>69</c:v>
                </c:pt>
                <c:pt idx="2">
                  <c:v>70.9</c:v>
                </c:pt>
                <c:pt idx="3">
                  <c:v>71.1</c:v>
                </c:pt>
                <c:pt idx="4">
                  <c:v>62.8</c:v>
                </c:pt>
                <c:pt idx="5">
                  <c:v>71.2</c:v>
                </c:pt>
                <c:pt idx="6">
                  <c:v>65.6</c:v>
                </c:pt>
                <c:pt idx="7">
                  <c:v>65.7</c:v>
                </c:pt>
                <c:pt idx="8">
                  <c:v>65.5</c:v>
                </c:pt>
                <c:pt idx="9">
                  <c:v>66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65.2</c:v>
                </c:pt>
                <c:pt idx="1">
                  <c:v>66.8</c:v>
                </c:pt>
                <c:pt idx="2">
                  <c:v>68.4</c:v>
                </c:pt>
                <c:pt idx="3">
                  <c:v>69.3</c:v>
                </c:pt>
                <c:pt idx="4">
                  <c:v>60.4</c:v>
                </c:pt>
                <c:pt idx="5">
                  <c:v>69.5</c:v>
                </c:pt>
                <c:pt idx="6">
                  <c:v>62.8</c:v>
                </c:pt>
                <c:pt idx="7">
                  <c:v>62.5</c:v>
                </c:pt>
                <c:pt idx="8">
                  <c:v>62.1</c:v>
                </c:pt>
                <c:pt idx="9">
                  <c:v>62.2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49.7</c:v>
                </c:pt>
                <c:pt idx="1">
                  <c:v>51.9</c:v>
                </c:pt>
                <c:pt idx="2">
                  <c:v>55.7</c:v>
                </c:pt>
                <c:pt idx="3">
                  <c:v>55.6</c:v>
                </c:pt>
                <c:pt idx="4">
                  <c:v>48.6</c:v>
                </c:pt>
                <c:pt idx="5">
                  <c:v>56.6</c:v>
                </c:pt>
                <c:pt idx="6">
                  <c:v>46.8</c:v>
                </c:pt>
                <c:pt idx="7">
                  <c:v>45</c:v>
                </c:pt>
                <c:pt idx="8">
                  <c:v>47</c:v>
                </c:pt>
                <c:pt idx="9">
                  <c:v>47.1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16</c:v>
                </c:pt>
                <c:pt idx="1">
                  <c:v>15.2</c:v>
                </c:pt>
                <c:pt idx="2">
                  <c:v>12.3</c:v>
                </c:pt>
                <c:pt idx="3">
                  <c:v>16</c:v>
                </c:pt>
                <c:pt idx="4">
                  <c:v>7.8</c:v>
                </c:pt>
                <c:pt idx="5">
                  <c:v>2.8</c:v>
                </c:pt>
                <c:pt idx="6">
                  <c:v>5</c:v>
                </c:pt>
                <c:pt idx="7">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59</c:v>
                </c:pt>
                <c:pt idx="1">
                  <c:v>61</c:v>
                </c:pt>
                <c:pt idx="2">
                  <c:v>58</c:v>
                </c:pt>
                <c:pt idx="3">
                  <c:v>55</c:v>
                </c:pt>
                <c:pt idx="4">
                  <c:v>83</c:v>
                </c:pt>
                <c:pt idx="5">
                  <c:v>56</c:v>
                </c:pt>
                <c:pt idx="6">
                  <c:v>53</c:v>
                </c:pt>
                <c:pt idx="7">
                  <c:v>53</c:v>
                </c:pt>
                <c:pt idx="8">
                  <c:v>51</c:v>
                </c:pt>
                <c:pt idx="9">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8</c:v>
                </c:pt>
                <c:pt idx="7">
                  <c:v>5</c:v>
                </c:pt>
                <c:pt idx="8">
                  <c:v>4</c:v>
                </c:pt>
                <c:pt idx="9">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121</c:v>
                </c:pt>
                <c:pt idx="1">
                  <c:v>119</c:v>
                </c:pt>
                <c:pt idx="2">
                  <c:v>110</c:v>
                </c:pt>
                <c:pt idx="3">
                  <c:v>114</c:v>
                </c:pt>
                <c:pt idx="4">
                  <c:v>81</c:v>
                </c:pt>
                <c:pt idx="5">
                  <c:v>123</c:v>
                </c:pt>
                <c:pt idx="6">
                  <c:v>114</c:v>
                </c:pt>
                <c:pt idx="7">
                  <c:v>112</c:v>
                </c:pt>
                <c:pt idx="8">
                  <c:v>102</c:v>
                </c:pt>
                <c:pt idx="9">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166.8</c:v>
                </c:pt>
                <c:pt idx="1">
                  <c:v>177.1</c:v>
                </c:pt>
                <c:pt idx="2">
                  <c:v>204.3</c:v>
                </c:pt>
                <c:pt idx="3">
                  <c:v>184.89999999999998</c:v>
                </c:pt>
                <c:pt idx="4">
                  <c:v>117.8</c:v>
                </c:pt>
                <c:pt idx="5">
                  <c:v>264.4</c:v>
                </c:pt>
                <c:pt idx="6">
                  <c:v>257.3</c:v>
                </c:pt>
                <c:pt idx="7">
                  <c:v>277.6</c:v>
                </c:pt>
                <c:pt idx="8">
                  <c:v>296.90000000000003</c:v>
                </c:pt>
                <c:pt idx="9">
                  <c:v>290.8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154.7</c:v>
                </c:pt>
                <c:pt idx="1">
                  <c:v>171.3</c:v>
                </c:pt>
                <c:pt idx="2">
                  <c:v>197.7</c:v>
                </c:pt>
                <c:pt idx="3">
                  <c:v>205.1</c:v>
                </c:pt>
                <c:pt idx="4">
                  <c:v>127.8</c:v>
                </c:pt>
                <c:pt idx="5">
                  <c:v>244.7</c:v>
                </c:pt>
                <c:pt idx="6">
                  <c:v>233.9</c:v>
                </c:pt>
                <c:pt idx="7">
                  <c:v>256.9</c:v>
                </c:pt>
                <c:pt idx="8">
                  <c:v>282.6</c:v>
                </c:pt>
                <c:pt idx="9">
                  <c:v>293.9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48.7</c:v>
                </c:pt>
                <c:pt idx="1">
                  <c:v>53</c:v>
                </c:pt>
                <c:pt idx="2">
                  <c:v>54.6</c:v>
                </c:pt>
                <c:pt idx="3">
                  <c:v>51.6</c:v>
                </c:pt>
                <c:pt idx="4">
                  <c:v>29.4</c:v>
                </c:pt>
                <c:pt idx="5">
                  <c:v>55.5</c:v>
                </c:pt>
                <c:pt idx="6">
                  <c:v>49.5</c:v>
                </c:pt>
                <c:pt idx="7">
                  <c:v>46.3</c:v>
                </c:pt>
                <c:pt idx="8">
                  <c:v>49.9</c:v>
                </c:pt>
                <c:pt idx="9">
                  <c:v>50.9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c:v>
                </c:pt>
                <c:pt idx="1">
                  <c:v>9</c:v>
                </c:pt>
                <c:pt idx="2">
                  <c:v>9</c:v>
                </c:pt>
                <c:pt idx="3">
                  <c:v>9</c:v>
                </c:pt>
                <c:pt idx="4">
                  <c:v>9</c:v>
                </c:pt>
                <c:pt idx="5">
                  <c:v>9</c:v>
                </c:pt>
                <c:pt idx="6">
                  <c:v>9</c:v>
                </c:pt>
                <c:pt idx="7">
                  <c:v>9</c:v>
                </c:pt>
                <c:pt idx="8">
                  <c:v>9</c:v>
                </c:pt>
                <c:pt idx="9">
                  <c:v>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-722.9</c:v>
                </c:pt>
                <c:pt idx="1">
                  <c:v>-2039.3</c:v>
                </c:pt>
                <c:pt idx="2">
                  <c:v>621.7</c:v>
                </c:pt>
                <c:pt idx="3">
                  <c:v>204.5</c:v>
                </c:pt>
                <c:pt idx="4">
                  <c:v>42.6</c:v>
                </c:pt>
                <c:pt idx="5">
                  <c:v>52.6</c:v>
                </c:pt>
                <c:pt idx="6">
                  <c:v>46.8</c:v>
                </c:pt>
                <c:pt idx="7">
                  <c:v>47.6</c:v>
                </c:pt>
                <c:pt idx="8">
                  <c:v>50.4</c:v>
                </c:pt>
                <c:pt idx="9">
                  <c:v>60.2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1.68</c:v>
                </c:pt>
                <c:pt idx="1">
                  <c:v>1.49</c:v>
                </c:pt>
                <c:pt idx="2">
                  <c:v>1.28</c:v>
                </c:pt>
                <c:pt idx="3">
                  <c:v>1.09</c:v>
                </c:pt>
                <c:pt idx="4">
                  <c:v>-0.05</c:v>
                </c:pt>
                <c:pt idx="5">
                  <c:v>-0.14</c:v>
                </c:pt>
                <c:pt idx="6">
                  <c:v>0.16</c:v>
                </c:pt>
                <c:pt idx="7">
                  <c:v>0.04</c:v>
                </c:pt>
                <c:pt idx="8">
                  <c:v>-0.03</c:v>
                </c:pt>
                <c:pt idx="9">
                  <c:v>0.46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2030</c:v>
                </c:pt>
              </c:strCache>
            </c:strRef>
          </c:cat>
          <c:val>
            <c:numRef>
              <c:f>Hoja1!$B$2</c:f>
              <c:numCache>
                <c:formatCode>#,##0</c:formatCode>
                <c:ptCount val="1"/>
                <c:pt idx="0">
                  <c:v>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11.9</c:v>
                </c:pt>
                <c:pt idx="2">
                  <c:v>19.7</c:v>
                </c:pt>
                <c:pt idx="3">
                  <c:v>25.3</c:v>
                </c:pt>
                <c:pt idx="4">
                  <c:v>10</c:v>
                </c:pt>
                <c:pt idx="5">
                  <c:v>0</c:v>
                </c:pt>
                <c:pt idx="6">
                  <c:v>153.6</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26.6</c:v>
                </c:pt>
                <c:pt idx="1">
                  <c:v>52.2</c:v>
                </c:pt>
                <c:pt idx="2">
                  <c:v>57.6</c:v>
                </c:pt>
                <c:pt idx="3">
                  <c:v>64.7</c:v>
                </c:pt>
                <c:pt idx="4">
                  <c:v>0</c:v>
                </c:pt>
                <c:pt idx="5">
                  <c:v>73.6</c:v>
                </c:pt>
                <c:pt idx="6">
                  <c:v>77.7</c:v>
                </c:pt>
                <c:pt idx="7">
                  <c:v>80.4</c:v>
                </c:pt>
                <c:pt idx="8">
                  <c:v>88.4</c:v>
                </c:pt>
                <c:pt idx="9">
                  <c:v>94.1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102.6</c:v>
                </c:pt>
                <c:pt idx="1">
                  <c:v>96.7</c:v>
                </c:pt>
                <c:pt idx="2">
                  <c:v>94</c:v>
                </c:pt>
                <c:pt idx="3">
                  <c:v>62</c:v>
                </c:pt>
                <c:pt idx="4">
                  <c:v>0</c:v>
                </c:pt>
                <c:pt idx="5">
                  <c:v>164.3</c:v>
                </c:pt>
                <c:pt idx="6">
                  <c:v>148</c:v>
                </c:pt>
                <c:pt idx="7">
                  <c:v>170.8</c:v>
                </c:pt>
                <c:pt idx="8">
                  <c:v>188.2</c:v>
                </c:pt>
                <c:pt idx="9">
                  <c:v>371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FIL Limited (Fidelity)</c:v>
                </c:pt>
                <c:pt idx="2">
                  <c:v>Baillie Gifford &amp; Co</c:v>
                </c:pt>
                <c:pt idx="3">
                  <c:v>Norges Bank</c:v>
                </c:pt>
                <c:pt idx="4">
                  <c:v>Autocartera</c:v>
                </c:pt>
              </c:strCache>
            </c:strRef>
          </c:cat>
          <c:val>
            <c:numRef>
              <c:f>Hoja1!$B$2:$B$6</c:f>
              <c:numCache>
                <c:formatCode>0.0"%"</c:formatCode>
                <c:ptCount val="5"/>
                <c:pt idx="0">
                  <c:v>9.92</c:v>
                </c:pt>
                <c:pt idx="1">
                  <c:v>5.27</c:v>
                </c:pt>
                <c:pt idx="2">
                  <c:v>4.96</c:v>
                </c:pt>
                <c:pt idx="3">
                  <c:v>3.06</c:v>
                </c:pt>
                <c:pt idx="4">
                  <c:v>0.71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-7.9</c:v>
                </c:pt>
                <c:pt idx="1">
                  <c:v>-13.7</c:v>
                </c:pt>
                <c:pt idx="2">
                  <c:v>28.9</c:v>
                </c:pt>
                <c:pt idx="3">
                  <c:v>30.7</c:v>
                </c:pt>
                <c:pt idx="4">
                  <c:v>0.2</c:v>
                </c:pt>
                <c:pt idx="5">
                  <c:v>24.2</c:v>
                </c:pt>
                <c:pt idx="6">
                  <c:v>-30.3</c:v>
                </c:pt>
                <c:pt idx="7">
                  <c:v>39.9</c:v>
                </c:pt>
                <c:pt idx="8">
                  <c:v>9.9</c:v>
                </c:pt>
                <c:pt idx="9">
                  <c:v>-26.1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20.1</c:v>
                </c:pt>
                <c:pt idx="1">
                  <c:v>16.4</c:v>
                </c:pt>
                <c:pt idx="2">
                  <c:v>20.9</c:v>
                </c:pt>
                <c:pt idx="3">
                  <c:v>16.6</c:v>
                </c:pt>
                <c:pt idx="4">
                  <c:v>32.4</c:v>
                </c:pt>
                <c:pt idx="5">
                  <c:v>19.5</c:v>
                </c:pt>
                <c:pt idx="6">
                  <c:v>17.9</c:v>
                </c:pt>
                <c:pt idx="7">
                  <c:v>17.1</c:v>
                </c:pt>
                <c:pt idx="8">
                  <c:v>16.9</c:v>
                </c:pt>
                <c:pt idx="9">
                  <c:v>10.3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17.1</c:v>
                </c:pt>
                <c:pt idx="1">
                  <c:v>17.1</c:v>
                </c:pt>
                <c:pt idx="2">
                  <c:v>17.1</c:v>
                </c:pt>
                <c:pt idx="3">
                  <c:v>17.1</c:v>
                </c:pt>
                <c:pt idx="4">
                  <c:v>17.1</c:v>
                </c:pt>
                <c:pt idx="5">
                  <c:v>17.1</c:v>
                </c:pt>
                <c:pt idx="6">
                  <c:v>17.1</c:v>
                </c:pt>
                <c:pt idx="7">
                  <c:v>17.1</c:v>
                </c:pt>
                <c:pt idx="8">
                  <c:v>17.1</c:v>
                </c:pt>
                <c:pt idx="9">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Auto Trader</c:v>
                </c:pt>
                <c:pt idx="1">
                  <c:v>Rightmove</c:v>
                </c:pt>
                <c:pt idx="2">
                  <c:v>Scout24</c:v>
                </c:pt>
                <c:pt idx="3">
                  <c:v>REA Group</c:v>
                </c:pt>
                <c:pt idx="4">
                  <c:v>CAR Group</c:v>
                </c:pt>
                <c:pt idx="5">
                  <c:v>CarGurus</c:v>
                </c:pt>
                <c:pt idx="6">
                  <c:v>Cars.com</c:v>
                </c:pt>
                <c:pt idx="7">
                  <c:v>Hemnet</c:v>
                </c:pt>
              </c:strCache>
            </c:strRef>
          </c:cat>
          <c:val>
            <c:numRef>
              <c:f>Hoja1!$B$2:$B$9</c:f>
              <c:numCache>
                <c:formatCode>0.0"x"</c:formatCode>
                <c:ptCount val="8"/>
                <c:pt idx="0">
                  <c:v>9.5</c:v>
                </c:pt>
                <c:pt idx="1">
                  <c:v>11.2</c:v>
                </c:pt>
                <c:pt idx="2">
                  <c:v>10.6</c:v>
                </c:pt>
                <c:pt idx="3">
                  <c:v>15.9</c:v>
                </c:pt>
                <c:pt idx="4">
                  <c:v>12.3</c:v>
                </c:pt>
                <c:pt idx="5">
                  <c:v>6.4</c:v>
                </c:pt>
                <c:pt idx="6">
                  <c:v>4.1</c:v>
                </c:pt>
                <c:pt idx="7">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Auto Trader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4.4</c:v>
                </c:pt>
              </c:numCache>
            </c:numRef>
          </c:xVal>
          <c:yVal>
            <c:numRef>
              <c:f>Hoja1!$C$2</c:f>
              <c:numCache>
                <c:formatCode>0.0"x"</c:formatCode>
                <c:ptCount val="1"/>
                <c:pt idx="0">
                  <c:v>9.5</c:v>
                </c:pt>
              </c:numCache>
            </c:numRef>
          </c:yVal>
          <c:smooth val="0"/>
        </c:ser>
        <c:ser>
          <c:idx val="1"/>
          <c:order val="1"/>
          <c:tx>
            <c:strRef>
              <c:f>Hoja1!$A$3</c:f>
              <c:strCache>
                <c:ptCount val="1"/>
                <c:pt idx="0">
                  <c:v>Rightmove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11.2</c:v>
                </c:pt>
              </c:numCache>
            </c:numRef>
          </c:yVal>
          <c:smooth val="0"/>
        </c:ser>
        <c:ser>
          <c:idx val="2"/>
          <c:order val="2"/>
          <c:tx>
            <c:strRef>
              <c:f>Hoja1!$A$4</c:f>
              <c:strCache>
                <c:ptCount val="1"/>
                <c:pt idx="0">
                  <c:v>Scout24</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14.7</c:v>
                </c:pt>
              </c:numCache>
            </c:numRef>
          </c:xVal>
          <c:yVal>
            <c:numRef>
              <c:f>Hoja1!$C$4</c:f>
              <c:numCache>
                <c:formatCode>0.0"x"</c:formatCode>
                <c:ptCount val="1"/>
                <c:pt idx="0">
                  <c:v>10.6</c:v>
                </c:pt>
              </c:numCache>
            </c:numRef>
          </c:yVal>
          <c:smooth val="0"/>
        </c:ser>
        <c:ser>
          <c:idx val="3"/>
          <c:order val="3"/>
          <c:tx>
            <c:strRef>
              <c:f>Hoja1!$A$5</c:f>
              <c:strCache>
                <c:ptCount val="1"/>
                <c:pt idx="0">
                  <c:v>REA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6.1</c:v>
                </c:pt>
              </c:numCache>
            </c:numRef>
          </c:xVal>
          <c:yVal>
            <c:numRef>
              <c:f>Hoja1!$C$5</c:f>
              <c:numCache>
                <c:formatCode>0.0"x"</c:formatCode>
                <c:ptCount val="1"/>
                <c:pt idx="0">
                  <c:v>15.9</c:v>
                </c:pt>
              </c:numCache>
            </c:numRef>
          </c:yVal>
          <c:smooth val="0"/>
        </c:ser>
        <c:ser>
          <c:idx val="4"/>
          <c:order val="4"/>
          <c:tx>
            <c:strRef>
              <c:f>Hoja1!$A$6</c:f>
              <c:strCache>
                <c:ptCount val="1"/>
                <c:pt idx="0">
                  <c:v>CAR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10.8</c:v>
                </c:pt>
              </c:numCache>
            </c:numRef>
          </c:xVal>
          <c:yVal>
            <c:numRef>
              <c:f>Hoja1!$C$6</c:f>
              <c:numCache>
                <c:formatCode>0.0"x"</c:formatCode>
                <c:ptCount val="1"/>
                <c:pt idx="0">
                  <c:v>12.3</c:v>
                </c:pt>
              </c:numCache>
            </c:numRef>
          </c:yVal>
          <c:smooth val="0"/>
        </c:ser>
        <c:ser>
          <c:idx val="5"/>
          <c:order val="5"/>
          <c:tx>
            <c:strRef>
              <c:f>Hoja1!$A$7</c:f>
              <c:strCache>
                <c:ptCount val="1"/>
                <c:pt idx="0">
                  <c:v>CarGurus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8.5</c:v>
                </c:pt>
              </c:numCache>
            </c:numRef>
          </c:xVal>
          <c:yVal>
            <c:numRef>
              <c:f>Hoja1!$C$7</c:f>
              <c:numCache>
                <c:formatCode>0.0"x"</c:formatCode>
                <c:ptCount val="1"/>
                <c:pt idx="0">
                  <c:v>6.4</c:v>
                </c:pt>
              </c:numCache>
            </c:numRef>
          </c:yVal>
          <c:smooth val="0"/>
        </c:ser>
        <c:ser>
          <c:idx val="6"/>
          <c:order val="6"/>
          <c:tx>
            <c:strRef>
              <c:f>Hoja1!$A$8</c:f>
              <c:strCache>
                <c:ptCount val="1"/>
                <c:pt idx="0">
                  <c:v>Cars.com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4.1</c:v>
                </c:pt>
              </c:numCache>
            </c:numRef>
          </c:yVal>
          <c:smooth val="0"/>
        </c:ser>
        <c:ser>
          <c:idx val="7"/>
          <c:order val="7"/>
          <c:tx>
            <c:strRef>
              <c:f>Hoja1!$A$9</c:f>
              <c:strCache>
                <c:ptCount val="1"/>
                <c:pt idx="0">
                  <c:v>Hemnet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-2.3</c:v>
                </c:pt>
              </c:numCache>
            </c:numRef>
          </c:xVal>
          <c:yVal>
            <c:numRef>
              <c:f>Hoja1!$C$9</c:f>
              <c:numCache>
                <c:formatCode>0.0"x"</c:formatCode>
                <c:ptCount val="1"/>
                <c:pt idx="0">
                  <c:v>10</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AutoScout24 (con FinanceScout24 y Finanzcheck)</c:v>
                </c:pt>
                <c:pt idx="1">
                  <c:v>Trader Interactive (49 %)</c:v>
                </c:pt>
                <c:pt idx="2">
                  <c:v>Trader Interactive (51 % restante)</c:v>
                </c:pt>
                <c:pt idx="3">
                  <c:v>Adevinta</c:v>
                </c:pt>
                <c:pt idx="4">
                  <c:v>Rightmove (propuesta no aceptada)</c:v>
                </c:pt>
                <c:pt idx="5">
                  <c:v>Domain Holdings Australia</c:v>
                </c:pt>
              </c:strCache>
            </c:strRef>
          </c:cat>
          <c:val>
            <c:numRef>
              <c:f>Hoja1!$B$2:$B$7</c:f>
              <c:numCache>
                <c:formatCode>0.0"x"</c:formatCode>
                <c:ptCount val="6"/>
                <c:pt idx="0">
                  <c:v>26.1</c:v>
                </c:pt>
                <c:pt idx="1">
                  <c:v>26.5</c:v>
                </c:pt>
                <c:pt idx="2">
                  <c:v>25</c:v>
                </c:pt>
                <c:pt idx="4">
                  <c:v>22.9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316</c:v>
                </c:pt>
                <c:pt idx="1">
                  <c:v>331</c:v>
                </c:pt>
                <c:pt idx="2">
                  <c:v>349</c:v>
                </c:pt>
                <c:pt idx="3">
                  <c:v>364</c:v>
                </c:pt>
                <c:pt idx="4">
                  <c:v>379</c:v>
                </c:pt>
                <c:pt idx="5">
                  <c:v>394</c:v>
                </c:pt>
                <c:pt idx="6">
                  <c:v>407</c:v>
                </c:pt>
                <c:pt idx="7">
                  <c:v>419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2024</c:v>
                </c:pt>
                <c:pt idx="1">
                  <c:v>3773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4,89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3.69</c:v>
                </c:pt>
                <c:pt idx="1">
                  <c:v>6.92</c:v>
                </c:pt>
                <c:pt idx="2">
                  <c:v>8.08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Hoja1!$B$2:$B$10</c:f>
              <c:numCache>
                <c:formatCode>#,##0.0</c:formatCode>
                <c:ptCount val="9"/>
                <c:pt idx="0">
                  <c:v>4.19</c:v>
                </c:pt>
                <c:pt idx="1">
                  <c:v>4.1</c:v>
                </c:pt>
                <c:pt idx="2">
                  <c:v>4.11</c:v>
                </c:pt>
                <c:pt idx="3">
                  <c:v>5.13</c:v>
                </c:pt>
                <c:pt idx="4">
                  <c:v>12.5</c:v>
                </c:pt>
                <c:pt idx="5">
                  <c:v>6.01</c:v>
                </c:pt>
                <c:pt idx="6">
                  <c:v>3.69</c:v>
                </c:pt>
                <c:pt idx="7">
                  <c:v>7.42</c:v>
                </c:pt>
                <c:pt idx="8">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Hoja1!$C$2:$C$10</c:f>
              <c:numCache>
                <c:formatCode>#,##0.0</c:formatCode>
                <c:ptCount val="9"/>
                <c:pt idx="0">
                  <c:v>4.099999999999999</c:v>
                </c:pt>
                <c:pt idx="1">
                  <c:v>3.9000000000000004</c:v>
                </c:pt>
                <c:pt idx="2">
                  <c:v>2.05</c:v>
                </c:pt>
                <c:pt idx="3">
                  <c:v>2.4800000000000004</c:v>
                </c:pt>
                <c:pt idx="4">
                  <c:v>0.9199999999999999</c:v>
                </c:pt>
                <c:pt idx="5">
                  <c:v>2.17</c:v>
                </c:pt>
                <c:pt idx="6">
                  <c:v>4.390000000000001</c:v>
                </c:pt>
                <c:pt idx="7">
                  <c:v>1.7200000000000006</c:v>
                </c:pt>
                <c:pt idx="8">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