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Coloplast A/S</w:t>
      </w:r>
    </w:p>
    <w:p>
      <w:pPr>
        <w:spacing w:after="60"/>
        <w:rPr>
          <w:color w:val="52514E"/>
          <w:sz w:val="22"/>
          <w:szCs w:val="22"/>
        </w:rPr>
      </w:pPr>
      <w:r>
        <w:rPr>
          <w:color w:val="52514E"/>
          <w:sz w:val="22"/>
          <w:szCs w:val="22"/>
        </w:rPr>
        <w:t xml:space="preserve">COLO B · Nasdaq Copenhague · ISIN DK0060448595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DKK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446,30 DKK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489,35 DKK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+14,8 % (base +14,6 %)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555,17 DKK · mercado 675,63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100.551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Coloplast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COLO B / DK0060448595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Copenhague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Copenhagen 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Humlebæk (Dinamarca) · 1957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www.coloplast.com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446,30 (12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369,70 – 631,40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100.551 M DKK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125.854 M DKK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146 M DKK/día (337.000 acciones B;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489,35 DKK</w:t>
      </w:r>
      <w:r>
        <w:t xml:space="preserve"> frente a 446,30 · Rentabilidad a 12 meses </w:t>
      </w:r>
      <w:r>
        <w:rPr>
          <w:b/>
          <w:bCs/>
        </w:rPr>
        <w:t xml:space="preserve">+14,8 % (base +14,6 %)</w:t>
      </w:r>
      <w:r>
        <w:t xml:space="preserve"> · Valor intrínseco 555,17 DKK · con la prima implícita del mercado: 675,63 (+51,4 %) · Alcista / bajista +54,4 % / -19,7 %</w:t>
      </w:r>
    </w:p>
    <w:p>
      <w:pPr>
        <w:spacing w:after="100"/>
      </w:pPr>
      <w:r>
        <w:rPr>
          <w:b/>
        </w:rPr>
        <w:t xml:space="preserve">La recomendación y por qué.</w:t>
      </w:r>
      <w:r>
        <w:t xml:space="preserve"> Comprar, con convicción media. El valor objetivo es de 555,17 DKK frente a 446,30 DKK de cierre del 12 de octubre (+24,4 %); con el dividendo del 5,2 %, la rentabilidad total esperada a 12 meses es del 29,5 %, y la asimetría de los escenarios, de 2,76 veces (alcista +54,4 %, bajista −19,7 %). La razón principal: el precio descuenta que el líder mundial de ostomía y continencia crezca al 1,4 % anual o gane un margen EBITDA del 27,9 %, cuando lleva siete trimestres creciendo al 6-8 % orgánico con un margen del 31-32 %. El motor sugiere convicción alta; la bajo a media porque el 3 de noviembre el nuevo CEO presentará resultados y una revisión del plan Impact4, un riesgo binario con fecha que las cifras no recogen. Subiría a alta si la guía de 2026/27 mantiene un EBIT a tipo constante de al menos +5 % sin reestructuración grande; bajaría si el margen EBIT objetivo baja del 25 %.</w:t>
      </w:r>
    </w:p>
    <w:p>
      <w:pPr>
        <w:spacing w:after="100"/>
      </w:pPr>
      <w:r>
        <w:rPr>
          <w:b/>
        </w:rPr>
        <w:t xml:space="preserve">El negocio.</w:t>
      </w:r>
      <w:r>
        <w:t xml:space="preserve"> Coloplast tiene el 35-40 % de la ostomía y el 40-45 % de la continencia mundiales, el 68 % de sus ventas [13]. Su margen EBITDA (31,8 % LTM) supera al de todos los comparables, y el ROIC (11,9 %) sigue por encima del WACC (7,23 %), aunque cayó desde el 52,2 % de FY2021 con las compras. La calidad del negocio sostiene el crecimiento que proyectamos (veredicto: sí): un 4,7 % anual sin inversión neta, por debajo del orgánico histórico y con la cuota casi estable (del 22,8 % al 23,2 %).</w:t>
      </w:r>
    </w:p>
    <w:p>
      <w:pPr>
        <w:spacing w:after="100"/>
      </w:pPr>
      <w:r>
        <w:rPr>
          <w:b/>
        </w:rPr>
        <w:t xml:space="preserve">Finanzas.</w:t>
      </w:r>
      <w:r>
        <w:t xml:space="preserve"> El crecimiento orgánico es del 6 % en los 9M 2025/26 y el FCF, del 20 % de las ventas [6]. La deuda neta ajustada es de 25.422 M (2,8x el EBITDA), con 2.128 M de impuesto aplazado por la propiedad intelectual de Kerecis incluidos, y en 2027 vencen unos 14.100 M [1, 6]. Kerecis ya ha costado un deterioro de 3.000 M, un tercio de su precio [6].</w:t>
      </w:r>
    </w:p>
    <w:p>
      <w:pPr>
        <w:spacing w:after="100"/>
      </w:pPr>
      <w:r>
        <w:rPr>
          <w:b/>
        </w:rPr>
        <w:t xml:space="preserve">Equipo y gobierno.</w:t>
      </w:r>
      <w:r>
        <w:t xml:space="preserve"> Resta. Tres cambios de cúpula en 24 meses, dos rebajas de guía y un plan, Strive25, que no se cumplió [25, 33]. El control pasó el 1 de octubre a Coloplast Fonden (51,36 % de los votos), que impide una OPA, y el variable a largo plazo no depende de la rentabilidad [36]. A favor: el consejo compró acciones por ~15,9 M DKK en marzo de 2026.</w:t>
      </w:r>
    </w:p>
    <w:p>
      <w:pPr>
        <w:spacing w:after="100"/>
      </w:pPr>
      <w:r>
        <w:rPr>
          <w:b/>
        </w:rPr>
        <w:t xml:space="preserve">Valoración.</w:t>
      </w:r>
      <w:r>
        <w:t xml:space="preserve"> El DCF da 578,10 DKK (rango de 473,13 a 738,49), los comparables 519,19 DKK y los escenarios ponderados 545,31 DKK. Cotiza a 13,3x el EBITDA de los próximos 12 meses, la mediana de los comparables. Nuestras cifras coinciden con el consenso (ventas un 1-2 % por debajo y EBITDA un 2 % por encima en FY2027e-FY2028e): la diferencia no está en las previsiones, sino en que el precio descuenta mucho menos que ellas. Con la prima implícita del mercado (4,20 %) el objetivo sube a 675,63 DKK y las dos reglas dan Comprar.</w:t>
      </w:r>
    </w:p>
    <w:p>
      <w:pPr>
        <w:spacing w:after="100"/>
      </w:pPr>
      <w:r>
        <w:rPr>
          <w:b/>
        </w:rPr>
        <w:t xml:space="preserve">Riesgos y catalizadores.</w:t>
      </w:r>
      <w:r>
        <w:t xml:space="preserve"> El mayor es un reinicio del plan el 3-nov con más inversión y menos margen (bajista, −19,7 %). Le siguen la subasta de Medicare en ostomía y sondas, con contratos desde 2028 (Convatec la estima en un 1-2 % de sus ventas), y la presión de reembolso en Europa [14]. Catalizadores: resultados y estrategia el 3-nov-2026, junta el 1-dic-2026 y refinanciación en mayo de 2027.</w:t>
      </w:r>
    </w:p>
    <w:p>
      <w:pPr>
        <w:spacing w:after="100"/>
      </w:pPr>
      <w:r>
        <w:rPr>
          <w:b/>
        </w:rPr>
        <w:t xml:space="preserve">Qué cambiaría la decisión.</w:t>
      </w:r>
      <w:r>
        <w:t xml:space="preserve"> La regla da Comprar por debajo de 550,17 DKK y Vender por encima de 740,60 DKK. Pasaríamos a Mantener si la guía de 2026/27 da un orgánico por debajo del 5 % o un margen EBIT por debajo del 25 %, o si la subasta de Medicare recorta los precios de ostomía más de un 10 %.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489,35 DKK</w:t>
      </w:r>
      <w:r>
        <w:t xml:space="preserve"> (rentabilidad +14,8 % (base +14,6 %)) · Valor intrínseco: 555,17 DKK (+24,4 % sobre 446,30) · con la prima implícita del mercado: 675,63 (+51,4 %)</w:t>
      </w:r>
    </w:p>
    <w:p>
      <w:pPr>
        <w:spacing w:after="100"/>
      </w:pPr>
      <w:r>
        <w:t xml:space="preserve">Coloplast es el líder mundial de ostomía y continencia, con cuotas del 35-45 % y usuarios crónicos que compran a diario durante años [13]. Factura 28.442 M DKK en los últimos 12 meses con un margen EBITDA del 31,8 %, crece al 6 % orgánico y convierte el 20 % de las ventas en caja libre [6]. Las dos compras grandes (Atos en 2022 y Kerecis en 2023) bajaron el ROIC del 52 % al 12 %, y Kerecis ya ha costado un deterioro de 3.000 M [6].</w:t>
      </w:r>
    </w:p>
    <w:p>
      <w:pPr>
        <w:spacing w:after="100"/>
      </w:pPr>
      <w:r>
        <w:t xml:space="preserve">A 446,30 DKK, el precio descuenta un crecimiento del 1,4 % anual hasta FY2035e o un margen EBITDA del 27,9 %, frente al 4,8 % y el 33 % de nuestro caso base. Cotiza a 13,3x el EBITDA de los próximos 12 meses, en la mediana de los comparables y un 43 % por debajo de su mediana histórica, después de caer un 63,9 % desde el máximo de 2021 [53].</w:t>
      </w:r>
    </w:p>
    <w:p>
      <w:pPr>
        <w:spacing w:after="100"/>
      </w:pPr>
      <w:r>
        <w:t xml:space="preserve">El mercado acierta en que la gestión ha decepcionado: dos rebajas de guía, tres cambios de cúpula y una compra fallida [27, 33]. Se equivoca en extender ese juicio al negocio crónico, que sigue creciendo al ritmo de siempre. Para invertir hay que creer que el nuevo CEO no recortará el margen de forma permanente el 3 de noviembre y que el reembolso no cambiará de forma drástica.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489,35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 × 20,60 = 325,48 · 18,6x × 26,25 = 488,25 · 24,2x × 28,81 = 697,20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 / 14,6 %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(44,3x) es 2,4 veces el PER de hoy (18,6x);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462,81 (nuestro base +5,5 %)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555,17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54,4 % / -19,7 %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7,2 % y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675,63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29,5 %, asimetría de 2,76, bajista del -19,7 % y el precio descuenta 3,4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445,52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445,52 y 569,28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569,28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guía de 2026/27 (3-nov-2026) da un crecimiento orgánico por debajo del 5 %, pasaríamos a Mantener.</w:t>
      </w:r>
    </w:p>
    <w:p>
      <w:pPr>
        <w:pStyle w:val="ListParagraph"/>
        <w:numPr>
          <w:ilvl w:val="0"/>
          <w:numId w:val="2"/>
        </w:numPr>
        <w:spacing w:after="60"/>
      </w:pPr>
      <w:r>
        <w:t xml:space="preserve">Si el margen EBIT antes de especiales objetivo baja del 25 % o se anuncia una reestructuración de más de 1.000 M, pasaríamos a Mantener.</w:t>
      </w:r>
    </w:p>
    <w:p>
      <w:pPr>
        <w:pStyle w:val="ListParagraph"/>
        <w:numPr>
          <w:ilvl w:val="0"/>
          <w:numId w:val="2"/>
        </w:numPr>
        <w:spacing w:after="60"/>
      </w:pPr>
      <w:r>
        <w:t xml:space="preserve">Si la subasta de Medicare recorta los precios de ostomía o sondas más de un 10 %, revisaríamos el caso base a la baja.</w:t>
      </w:r>
    </w:p>
    <w:p>
      <w:pPr>
        <w:pStyle w:val="ListParagraph"/>
        <w:numPr>
          <w:ilvl w:val="0"/>
          <w:numId w:val="2"/>
        </w:numPr>
        <w:spacing w:after="60"/>
      </w:pPr>
      <w:r>
        <w:t xml:space="preserve">Si la acción supera los 740,60 DKK sin cambios en las cifras,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Coloplast ha dejado de ser un compuesto de calidad: crecimiento del 1,4 % anual o margen EBITDA del 27,9 % para siempre, el castigo por Kerecis, China y el cambio de CEO, y un múltiplo de 13,3x EBITDA, el de un fabricante médico corriente.</w:t>
      </w:r>
    </w:p>
    <w:p>
      <w:pPr>
        <w:keepNext/>
        <w:spacing w:after="100"/>
      </w:pPr>
      <w:r>
        <w:rPr>
          <w:b/>
          <w:bCs/>
        </w:rPr>
        <w:t xml:space="preserve">Lo que creemos nosotros.</w:t>
      </w:r>
    </w:p>
    <w:p>
      <w:pPr>
        <w:spacing w:after="100"/>
      </w:pPr>
      <w:r>
        <w:t xml:space="preserve">El negocio crónico (68 % de las ventas) sigue intacto: crece al 6 % orgánico, con dos dígitos en EE. UU., y el margen se recupera hasta el 33 % cuando Kerecis deje de restar y las plantas nuevas estén a pleno rendimiento. Nuestras cifras son las del consenso; lo que discrepa es el precio.</w:t>
      </w:r>
    </w:p>
    <w:p>
      <w:pPr>
        <w:keepNext/>
        <w:spacing w:after="100"/>
      </w:pPr>
      <w:r>
        <w:rPr>
          <w:b/>
          <w:bCs/>
        </w:rPr>
        <w:t xml:space="preserve">Por qué podemos tener razón.</w:t>
      </w:r>
    </w:p>
    <w:p>
      <w:pPr>
        <w:spacing w:after="100"/>
      </w:pPr>
      <w:r>
        <w:t xml:space="preserve">El precio implica un margen 4 puntos por debajo del actual sin que haya pasado nada en el negocio principal: es el escenario bajista, que no es el más probable. El 3 de noviembre el nuevo CEO tiene incentivo para rebajar expectativas, pero un plan con un EBIT que crezca al ritmo de las ventas ya justificaría el objetivo.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DKK) · precio actual 44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costes de cambio</w:t>
      </w:r>
      <w:r>
        <w:t xml:space="preserve">: 35-45 % de cuota en ostomía y continencia, el 68 % de las ventas [13].</w:t>
      </w:r>
    </w:p>
    <w:p>
      <w:pPr>
        <w:pStyle w:val="ListParagraph"/>
        <w:numPr>
          <w:ilvl w:val="0"/>
          <w:numId w:val="2"/>
        </w:numPr>
        <w:spacing w:after="60"/>
      </w:pPr>
      <w:r>
        <w:rPr>
          <w:b/>
        </w:rPr>
        <w:t xml:space="preserve">Precio exigente a la baja</w:t>
      </w:r>
      <w:r>
        <w:t xml:space="preserve">: el DCF inverso descuenta un crecimiento del 1,4 % frente al 4,8 % del caso base.</w:t>
      </w:r>
    </w:p>
    <w:p>
      <w:pPr>
        <w:pStyle w:val="ListParagraph"/>
        <w:numPr>
          <w:ilvl w:val="0"/>
          <w:numId w:val="2"/>
        </w:numPr>
        <w:spacing w:after="60"/>
      </w:pPr>
      <w:r>
        <w:rPr>
          <w:b/>
        </w:rPr>
        <w:t xml:space="preserve">Caja abundante</w:t>
      </w:r>
      <w:r>
        <w:t xml:space="preserve">: FCF del 20 % de las ventas en los 9M 2025/26 y rentabilidad por FCF del 5,8 % [6].</w:t>
      </w:r>
    </w:p>
    <w:p>
      <w:pPr>
        <w:pStyle w:val="ListParagraph"/>
        <w:numPr>
          <w:ilvl w:val="0"/>
          <w:numId w:val="2"/>
        </w:numPr>
        <w:spacing w:after="60"/>
      </w:pPr>
      <w:r>
        <w:rPr>
          <w:b/>
        </w:rPr>
        <w:t xml:space="preserve">Múltiplo en mínimos</w:t>
      </w:r>
      <w:r>
        <w:t xml:space="preserve">: 13,9x el EBITDA de los últimos 12 meses frente a una mediana histórica de ~24x.</w:t>
      </w:r>
    </w:p>
    <w:p>
      <w:pPr>
        <w:pStyle w:val="ListParagraph"/>
        <w:numPr>
          <w:ilvl w:val="0"/>
          <w:numId w:val="2"/>
        </w:numPr>
        <w:spacing w:after="60"/>
      </w:pPr>
      <w:r>
        <w:rPr>
          <w:b/>
        </w:rPr>
        <w:t xml:space="preserve">Consejo comprador</w:t>
      </w:r>
      <w:r>
        <w:t xml:space="preserve">: cinco compras por ~15,9 M DKK en marzo de 2026, sin ventas en 12 meses [38, 39, 40, 41, 42].</w:t>
      </w:r>
    </w:p>
    <w:p>
      <w:pPr>
        <w:pStyle w:val="Heading2"/>
      </w:pPr>
      <w:r>
        <w:t xml:space="preserve">En contra</w:t>
      </w:r>
    </w:p>
    <w:p>
      <w:pPr>
        <w:pStyle w:val="ListParagraph"/>
        <w:numPr>
          <w:ilvl w:val="0"/>
          <w:numId w:val="2"/>
        </w:numPr>
        <w:spacing w:after="60"/>
      </w:pPr>
      <w:r>
        <w:rPr>
          <w:b/>
        </w:rPr>
        <w:t xml:space="preserve">Credibilidad de la dirección</w:t>
      </w:r>
      <w:r>
        <w:t xml:space="preserve">: dos rebajas de guía en 12 meses y tres cambios de cúpula en 24 [28, 33].</w:t>
      </w:r>
    </w:p>
    <w:p>
      <w:pPr>
        <w:pStyle w:val="ListParagraph"/>
        <w:numPr>
          <w:ilvl w:val="0"/>
          <w:numId w:val="2"/>
        </w:numPr>
        <w:spacing w:after="60"/>
      </w:pPr>
      <w:r>
        <w:rPr>
          <w:b/>
        </w:rPr>
        <w:t xml:space="preserve">Kerecis</w:t>
      </w:r>
      <w:r>
        <w:t xml:space="preserve">: deterioro de 3.000 M DKK, un tercio del precio, y crecimiento del 0 % [6].</w:t>
      </w:r>
    </w:p>
    <w:p>
      <w:pPr>
        <w:pStyle w:val="ListParagraph"/>
        <w:numPr>
          <w:ilvl w:val="0"/>
          <w:numId w:val="2"/>
        </w:numPr>
        <w:spacing w:after="60"/>
      </w:pPr>
      <w:r>
        <w:rPr>
          <w:b/>
        </w:rPr>
        <w:t xml:space="preserve">Deuda</w:t>
      </w:r>
      <w:r>
        <w:t xml:space="preserve">: 2,8x el EBITDA ajustado y unos 14.100 M de vencimientos en 2027 [1].</w:t>
      </w:r>
    </w:p>
    <w:p>
      <w:pPr>
        <w:pStyle w:val="ListParagraph"/>
        <w:numPr>
          <w:ilvl w:val="0"/>
          <w:numId w:val="2"/>
        </w:numPr>
        <w:spacing w:after="60"/>
      </w:pPr>
      <w:r>
        <w:rPr>
          <w:b/>
        </w:rPr>
        <w:t xml:space="preserve">Reembolso en EE. UU.</w:t>
      </w:r>
      <w:r>
        <w:t xml:space="preserve">: subasta de Medicare en ostomía y sondas desde 2028 [14].</w:t>
      </w:r>
    </w:p>
    <w:p>
      <w:pPr>
        <w:pStyle w:val="ListParagraph"/>
        <w:numPr>
          <w:ilvl w:val="0"/>
          <w:numId w:val="2"/>
        </w:numPr>
        <w:spacing w:after="60"/>
      </w:pPr>
      <w:r>
        <w:rPr>
          <w:b/>
        </w:rPr>
        <w:t xml:space="preserve">ROIC incremental del 2,3 %</w:t>
      </w:r>
      <w:r>
        <w:t xml:space="preserve">: las compras de la última década no han cubierto su coste de capital.</w:t>
      </w:r>
    </w:p>
    <w:p>
      <w:pPr>
        <w:pStyle w:val="Heading2"/>
      </w:pPr>
      <w:r>
        <w:t xml:space="preserve">Qué tiene que pasar para que la tesis funcione</w:t>
      </w:r>
    </w:p>
    <w:p>
      <w:pPr>
        <w:spacing w:after="100"/>
      </w:pPr>
      <w:r>
        <w:t xml:space="preserve">La tesis depende de que el margen EBITDA no baje del ~31 % de forma permanente. La señal de que no se cumple llegará el 3 de noviembre: si la guía de 2026/27 o el nuevo marco de Impact4 llevan un EBIT a tipo constante que crece menos que las ventas, o una reestructuración que se repita en varios años, el precio estaría descontando lo correcto. La segunda señal es el efecto precio en EE. UU. tras la ronda de la subasta de Medicare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(9M 2025/26)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1,4 % anual; el caso base, un 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antes de especiales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(9M 2025/26)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escenario base y 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en EE. UU. (ostomía y continencia)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dígitos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 dígito bajo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prioridad del nuevo CEO y la región con la subasta de Medicare.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Kerecis (Biologics)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y margen EBIT −5 %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2026/27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segundo deterioro y un lastre de margen de ~50-60 pb.</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publicada; 2,8x ajustada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3x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Limita el dividendo y la flexibilidad antes de la refinanciación de 2027.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13,9x / 13,3x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36,4x / 17,1x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Coloplast nace de una idea de 1954: la enfermera Elise Sørensen concibe la primera bolsa de ostomía adhesiva para su hermana Thora, y el ingeniero y fabricante de plásticos Aage Louis-Hansen y su mujer Johanne, enfermera, la fabrican [19]; la sociedad se funda en 1957 [24]. Las acciones B cotizan en Copenhague desde 1983, y las A, con diez votos, siguen en manos de la familia [19]. Desde la ostomía se amplió por compras a la urología (negocio urológico de Mentor en 2006, 463 M USD [20]), la venta directa al usuario en EE. UU. (Comfort Medical, 2016 [24]), voz y respiración (Atos Medical, 2022) y biológicos para heridas (Kerecis, 2023) [19]. En 2024/25 cerró la estrategia Strive25, vendió Skin Care y lanzó Impact4; en 2025/26 deterioró 3.000 M DKK del fondo de comercio de Kerecis y cambió de primer ejecutivo (Gavin Wood, desde el 1 de mayo de 2026)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enfermera Elise Sørensen concibe la bolsa de ostomía adhesiva; Aage y Johanne Louis-Hansen la fabrican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Coloplast por Aage Louis-Hansen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acciones B salen a cotizar en la Bolsa de Copenhague; las A (10 votos) no cotizan y su transmisión exige el visto bueno del consejo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negocio de urología quirúrgica y de cuidado clínico y del consumidor de Mentor Corporation por 463 M USD: origen de Interventional Urology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Comfort Medical (EE. UU.) por 160 M USD, distribuidor directo a usuarios de sondas y ostomía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ordena el 16 de abril dejar de vender la malla transvaginal para prolapso (Restorelle DirectFix Anterior de Coloplast, y las de Boston Scientific); los productos se retiran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Atos Medical, que crea el área de Voice &amp; Respiratory Care (laringectomía), con crecimientos del 8-10 % anual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Kerecis (piel de pescado islandesa): entrada en biológicos para heridas, con plataforma en EE. UU.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Strive25, venta del negocio de Skin Care y lanzamiento de la estrategia Impact4 (hasta 2029/30); dos retiradas voluntarias relevantes de producto (Bladder Health, dic-2024; apósitos Biatain en China, jun-2025)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 de 3.000 M DKK del fondo de comercio de Kerecis por el cambio de reembolso de Medicare; Gavin Wood primer ejecutivo desde el 1 de mayo de 2026 [6].</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Coloplast desarrolla, fabrica y vende productos sanitarios de un solo uso para necesidades íntimas y crónicas. En 2024/25 facturó 27.874 M DKK en cinco áreas: ostomía (9.897 M; 36 %), continencia (8.984 M; 32 %), voz y respiración (2.280 M; 8 %), heridas y reparación de tejidos (3.929 M; 14 %) y urología intervencionista (2.784 M; 10 %) [13]. Por geografía, Europa pesa un 56 %, otros desarrollados (EE. UU., Canadá, Australia) un 28 % y emergentes un 16 % [13]. Marcas clave: SenSura Mio y Brava en ostomía, SpeediCath y Luja en sondas intermitentes, Peristeen en irrigación transanal, Provox en laringectomía, Biatain en apósitos, Kerecis en biológicos y Titan en implantes de pene [6, 13]. Tenía 16.773 empleados (FTE medios) y buena parte de la producción en Hungría, con nuevas plantas en Costa Rica y Portugal [19].</w:t>
      </w:r>
    </w:p>
    <w:p>
      <w:pPr>
        <w:pStyle w:val="Heading2"/>
      </w:pPr>
      <w:r>
        <w:t xml:space="preserve">Cómo gana dinero</w:t>
      </w:r>
    </w:p>
    <w:p>
      <w:pPr>
        <w:spacing w:after="100"/>
      </w:pPr>
      <w:r>
        <w:t xml:space="preserve">Casi todo el negocio crónico (ostomía, continencia, laringectomía, unos tres cuartos de las ventas) es consumo recurrente: un usuario con estoma o que se sondea usa producto a diario durante años, y lo paga en gran parte el sistema público o el seguro [13, 19]. El margen bruto fue del 68 % en 2024/25, apoyado en costes de materias primas favorables, subidas de precio y mezcla [19]. El margen EBIT antes de partidas especiales bajó del 33 % (2020/21) al 28 % (2024/25) por las compras de Atos y Kerecis y la inversión en EE. UU. [19], y fue del 26 % en los 9M 2025/26 [6]. La producción se concentra en Hungría mientras las ventas están en USD, GBP y EUR, de modo que el forinto afecta al beneficio [19]. Kerecis prevé ~0 % de margen EBIT en 2025/26 [6].</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Ostomy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Continence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Voice &amp; Respiratory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Interventional Urology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Wound &amp; Tissue Repair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Ostomy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Continence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Voice &amp; Respiratory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Interventional Urology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Wound &amp; Tissue Repair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clientes concentrados: el pagador final son los sistemas sanitarios y aseguradoras, y la mayor parte de las ventas pasa por distribuidores con descuentos por volumen y producto [19]. En los cuatro mayores mercados (Reino Unido, EE. UU., Francia y Alemania) Coloplast también vende directamente al usuario (Charter Healthcare en Reino Unido, Comfort Medical en EE. UU.) y ofrece programas de apoyo (Coloplast Care, Atos Care) [19]. En el hospital estadounidense, Vizient y Premier dan acceso a ~75 % de las cuentas de agudos en ostomía, en contratos con varios proveedores junto a Hollister y Convatec; un tercer grupo de compras tenía a Hollister como proveedor único hasta sep-2026 [13]. Poder de precios: la empresa citó subidas de precio entre los motores del margen bruto de 2024/25 [19], pero para Impact4 prevé un efecto precio neutro, con un crecimiento basado en volumen, mezcla y cuota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(FY2025); 6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 -1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FY2026 rebajada de ~7 % (nov-25) a 5-6 % (may-26) [1, 6, 7,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antes de especiales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(FY2025); 26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 -1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9M26: ~90 pb de divisa y ~50 pb de Kerecis en contra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 después de impuestos antes de especiales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(15 ajustado por la transferencia de IP de Kerecis) (FY2025); 15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 publicado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Impact4: &gt;20 % en 2029/30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FCF / ventas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ajustado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ajustado (FY2025); 20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FY2024 ajustado por el pago extraordinario de impuestos de la IP de Atos (2.500 M netos) [6,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antes de especiales (x)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(FY2025); 2,6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 +0,2x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Impact4 ~1,5x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medios (FTE)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16.202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16.773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orgánico de Kerecis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previsto en la prueba de deterioro de sep-25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(guía FY2026, ago-26); 10 en 1T26, 0 en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reembolso de Medicare en ambulatorio [6, 7, 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productos sanitarios para necesidades íntimas y crónicas en los que compite Coloplast, a escala mundial: ostomía, continencia (sondas intermitentes, irrigación transanal, colectores), voz y respiración (laringectomía y traqueostomía), urología intervencionista y heridas (apósitos avanzados y biológicos). Se usa el tamaño que publica la propia empresa con datos de 2024/25 [13, 19]. En heridas se contrasta con Smith+Nephew, que mide el mercado de heridas avanzadas (con presión negativa) en 13.100 M USD en 2025 [15]; para ostomía y continencia no hay segunda fuente pública de tamaño, y el contraste son los ingresos de Convatec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122.000 M DKK de mercado accesible en 2024/25 (estimación propia con los puntos medios de los rangos de Coloplast: ostomía 24-25 mil M, continencia 19-20 mil M, laringectomía 1,5-2 mil M, traqueostomía 4-6 mil M, urología intervencionista 20-22 mil M y heridas 48-52 mil M DKK)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enfermedades crónicas (cáncer colorrectal y de vejiga, lesión medular, diabetes, obesidad)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 millones de personas con estoma y ~500.000 cirugías al año en países desarrollados y China; 12-18 millones con retención urinaria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Acceso y reembolso en emergentes y mercados nuevos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Polonia, Japón y Corea del Sur, con reembolso reciente, crecieron a doble dígito en continencia en 2024/25 [13]; en laringectomía solo ~1/3 de los pacientes tiene acceso al tratamiento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de producto (sondas hidrofílicas, convexos, biológicos)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sondas hidrofílicas pasaron del ~36 % al ~76 % de las ventas de sondas de Coloplast en EE. UU. entre 2014/15 y 2024/25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Reformas sanitarias, licitaciones y presión sobre el reembolso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 lo cita como primer riesgo principal [19]; Medicare fijó 127,28 USD/cm² para sustitutos de piel en 2026 [13] y prepara subastas de ostomía y sondas desde 2028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Tendencias quirúrgicas y médicas (detección precoz, menos estomas)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 las incluye entre los limitadores que reducen el mercado accesible a largo plazo; el neto del mercado es +4-5 % en valor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consumo débil y competidores locales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ostomía en China en fuerte caída en el 3T 2025/26 [6]; la empresa la cita como freno en la estrategia Impact4 [13].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ostomía, además de Coloplast hay dos grandes fabricantes globales (Convatec, Hollister) y pocos locales; en continencia, cuatro grandes [19]. Los márgenes operativos ajustados de Coloplast (28 %) y Convatec (22,3 %) muestran poca guerra de precios [14, 19]. En apósitos, más rivalidad: poca diferenciación y presión de precio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pagador es público o asegurador y fija el reembolso; los distribuidores negocian descuentos por volumen [19]; en EE. UU., grupos de compras como Vizient y Premier controlan el acceso a hospitales [13], y Medicare impuso un precio fijo de 127,28 USD/cm² a los sustitutos de piel en 2026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plásticas y adhesivos; el margen bruto (68 %) mejoró en 2024/25 por costes de materias primas favorables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regulatorias (MDR en Europa, PMA de clase III en EE. UU. para implantes) y de evidencia clínica [19, 21]; pero en China entran competidores locales en el canal comunitario [6] y en biológicos la LCD amplia permitía más de 200 productos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alternativa a la bolsa para una persona con estoma; los limitadores son médicos (menos estomas por detección precoz), que reducen el mercado a largo plazo [13].</w:t>
            </w:r>
          </w:p>
        </w:tc>
      </w:tr>
    </w:tbl>
    <w:p>
      <w:pPr>
        <w:spacing w:after="160" w:before="0"/>
      </w:pPr>
    </w:p>
    <w:p>
      <w:pPr>
        <w:pStyle w:val="Heading2"/>
      </w:pPr>
      <w:r>
        <w:t xml:space="preserve">Ciclo</w:t>
      </w:r>
    </w:p>
    <w:p>
      <w:pPr>
        <w:spacing w:after="100"/>
      </w:pPr>
      <w:r>
        <w:t xml:space="preserve">La demanda no depende del ciclo económico: los usuarios de ostomía y continencia consumen producto a diario durante años y paga sobre todo el sistema público o el asegurador [13, 19]. El mercado accesible crece al 4-5 % anual en valor según la empresa, una estimación que repite en los 9M 2025/26 [6]. Los frenos de 2025-26 no son cíclicos sino regulatorios (la tarifa fija de Medicare para los sustitutos de piel) y de un país (China) [6]. No se ha documentado el comportamiento del sector en 2008-09, 2020 y 2022 con cifras de mercado; las ventas de Coloplast crecieron en todos los ejercicios de la serie (+3,4 % en FY2020). Lo pongo en madurez porque el crecimiento del mercado es estable y la fase de compras grandes (Atos, Kerecis) ha terminado.</w:t>
      </w:r>
    </w:p>
    <w:p>
      <w:pPr>
        <w:pStyle w:val="Heading2"/>
      </w:pPr>
      <w:r>
        <w:t xml:space="preserve">Regulación</w:t>
      </w:r>
    </w:p>
    <w:p>
      <w:pPr>
        <w:spacing w:after="100"/>
      </w:pPr>
      <w:r>
        <w:t xml:space="preserve">EE. UU.: desde el 1-ene-2026 Medicare paga una tarifa fija de 127,28 USD/cm² por los sustitutos de piel en consulta privada, en lugar del precio medio de venta (Kerecis cobraba ~110 USD/cm²), y la propuesta para 2027 la mantiene en 127 USD/cm² [6, 13]; la LCD que limitaba la cobertura a 18 productos se retiró el 24-dic-2025 [14]. El ~20 % de las ventas de Kerecis venía de ese ámbito [13]. CMS aprobó el 28-nov-2025 incluir ostomía y sondas en las subastas DMEPOS, con 8-10 proveedores nacionales y aplicación prevista en 2028 [14]. Desde el 1-ene-2026, códigos propios para sondas hidrofílicas [13]. Aranceles: impacto inmaterial; investigación de la Sección 232 abierta en sep-2025 [19].</w:t>
      </w:r>
    </w:p>
    <w:p>
      <w:pPr>
        <w:pStyle w:val="Heading2"/>
      </w:pPr>
      <w:r>
        <w:t xml:space="preserve">Tendencias y disrupción</w:t>
      </w:r>
    </w:p>
    <w:p>
      <w:pPr>
        <w:spacing w:after="100"/>
      </w:pPr>
      <w:r>
        <w:t xml:space="preserve">Los productos crónicos se mueven hacia gamas de más valor (sondas hidrofílicas, convexos, sondas con microorificios como Luja), lo que favorece a Coloplast [13]. La venta directa al usuario y los servicios digitales (aviso de fugas Heylo en Reino Unido, programas Coloplast Care) ganan peso [13, 19]. En biológicos, la tarifa fija de Medicare desplaza la demanda del ámbito ambulatorio al hospitalario, donde Coloplast concentra ahora a Kerecis [6]. En China, competidores locales ganan cuota en el canal comunitario [6].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ostomía (35-40 %) y continencia (40-45 %), que son ~68 % de las ventas; n.º 1 en laringectomía (~85 %), n.º 4 en urología intervencionista (~15 %) y n.º 4-5 en heridas (5-10 %)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Convatec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 CTEC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2.439 M USD (+6,5 %); ostomía 676 M, continencia 537 M, heridas avanzadas sin InnovaMatrix 684 M e infusión 473 M USD. Margen operativo ajustado 22,3 % (13,0 % reportado, con un deterioro de 72 M USD de InnovaMatrix por la tarifa de Medicare); objetivo 24-26 % en 2027 [14]. Cuota: estimación propia de su ostomía (≈ 4.300 M DKK) sobre 24-25 mil M DKK [13,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Hollister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de sus empleados; no publica cuentas. Rival directo en ostomía (Hollister, Dansac, accesorios Adapt) y continencia; está en los contratos de Vizient y Premier junto a Coloplast y Convatec, y es proveedor único de un tercer grupo de compras hasta sep-2026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Smith+Nephew (Advanced Wound Management)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 SN.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Heridas avanzadas 2025: 1.793 M USD (apósitos 766 M, bioactivos 621 M, dispositivos 406 M); margen de beneficio comercial del negocio 24,9 %. Grupo: 6.164 M USD y 19,7 % [15]. 14 % del mercado de heridas avanzadas según la propia empresa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Mölnlycke (Investor AB)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2.104,5 M EUR (heridas 1.270,3 M EUR); EBITDA 595,8 M EUR; beneficio operativo 153,7 M tras deteriorar 350 M de fondo de comercio; sin él, 503,7 M (24 %) [16]. 10 % de las heridas avanzadas según Smith+Nephew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Essity (Health &amp; Medical: TENA, Leukoplast, Cutimed, JOBST)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 ESSITY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Health &amp; Medical 2025 (perímetro reexpresado desde ene-2026): 27.468 M SEK de ventas y 4.946 M SEK de EBITA sin partidas que afectan a la comparabilidad (18,0 %); orgánico +1,0 %. Compite en incontinencia absorbente (TENA, que Coloplast no vende), heridas y compresión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Becton Dickinson (BD: Bard, urología y cuidados críticos)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NYSE: BDX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sep-2025: 21.840 M USD de ingresos y 2.579 M de beneficio operativo según US GAAP (11,8 %; no es margen ajustado) [22]. Compite en sondas y colectores de orina y urología; la cifra es de todo el grupo.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MiMedx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MDXG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418,6 M USD de ingresos y 63,9 M de beneficio operativo según US GAAP (15,3 %) [23]. Rival de Kerecis en sustitutos de piel y biológicos en EE. UU.</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efectos de red propiamente dichos; la relación con enfermeras de estomaterapia y cirujanos que recomiendan el primer producto al alta es el canal de captación [1,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Usuarios crónicos con producto diario durante años («flujo estable de usuarios fieles» según la empresa) [1]; cuotas del 35-45 % en ostomía y continencia sostenidas y ganancia de 6 pp en agudos de EE. UU.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SenSura Mio, SpeediCath, Luja, Provox, Biatain; evidencia clínica exigida por pagadores; pero el reembolso lo fija el pagador [1,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concentrada en Hungría y nuevas plantas en Costa Rica y Portugal; margen bruto 68 % y EBIT antes de especiales del 28 % frente al 22,3 % ajustado de Convatec [3,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ostomía, solo dos rivales globales más; en laringectomía ~85 % de cuota con dos competidores pequeños [8].</w:t>
            </w:r>
          </w:p>
        </w:tc>
      </w:tr>
    </w:tbl>
    <w:p>
      <w:pPr>
        <w:spacing w:after="160" w:before="0"/>
      </w:pPr>
    </w:p>
    <w:p>
      <w:pPr>
        <w:pStyle w:val="Heading2"/>
      </w:pPr>
      <w:r>
        <w:t xml:space="preserve">Amenazas</w:t>
      </w:r>
    </w:p>
    <w:p>
      <w:pPr>
        <w:spacing w:after="100"/>
      </w:pPr>
      <w:r>
        <w:t xml:space="preserve">Hechos: Medicare prevé subastas de ostomía y sondas desde 2028 con solo 8-10 proveedores nacionales, que Convatec estima en un 1-2 % menos de ventas el año de aplicación [14]. La tarifa fija de 127,28 USD/cm² y la competencia en precio han parado Kerecis (orgánico 1 % en los 9M 2025/26; deterioro de 3.000 M DKK) [6]. En China, competidores locales y consumo débil [6]. Las retiradas de producto de 2024/25 costaron ~85 M DKK en urología y ~80 M en heridas [13].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spacing w:after="100"/>
      </w:pPr>
      <w:r>
        <w:t xml:space="preserve">Crecimiento anual compuesto FY2017-FY2025: ingresos </w:t>
      </w:r>
      <w:r>
        <w:rPr>
          <w:b/>
          <w:bCs/>
        </w:rPr>
        <w:t xml:space="preserve">7,6 %</w:t>
      </w:r>
      <w:r>
        <w:t xml:space="preserve">, EBITDA </w:t>
      </w:r>
      <w:r>
        <w:rPr>
          <w:b/>
          <w:bCs/>
        </w:rPr>
        <w:t xml:space="preserve">6,2 %</w:t>
      </w:r>
      <w:r>
        <w:t xml:space="preserve">, BPA </w:t>
      </w:r>
      <w:r>
        <w:rPr>
          <w:b/>
          <w:bCs/>
        </w:rPr>
        <w:t xml:space="preserve">-1,3 %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DK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crecieron un 7,6 % anual de FY2017 a FY2025, de los que el crecimiento orgánico explica algo más de la mitad: Strive25 dejó un orgánico medio de ~7,2 % en 2020/21-2024/25 [25] y el resto vino de Atos Medical (desde enero de 2022, +16,2 % ese año) y Kerecis (desde agosto de 2023) [3, 4]. El margen EBITDA antes de especiales bajó de 36,8 % en FY2021 a 31,7 % en FY2024 y repuntó a 32,7 % en FY2025; el EBIT antes de especiales pasó del 32,7 % al 27,5 %. Las causas: la amortización de las compras (unos 600 M anuales), la dilución de Kerecis, la inflación de costes de 2022-23 que el reembolso no permitió repercutir a tiempo y la divisa (en el 3T26, ~110 pb de divisa y ~60 pb de Kerecis en contra) [1, 6]. FY2022 y FY2023 no son comparables por las compras; FY2025 lleva un tipo impositivo del 41 % por la transferencia de la propiedad intelectual de Kerecis. El BPA cayó un 1,3 % anual de FY2017 a FY2025 por la ampliación de 2023 (+5,7 % de acciones), los intereses (761 M en FY2025 frente a 25 M en FY2021) y ese impuesto [1, 3].</w:t>
      </w:r>
    </w:p>
    <w:p>
      <w:pPr>
        <w:pStyle w:val="Heading2"/>
      </w:pPr>
      <w:r>
        <w:t xml:space="preserve">Ajustes y partidas no recurrentes</w:t>
      </w:r>
    </w:p>
    <w:p>
      <w:pPr>
        <w:spacing w:after="100"/>
      </w:pPr>
      <w:r>
        <w:t xml:space="preserve">Coloplast publica el EBIT «antes de partidas especiales» y lo usa en su guía. Las especiales fueron 400 M en FY2019, 200 M en FY2021, 471 M en FY2022, 74 M en FY2023, −34 M en FY2024 (reversión de 123 M del earn-out de Kerecis) y 469 M en FY2025 (reestructuración, despido de la alta dirección, integración) [1, 4, 5]. Se repiten en seis de siete años, con una media de ~1 % de las ventas: no son del todo no recurrentes y el DCF parte de un margen que ya las excluye, lo que lo hace algo optimista (~0,3 puntos de margen EBITDA al año). En los 9M 2025/26 suman 3.078 M, de los que 3.000 M son el deterioro del fondo de comercio de Kerecis [6]. El LTM a junio de 2026 lleva 3.306 M de especiales, devueltos al EBITDA: el EBITDA LTM comparable es de 9.046 M. El BPA de FY2025 después de especiales (16,13 DKK) se queda en 22,84 DKK ajustado antes de especiales y sin el impuesto extraordinario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conferencia del 2T26 (12 de mayo), la primera de Gavin Wood como CEO, la dirección confirmó la guía rebajada el 23 de abril (orgánico del 5-6 % frente al ~7 % y EBIT a tipo constante del ~5 % frente al ~7 %) y explicó el deterioro de 3.000 M de Kerecis por la tarifa fija de Medicare (127,28 USD/cm²) en el ámbito ambulatorio [6, 7, 33]. En la del 3T26 (18 de agosto) el tono cambió: orgánico del 6 %, dos dígitos en EE. UU. en ostomía y continencia, y cinco prioridades de los primeros 100 días (Chronic Care, EE. UU. incluida la salud masculina, relanzar Wound &amp; Tissue Repair llevando los biológicos al hospital, eficiencia y disciplina de capital, y cultura) [6]. Fertram Sigurjonsson, fundador de Kerecis, deja la dirección de heridas, que asume Wood en funciones [6, 34]. La dirección aplazó al 3 de noviembre «una actualización más amplia» sobre prioridades, palancas de valor y el marco Impact4, y no confirmó las metas a 2029/30 (orgánico del 7-8 %, ROIC por encima del 20 %) [6]. No hay transcripción gratuita de las preguntas de los analistas; por la nota de Inderes, el 3T superó en ventas y quedó por debajo en EBIT [79]. Lo que no se aclaró: si las metas de Impact4 siguen vigentes y cuánto costará relanzar EE. UU.</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(FY2022: Atos Medical, consolidada desde el 31-ene-2022 (ocho meses: 1.203 M de ingresos); ingresos pro forma del grupo 23.165 M y EBIT antes de especiales pro forma ~7.000 M [4].; FY2023: Kerecis, consolidada desde el 31-ago-2023: entra entera en el balance (fondo de comercio 6.184 M provisional) y solo un mes en la cuenta (75 M de ingresos) [3].; FY2025: Venta del negocio de Skin Care en dic-2024 (cobro 192 M; -1 pp de crecimiento; ~30 pb de mejora del margen EBIT) [1].; FY2026: Uromedica, consolidada desde el 18-feb-2026 (contraprestación 346 M, fondo de comercio 294 M); efecto pequeño en el LTM [6].).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neta saltó de 2.112 M en FY2021 a 18.091 M en FY2022 con Atos y a 21.841 M en FY2024 tras Kerecis y el pago extraordinario de impuestos de la IP de Atos; a 30-jun-26 es de 22.986 M (2,6x el EBITDA antes de especiales) y la ajustada, con el impuesto aplazado y el contingente, de 25.422 M (2,8x) [1, 6]. El objetivo de ~1,5x en 2029/30 [6] exige que el FCF supere a los dividendos, que hoy se los comen casi enteros. En 2027 vencen unos 14.100 M (préstamo a plazo de 7.783 M y el bono COLOCB2 de 850 M EUR al 2,25 %): la refinanciación con el Bund al 3,53 % subirá el coste medio desde el 3,3 % actual [1, 57]. El circulante se mantiene en ~26 % de las ventas, con existencias de 160 días por la producción concentrada en Hungría, Costa Rica y Portugal; es estable y no consume caja extra.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FY2017-FY2025: FCF </w:t>
      </w:r>
      <w:r>
        <w:rPr>
          <w:b/>
          <w:bCs/>
        </w:rPr>
        <w:t xml:space="preserve">29.383</w:t>
      </w:r>
      <w:r>
        <w:t xml:space="preserve">, conversión </w:t>
      </w:r>
      <w:r>
        <w:rPr>
          <w:b/>
          <w:bCs/>
        </w:rPr>
        <w:t xml:space="preserve">76 %</w:t>
      </w:r>
      <w:r>
        <w:t xml:space="preserve"> del beneficio neto; adquisiciones 18.653, dividendos 25.408, recompras 1.500.</w:t>
      </w:r>
    </w:p>
    <w:p>
      <w:pPr>
        <w:spacing w:after="100"/>
      </w:pPr>
      <w:r>
        <w:t xml:space="preserve">La conversión del beneficio en caja fue del 76 % de media en FY2017-FY2025, pero los años recientes están distorsionados: el flujo operativo de FY2024 cayó a 2.766 M por un pago extraordinario de ~2.500 M de impuestos por la propiedad intelectual de Atos, y el de FY2025 (6.645 M, conversión del 136 %) lo infla el impuesto de Kerecis devengado y no pagado [1]. En los 9M 2025/26 el FCF de la empresa fue de 4.093 M, el 20 % de las ventas frente al 16 % un año antes, por el circulante y menores gastos financieros [6]. El capex es del ~5 % de las ventas (guía FY2026 ~5 %), con la nueva planta de Portugal (1 % de las ventas en 9M) y capex de innovación (1 %) [6]; el de mantenimiento ronda el 3-3,5 % (estimación propia: capex sin Portugal ni ampliaciones). Entre FY2017 y FY2025 el FCF acumulado (29.383 M) apenas cubrió los dividendos (25.408 M) y las recompras (1.500 M); las compras (18.653 M) se pagaron con deuda y con la ampliación de 9.134 M de 2023.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Godkendt Revisionspartnerselskab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desde FY2024 y su opinión es favorable; las cuestiones clave son el reconocimiento de ingresos (rappels y descuentos a distribuidores y licitaciones) y el valor del fondo de comercio [1]. No hay capitalización relevante de I+D (946 M de gasto en FY2025, ~3,4 % de las ventas). Los puntos que vigilar: primero, las partidas especiales recurrentes, que mejoran el EBIT «antes de especiales» que usa la guía; segundo, el fondo de comercio (19.300 M a 30-sep-25, ~16.300 M tras el deterioro), que supera al patrimonio (13.367 M) [1, 6]; y tercero, la prueba de deterioro de Biologics, que tras el ajuste sube el crecimiento terminal del 2,0 % al 2,5 % y supone ~10 % anual hasta 2035 con el negocio parado al 0 % [6]: otro tropiezo de Kerecis traería un segundo deterioro. Los indicadores del motor son tranquilizadores: Altman Z de 3,46 (zona segura), Piotroski F de 8 sobre 9 y Beneish M de −2,81, lejos del umbral de manipulación (−1,78). Los impuestos extraordinarios por traslados de propiedad intelectual (Atos en FY2024, Kerecis en FY2025) distorsionan el flujo operativo y el tipo efectivo de esos dos años.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 en FY2024 (EY sustituye al anterior)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fue nombrado en la junta del 7-dic-2023 para 2023/24; FY2025 es su segundo año [1]. Probable rotación; no he leído el motivo.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 casi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de siete ejercicios FY2019-FY2025 con especiales (1.580 M acumulados sin el deterioro de Kerecis), más ~3.100 M en FY2026 [1, 5,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3.000 M del fondo de comercio de Kerecis (2T26) tres años después de la compra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prueba de deterioro de sep-25 suponía +25 % de ventas en FY2026 y TCAC ~12 %; en mar-26 pasó a ~0 % y ~10 %, con tasa de descuento antes de impuestos del 11,6 % sin cambios y crecimiento terminal subido del 2,0 % al 2,5 %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Supuestos de la prueba de deterioro de Biologics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deterioro, el valor de uso sigue suponiendo ~10 % anual de crecimiento en 2026/27-2034/35 y una subida del crecimiento terminal al 2,5 %; previsión de diez años por estar en fase de crecimiento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extraordinarios por transferencias de IP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Atos (pago neto ~2.500 M en FY2024) y Kerecis (gasto de 1.146 M en FY2025, pasivo a largo de ~2.400 M)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del balance de FY2022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Corrección del impuesto diferido (+2.490 M) de la compra de Atos, sin efecto en resultados ni patrimonio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Reconocimiento de ingresos con descuentos y rappels a distribuidores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Cuestión clave de auditoría por las estimaciones de rappels y descuentos (gross-to-net)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2,3 % · </w:t>
      </w:r>
      <w:r>
        <w:rPr>
          <w:b/>
          <w:bCs/>
        </w:rPr>
        <w:t xml:space="preserve">WACC</w:t>
      </w:r>
      <w:r>
        <w:t xml:space="preserve">: 7,2 %.</w:t>
      </w:r>
    </w:p>
    <w:p>
      <w:pPr>
        <w:spacing w:after="100"/>
      </w:pPr>
      <w:r>
        <w:t xml:space="preserve">Coloplast crea valor, pero mucho menos que antes: el ROIC del motor (NOPAT entre capital invertido con fondo de comercio) bajó del 64-58 % de FY2017-FY2020 al 52,2 % en FY2021, al 29,0 % en FY2022 con Atos, al 17,4 % en FY2023 con Kerecis y al 11,9 % en FY2025, castigado además por el impuesto extraordinario [1]. El 15 % después de impuestos que publica la empresa excluye las especiales [6]. Con un WACC del 7,23 %, el diferencial sigue siendo positivo (~4-7 puntos). Lo ha movido la rotación (del 1,32 en FY2021 al 0,58 en FY2025, por el fondo de comercio) más que el margen. El ROIC incremental de la década es del 2,3 %: las compras han rendido menos que su coste de capital, y la meta de un ROIC por encima del 20 % en 2029/30 exige que Kerecis gane dinero y que el beneficio crezca más que el capital [6]. Convatec, su rival directo, gana un margen operativo ajustado del 22,3 %, 5 puntos menos [14].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30-sep-25: caja 947 M + líneas comprometidas no dispuestas (más de un año) 3.190 M + líneas no comprometidas 2.856 M = reservas financieras 6.993 M [1]. 30-jun-26: caja 817 M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Global Ratings: BBB, perspectiva estable (asignado en mayo de 2022 con la emisión de bonos; no he confirmado si sigue vigente)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Pensiones de prestación definida pequeñas (125 M a 30-jun-26) [6]. El pasivo que pesa es fiscal: 2.422 M de impuesto sobre beneficios a largo plazo por la transferencia de la propiedad intelectual de Kerecis, que se pagará en Islandia en 2026/27 como pronto y se compensará en parte con menores pagos en Dinamarca; neto del activo fiscal de 294 M, se trata como deuda en el puente (2.128 M, ~9,4 DKK por acción) [1, 6]. Pago contingente de Uromedica de 210 M (nivel 3), también al puente [6]. El earn-out de Kerecis (hasta 100 M USD) no se alcanzó y su provisión se revirtió en FY2024 [1]. Las demandas por mallas vaginales en EE. UU. están casi liquidadas (provisión de 16 M) [1]. No se publican covenants en las notas leídas. Rating: S&amp;P BBB con perspectiva estable desde 2022, sin confirmación reciente [1].</w:t>
      </w:r>
    </w:p>
    <w:p>
      <w:pPr>
        <w:pStyle w:val="Heading1"/>
      </w:pPr>
      <w:r>
        <w:t xml:space="preserve">12. Asignación de capital</w:t>
      </w:r>
    </w:p>
    <w:p>
      <w:pPr>
        <w:pStyle w:val="Confianza"/>
        <w:spacing w:after="100"/>
      </w:pPr>
      <w:r>
        <w:t xml:space="preserve">Confianza: Alta</w:t>
      </w:r>
    </w:p>
    <w:p>
      <w:pPr>
        <w:spacing w:after="100"/>
      </w:pPr>
      <w:r>
        <w:t xml:space="preserve">El consejo reparte el exceso de liquidez con dividendos y recompras, con un payout objetivo del 60-80 % del beneficio neto (Impact4) y una deuda neta que debe bajar a ~1,5x el EBITDA en 2029/30 [6]. Paga dos veces al año: a cuenta tras el semestre (5,00 DKK en mayo de 2025 y de 2026) y el final tras la junta de diciembre (18,00 DKK por FY2025) [1, 7]. El DPA ordinario ha subido 1 DKK al año desde FY2017 (15 DKK) hasta FY2025 (23 DKK), aunque el payout llegó al 130 % antes de especiales en FY2025 [1]. No hay recompras desde la de 500 M terminada en abril de 2022. Las prioridades declaradas por el nuevo CEO son invertir en innovación y en EE. UU. con «disciplina de capital»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Atos Medical (Suecia; laringectomía y traqueostomía; nuevo segmento Voice &amp; Respiratory Care)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a plazo refinanciado con 2.200 M EUR de bonos EMTN (may-2022) más líneas bancarias [1, 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1.203 M (ocho meses) → 2.280 M en FY2025 (9 % orgánico); contribución del segmento 383 → 837 M (36,7 % de margen). Fondo de comercio 10.039 M en la compra, 11.981 M a sep-25 (con el cambio de divisa), sin deterioros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Kerecis (Islandia; injertos de piel de pescado, segmento Biologics)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capital de 12,2 M de acciones B a 755 DKK (~9.200 M brutos, 30-ago-2023), con participación de la familia Louis-Hansen [3]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total 8.868 M (7.923 en efectivo + aplazado + earn-out de 648 M a valor razonable, máximo 100 M USD). Earn-out no alcanzado (reversión de 123 M en FY2024). Ventas 1.026 M en FY2024 y 1.254 M en FY2025 (contribución 159 M); 9M26 865 M y -13 M. Deterioro de 3.000 M del fondo de comercio en el 2T26 por el cambio de reembolso de Medicare: el valor contable de Kerecis baja de ~9.000 a ~6.000 M [1, 3,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Uromedica (EE. UU.; incontinencia urinaria de esfuerzo, Interventional Urology)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139 M al cierre (18-feb-2026) + contraprestación contingente de 210 M por hitos regulatorios y comerciales [6]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294 M; intangibles 180 M. Demasiado reciente para juzgar [6].</w:t>
            </w:r>
          </w:p>
        </w:tc>
      </w:tr>
    </w:tbl>
    <w:p>
      <w:pPr>
        <w:spacing w:after="160" w:before="0"/>
      </w:pPr>
    </w:p>
    <w:p>
      <w:pPr>
        <w:spacing w:after="100"/>
      </w:pPr>
      <w:r>
        <w:t xml:space="preserve">Coloplast fue durante dos décadas un ejemplo de crecimiento orgánico con ROIC por encima del 50 %; las dos compras grandes cambiaron eso. Atos (10.622 M en 2022, 26,8x EBITDA) funciona: Voice &amp; Respiratory Care crece al 7-8 % con margen EBIT del 36,7 % y su fondo de comercio de 11.981 M no se ha deteriorado [1, 69]. Kerecis (8.868 M en 2023, 17,5x ventas sin beneficio) no: crece al 0 %, gana el 0 % y ya ha costado un deterioro de 3.000 M, un tercio del precio [6, 70]. El ROIC cayó del 52,2 % en FY2021 al 11,9 % en FY2025 y el ROIC incremental de la última década es del 2,3 %: el capital nuevo apenas rinde. La ampliación de 2023 diluyó un 5,7 % y el dividendo se ha mantenido por encima del beneficio. Veredicto: buena asignación en el negocio orgánico, mala en la compra de Kerecis, y la deuda limita ahora las opciones.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Gavin Wood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el 4-mar-2026 con efecto 1-may-2026, tras una búsqueda global de un candidato externo [26]; sustituye al CEO en funciones Lars Rasmussen [32]. Dos décadas en Johnson &amp; Johnson (último cargo: Company Group Chairman de J&amp;J MedTech EMEA, más de 7.000 empleados; antes, presidente mundial de Ethicon Wound Closure &amp; Healing) y vicepresidente ejecutivo comercial en Mölnlycke [32]. Sin resultados medibles aún en el cargo: tras sus primeros 100 días (3T26) asumió en funciones la dirección de Wound &amp; Tissue Repair [6,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Anders Lonning-Skovgaard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Coloplast desde 2006; uno de los dos directivos registrados (con el CEO) ante la Autoridad Empresarial danesa [19]. Tenía 2.649 acciones B a 30-sep-2025 y compró 4.362 a 458,59 DKK (2,0 M DKK) el 10-mar-2026 [25, 42]. Remuneración 2024/25: 12,5 M DKK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Jette Nygaard-Andersen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desde 2015; presidenta en funciones desde el 5-may-2025 y elegida presidenta tras la junta del 4-dic-2025 [27, 43]. Ex consejera delegada de Entain plc (2021-2024) y 16 años como CEO de MTG [19]. Compró 2.000 acciones B a 447,00 DKK el 11-mar-2026 [41]. Está previsto que Niels B. Christiansen la sustituya como presidente como tarde tras la junta de diciembre de 2026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Niels Peter Louis-Hansen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 (dominical, familia fundadora)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1968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en el consejo desde 1968 [19]. Controlaba el 31,4 % del capital y el 55,0 % de los votos a 30-sep-2025 [19]; el 1-oct-2026 donó toda su participación en Coloplast Holding ApS a Coloplast Fonden y queda con el 1,92 % del capital y el 3,65 % de los votos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Allan Rasmussen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Operaciones Globales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Coloplast desde 1992; dejó de ser directivo registrado el 5-nov-2024 [19, 25]. Responsable de la red de fábricas (Hungría, Costa Rica, China y la nueva planta de Portugal, lista para producir en 2026)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Caroline Vagner Rosenstand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Chronic Care Commercial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Coloplast desde 2015; dirige desde el 19-ago-2025 la nueva unidad comercial de cuidados crónicos (Ostomy, Continence y Voice &amp; Respiratory), que creció orgánicamente un 5-7 % en los 9M 2025/26 [6,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Kevin Hardage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Interventional Urology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Incorporado el 9-feb-2026 desde Teleflex (urología) para sustituir a Tommy Johns, que se jubiló [31]. Interventional Urology creció un 8 % orgánico en los 9M 2025/26 [6].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Strive25 (2020/21-2024/25)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presentado el 30-sep-2020: crecimiento orgánico del 7-9 % anual y margen EBIT superior al 30 % (base 2019/20) [50]. El 7-jul-2023, con la compra de Kerecis, el crecimiento se elevó al 8-10 % y se admitió un margen inferior al 30 % durante el plan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7 %, 6 %, 8 %, 8 % y 7 % (2020/21 a 2024/25); margen EBIT antes de especiales del 33 %, 31 %, 28 %, 27 % y 28 %; ROIC del 45 % al 12 % (15 % ajustado) [12, 25]. La propia empresa dice que Strive25 «no generó el valor esperado» [19].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7-8 % y margen EBIT antes de especiales del 28-30 % (reiterada en el 1T, feb-2023)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8 % y margen del 28 %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en torno al 8 % y margen EBIT del 27-28 %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8 % y margen del 27 %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(nov-2024): orgánico del 8-9 % y margen EBIT de en torno al 28 % [46]. Rebajada el 1-may-2025 a ~7 % y 27-28 % por la retirada de producto en Interventional Urology, China y mercados emergentes; especiales de ~400 M frente a 130 M [28].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7 % y margen del 28 % (en la guía revisada, por debajo de la inicial)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(nov-2025): orgánico de ~7 %, crecimiento del EBIT a tipo constante de ~7 %, ROIC de ~16 % y margen de Kerecis de ~20 % [12]. Rebajada el 23-abr-2026 a orgánico del 5-6 %, EBIT a tipo constante de ~5 % y ROIC de ~15 %; Kerecis a ~0 % de crecimiento y ~0 % de margen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publicar (3-nov-2026). 9M 2025/26: orgánico del 6 %, margen EBIT antes de especiales del 26 %, deterioro de Kerecis de 3.000 M DKK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Kerecis (plan de compra,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 ~50 % en 2022/23, TCAC de ~30 % a tres años hasta 2025/26 y margen EBIT (sin PPA) de ~20 % en 2025/26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Creció un 20 % en el 4T 2024/25 con margen del 14 % [12]; 0 % de crecimiento y 0 % de margen en el 2T 2025/26 y guía de ~0 % para el año; deterioro de 3.000 M DKK del fondo de comercio [6,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credibilidad está en mínimos: Strive25 prometió un orgánico del 8-10 % y un margen EBIT por encima del 30 % y dejó ~7,2 % y 28 % [25, 50]; la guía de 2024/25 se rebajó en mayo de 2025 y la de 2025/26 en abril de 2026, y el plan de Kerecis (TCAC del ~30 % y margen del ~20 %) ha acabado en un deterioro [28, 33, 51]. En 24 meses ha habido tres cambios en la cúpula: salida inmediata de Kristian Villumsen el 5 de mayo de 2025 (con una indemnización de 50,5 M DKK), interinidad de Lars Rasmussen y llegada de Gavin Wood (ex J&amp;J MedTech) el 1 de mayo de 2026 [25, 27, 32]. La rotación del comité de dirección es alta (cuatro salidas en 16 meses). A favor, el director financiero sigue y el consejo compró acciones por ~15,9 M DKK en marzo de 2026 [38, 39, 40, 41, 42]. La sucesión en la presidencia está ordenada: Niels B. Christiansen sustituirá a Jette Nygaard-Andersen como tarde en la junta de diciembre de 2026.</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Jette Nygaard-Andersen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(en funciones desde 5-may-2025; elegida 4-dic-2025)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y 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Niels Peter Louis-Hansen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1968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Marianne Wiinholt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Annette Brüls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Carsten Hellmann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Niels B. Christiansen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(previsto como presidente como tarde tras la junta de dic-2026)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Barfod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Roland V. Pedersen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Nikolaj Kyhe Gundersen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Thomas Barfod</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15,86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Coloplast Fonden (vía CF Holding af 2026 ApS y Coloplast Holding ApS)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sin ánimo de lucro de la familia fundadora; controla el 51,36 %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Recibió el 1-oct-2026, por donación de NPLH Holding ApS (Niels Peter Louis-Hansen), el control de Coloplast Holding ApS; la Finanstilsynet la eximió de lanzar una OPA obligatoria [35,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Coloplast Holding ApS (sociedad de cartera de la familia y las fundaciones)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Titular directo de acciones A y B; 51,36 %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Creada en 2023; 14.791.000 acciones A y 52.511.517 B sin cambios en 2024/25 [25,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Aage og Johanne Louis-Hansens Fond (vía Aage og Johanne Louis-Hansen 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la familia fundadora; socio minoritario de Coloplast Holding ApS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29,49 % de Coloplast Holding menos el 18,46 % proporcional de Coloplast Fonden [19,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Niels Peter Louis-Hansen (directa y a través de N.P. Louis-Hansen ApS)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3,65 %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31,4 % del capital y 55,0 % de los votos (30-sep-2025) tras la donación del 1-oct-2026 [19,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Benedicte Find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5,3 %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notificaciones de cambio localizadas en 2025-2026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Titulares de acciones A y sus familias (agregado a 30-sep-2025)</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familiar: 18.000.000 acciones A y 80.260.000 B; 67 %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la donación a Coloplast Fonden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institucionales extranjeros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22 %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el año anterior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institucionales daneses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5 %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(Coloplast 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sin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2.833.204 acciones B a 30-sep-2025; 2.831.862 a 30-jun-2026 [6,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Carsten Hellmann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Gerda Louis-Hansen (vinculada al vicepresidente Niels Peter Louis-Hansen)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Niels B. Christiansen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Anders Lonning-Skovgaard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Jette Nygaard-Andersen (presidenta)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directivo registrado cobra fijo (salario, pensión y beneficios), un bonus anual en efectivo y opciones sobre acciones [25]. En 2024/25 el bonus estaba limitado al 35 % del fijo y dependía del crecimiento orgánico (45 %), del margen EBIT (45 %) y de la reducción de emisiones de alcance 1 y 2 (10 %); pagó el 39 % del máximo [25]. Las opciones (valor de hasta 12 meses de salario) se conceden con un precio de ejercicio hasta un 10 % superior al de mercado, se consolidan a tres años sin condiciones de rentabilidad y vencen a los cinco [25]. Todo el variable tiene cláusula de recuperación; la indemnización máxima es de dos años de salario y pensión [25]. Villumsen cobró 14,5 M DKK en 2024/25 (siete meses) más 50,5 M de indemnización; la alta dirección, 85,6 M en total [25]. La política aprobada el 4-dic-2025 eleva el bonus máximo al 150 % del fijo, añade acciones de rendimiento (PSU) y permite premios extraordinarios de hasta el 100 % del paquete (300 % como prima de fichaje); ATP lo calificó de inusual, pero votó a favor [26].</w:t>
      </w:r>
    </w:p>
    <w:p>
      <w:pPr>
        <w:pStyle w:val="Heading2"/>
      </w:pPr>
      <w:r>
        <w:t xml:space="preserve">Operaciones vinculadas, estructura de control y defensas</w:t>
      </w:r>
    </w:p>
    <w:p>
      <w:pPr>
        <w:spacing w:after="100"/>
      </w:pPr>
      <w:r>
        <w:t xml:space="preserve">Coloplast tiene dos clases: 18 millones de acciones A no cotizadas con 10 votos cada una, cuya transmisión o pignoración exige el permiso del consejo, y 210,2 millones de acciones B cotizadas con un voto; mismos derechos económicos [19]. El grupo familiar tenía el 43 % del capital y el 67 % de los votos a 30-sep-2025 [19]. Desde el 1-oct-2026 el control (51,36 % de los votos con el 18,46 % del capital proporcional) está en Coloplast Fonden, una fundación sin ánimo de lucro, a través de Coloplast Holding ApS; la Finanstilsynet la eximió de la OPA obligatoria [35, 36]. Las modificaciones de estatutos requieren dos tercios de los votos y del capital con voto representado [19]. El cambio de control solo acelera la consolidación de las opciones; no hay otros blindajes ni normas especiales para elegir consejeros [19]. Cuatro de los seis consejeros elegidos por la junta son independientes; los tres representantes de los empleados no lo son [19].</w:t>
      </w:r>
    </w:p>
    <w:p>
      <w:pPr>
        <w:pStyle w:val="Heading2"/>
      </w:pPr>
      <w:r>
        <w:t xml:space="preserve">Señales de alerta</w:t>
      </w:r>
    </w:p>
    <w:p>
      <w:pPr>
        <w:pStyle w:val="ListParagraph"/>
        <w:numPr>
          <w:ilvl w:val="0"/>
          <w:numId w:val="2"/>
        </w:numPr>
        <w:spacing w:after="60"/>
      </w:pPr>
      <w:r>
        <w:t xml:space="preserve">Rotación de la cúpula: salida inmediata del CEO Kristian Villumsen el 5-may-2025 (50,5 M DKK de indemnización), un año de interinidad del presidente como CEO y un nuevo CEO externo desde el 1-may-2026 [25, 27, 32].</w:t>
      </w:r>
    </w:p>
    <w:p>
      <w:pPr>
        <w:pStyle w:val="ListParagraph"/>
        <w:numPr>
          <w:ilvl w:val="0"/>
          <w:numId w:val="2"/>
        </w:numPr>
        <w:spacing w:after="60"/>
      </w:pPr>
      <w:r>
        <w:t xml:space="preserve">Deterioro de 3.000 M DKK del fondo de comercio de Kerecis en 2025/26 y salida de su fundador de la dirección de Wound &amp; Tissue Repair (17-ago-2026), tres años después de una compra de hasta 1.300 M USD que prometía un margen del ~20 % en 2025/26 [6, 34, 51].</w:t>
      </w:r>
    </w:p>
    <w:p>
      <w:pPr>
        <w:pStyle w:val="ListParagraph"/>
        <w:numPr>
          <w:ilvl w:val="0"/>
          <w:numId w:val="2"/>
        </w:numPr>
        <w:spacing w:after="60"/>
      </w:pPr>
      <w:r>
        <w:t xml:space="preserve">Dos rebajas de guía en 12 meses (1-may-2025 y 23-abr-2026) [28, 33].</w:t>
      </w:r>
    </w:p>
    <w:p>
      <w:pPr>
        <w:pStyle w:val="ListParagraph"/>
        <w:numPr>
          <w:ilvl w:val="0"/>
          <w:numId w:val="2"/>
        </w:numPr>
        <w:spacing w:after="60"/>
      </w:pPr>
      <w:r>
        <w:t xml:space="preserve">Retiradas de producto: Kidney &amp; Bladder Health (Interventional Urology, desde dic-2024, por un posible problema de esterilidad del envase, ~85 M DKK de impacto en 2024/25) y todos los apósitos Biatain Adhesive en China (~60 M DKK en el 4T 2024/25; 25 M en el 2T 2025/26) [12, 19, 33].</w:t>
      </w:r>
    </w:p>
    <w:p>
      <w:pPr>
        <w:pStyle w:val="ListParagraph"/>
        <w:numPr>
          <w:ilvl w:val="0"/>
          <w:numId w:val="2"/>
        </w:numPr>
        <w:spacing w:after="60"/>
      </w:pPr>
      <w:r>
        <w:t xml:space="preserve">Cambio en el accionista de control (1-oct-2026): la familia cede el control a Coloplast Fonden, con exención de la OPA obligatoria [35, 36].</w:t>
      </w:r>
    </w:p>
    <w:p>
      <w:pPr>
        <w:pStyle w:val="ListParagraph"/>
        <w:numPr>
          <w:ilvl w:val="0"/>
          <w:numId w:val="2"/>
        </w:numPr>
        <w:spacing w:after="60"/>
      </w:pPr>
      <w:r>
        <w:t xml:space="preserve">Posiciones cortas netas declaradas ≥ 0,5 %: BlackRock Advisors 0,50 % (20-jul-2026) e Ilex Capital Partners 0,51 % (6-jul-2026), activas; AQR llegó al 0,80 % en abr-2026 [52].</w:t>
      </w:r>
    </w:p>
    <w:p>
      <w:pPr>
        <w:pStyle w:val="ListParagraph"/>
        <w:numPr>
          <w:ilvl w:val="0"/>
          <w:numId w:val="2"/>
        </w:numPr>
        <w:spacing w:after="60"/>
      </w:pPr>
      <w:r>
        <w:t xml:space="preserve">Vínculos cruzados: Lars Rasmussen preside WS Audiology y Marianne Wiinholt, presidenta de la comisión de auditoría, es CFO de WSA, su accionista; Rasmussen ya no es consejero [19, 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2025/26 (confirmada el 18-ago-2026): crecimiento orgánico del 5-6 %, EBIT a tipo constante antes de especiales del ~5 %, ROIC después de impuestos del ~15 %, capex del ~5 % de las ventas, tipo impositivo del ~22 % y especiales de ~3.100 M (con el deterioro de 3.000 M de Kerecis); crecimiento en DKK del ~3 % con 2-3 puntos de divisa en contra [6]. La guía se rebajó el 23-abr-2026 desde un orgánico del ~7 % y un EBIT del ~7 % [33]. A medio plazo, Impact4 (2024/25-2029/30): orgánico del 7-8 % anual, EBIT al menos al ritmo de las ventas, ROIC por encima del 20 % en 2029/30, DN/EBITDA de ~1,5x y payout del 60-80 % [6]. El nuevo CEO revisará el marco el 3 de noviembre de 2026 con los resultados anuales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(ejercicio 2025/26, oct-2025 a sep-2026) [54]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(2026/27) [54]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21 analistas (2027/28) [54]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15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377,00 – 600,00</w:t>
            </w:r>
          </w:p>
        </w:tc>
      </w:tr>
    </w:tbl>
    <w:p>
      <w:pPr>
        <w:spacing w:after="160" w:before="0"/>
      </w:pPr>
    </w:p>
    <w:p>
      <w:pPr>
        <w:pStyle w:val="Heading2"/>
      </w:pPr>
      <w:r>
        <w:t xml:space="preserve">Revisiones de estimaciones</w:t>
      </w:r>
    </w:p>
    <w:p>
      <w:pPr>
        <w:spacing w:after="100"/>
      </w:pPr>
      <w:r>
        <w:t xml:space="preserve">MarketScreener solo muestra las revisiones en gráfico, sin cifras (hueco registrado) [55]. Lo que sí consta es la dirección: la rebaja de la guía de abril de 2026 (de ~7 % a 5-6 % orgánico y de ~7 % a ~5 % de EBIT) y el deterioro de Kerecis bajaron las estimaciones de 2025/26 y 2026/27; el consenso de FY2027e (30.860 M de ventas, EBIT de 8.094 M y BPA de 25,96 DKK) supone ya un margen EBIT del 26,2 %, sin recuperación [33, 54]. El consenso usa una base mixta: EBITDA y EBIT antes de especiales, pero BPA de FY2026e después del deterioro (15,50 DKK frente a 25,29 DKK ajustado de S&amp;P Global) [54, 56]. Recomendaciones: 3 de compra, 15 de mantener y 3 de venta; precio objetivo medio de 462,81 DKK (377-600) [55, 56].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r>
    </w:tbl>
    <w:p>
      <w:pPr>
        <w:spacing w:after="160" w:before="0"/>
      </w:pPr>
    </w:p>
    <w:p>
      <w:pPr>
        <w:spacing w:after="100"/>
      </w:pPr>
      <w:r>
        <w:t xml:space="preserve">La acción B ha perdido un 14,8 % anual en cinco años frente a un índice danés plano y al +2,0 % del sector sanitario europeo, y acumula una caída máxima del 63,9 % desde el máximo de diciembre de 2021 hasta el mínimo de junio de 2026 [53]. La explican la pérdida de margen tras Atos, la decepción de Kerecis y dos rebajas de guía: las mayores caídas diarias del último año fueron del 8,2 % (6-feb-2026, 1T con Kerecis frenado) y del 6,0 % (19-ene-2026) [53]. Desde el mínimo de 369,70 DKK (18-jun-26) ha rebotado un 21 % tras un 3T mejor de lo temido. La beta es baja (0,68 sin ajustar frente al STOXX Europe 600; 0,79 ajustada) y la volatilidad del 27,8 % es alta para un negocio defensivo [53]. Las posiciones cortas declaradas (≥ 0,5 %) suman un 1,01 % (BlackRock 0,50 % e Ilex 0,51 % en julio de 2026; AQR llegó al 0,80 % en abril) [52].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Al cierre de cada ejercicio, Coloplast cotizó de FY2017 a FY2025 a un EV/EBITDA de los últimos 12 meses de 15,8x a 32,1x (mediana ~24x); hoy está a 13,9x, por debajo de su mínimo histórico y con un descuento del 43 %. El PER LTM (36,4x) parece en línea con la historia solo porque el beneficio LTM lleva el deterioro de Kerecis; el PER de los próximos 12 meses es de 17,1x. El cambio tiene causas estructurales: un ROIC que ha bajado del 50 % al 12 %, más deuda (de 0,3x a 2,5x el EBITDA), un crecimiento orgánico que ha pasado del 7-8 % al 5-6 % y unos tipos más altos (el Bund estaba por debajo de cero en 2019-2021). Pero el descuento frente a la historia es mayor que el deterioro de los fundamentales.</w:t>
      </w:r>
    </w:p>
    <w:p>
      <w:pPr>
        <w:pStyle w:val="Heading1"/>
      </w:pPr>
      <w:r>
        <w:t xml:space="preserve">18. Comparables cotizados</w:t>
      </w:r>
    </w:p>
    <w:p>
      <w:pPr>
        <w:pStyle w:val="Confianza"/>
        <w:spacing w:after="100"/>
      </w:pPr>
      <w:r>
        <w:t xml:space="preserve">Confianza: Media</w:t>
      </w:r>
    </w:p>
    <w:p>
      <w:pPr>
        <w:spacing w:after="100"/>
      </w:pPr>
      <w:r>
        <w:t xml:space="preserve">Fabricantes europeos y australianos de consumibles y dispositivos médicos con ingresos recurrentes y reembolso público: Convatec (rival directo en ostomía, continencia y heridas), Smith &amp; Nephew y Essity (heridas e incontinencia), Demant, Sonova y Cochlear (audición: usuarios crónicos y reembolso) y Ambu (consumibles de un solo uso). Fuera: BD y Teleflex por cambios de perímetro en curso, y Hollister y Mölnlycke porque no cotizan [54, 62, 63, 64, 65, 66, 67, 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Coloplast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Convatec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Smith &amp; Nephew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Ambu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Cochlear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13,2x / 14,1x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 / 15,4x / 15,8x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524,08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 / 22,9x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28.442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3,0x / 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9,9 + 0,30 × crecimiento; R² = 0,10. El crecimiento explica poco los múltiplos de estos comparables (R² &lt; 0,3): la regresión no se usa en la valoración.</w:t>
      </w:r>
    </w:p>
    <w:p>
      <w:pPr>
        <w:spacing w:after="100"/>
      </w:pPr>
      <w:r>
        <w:t xml:space="preserve">Coloplast cotiza a 13,3x el EBITDA de los próximos 12 meses, justo en la mediana de los comparables (13,2x), y a 17,1x el beneficio, por debajo de su mediana (22,9x). Es la que tiene el margen EBITDA más alto (31,8 % frente a 18,6-27,1 %) y un crecimiento en la media (~6 % orgánico frente a 2-11 %), pero también más deuda que la mayoría (2,5x). Convatec, su rival más parecido, está a 9,7x EV/EBITDA y 17,6x PER con un margen 5 puntos menor; las de audición (13,7-15,2x) cotizan con prima por crecimiento. El valor por EV/EBITDA NTM (442,25 DKK) es el del precio, y el del PER (596,13 DKK) queda por encima: la diferencia sale de que la amortización de las compras y los intereses pesan menos en Coloplast que en las de audición. La regresión no explica nada (R² 0,10) y la muestra es frágil al quitar una empresa: uso la media de EV/EBITDA y PER (519,19 DKK) con un peso del 25 %.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Uromedica (EE. UU., incontinencia urinaria de esfuerzo)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139 M DKK y pago contingente a valor razonable 210 M DKK (hitos regulatorios y comerciales) [6]. Sin ventas publicadas: sin múltiplo; tamaño irrelevante.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Axonics (neuromodulación sacra para vejiga hiperactiva e incontinencia fecal)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 3.400 M USD (fondos propios 3.700 M menos caja neta ≈ 300 M) a 71 USD por acción; ventas 2023 esperadas ≈ 366 M USD (+34 %) [71]. EV/ventas = 3.400 / 366 = 9,3x (cálculo propio). Conversión a 6,8166 DKK/USD del 8-ene-2024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Kerecis (biológicos para heridas, Islandia/EE.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100 % hasta 1.300 M USD (≈ 8.900 M DKK): 1.200 M USD (≈ 8.200 M DKK) al contado más un earn-out de hasta 100 M USD (≈ 680 M DKK) [70]. Ventas FY2021/22 (sep-2022) 510 M DKK, 98 % en EE. UU., en el punto muerto; crecimiento esperado ~50 % en 2022/23 [70]. EV/ventas 8.900 / 510 = 17,5x (16,1x con solo el pago inicial); EBITDA ~0: sin EV/EBITDA. En el 2T26 Coloplast deterioró 3.000 M DKK del fondo de comercio de Kerecis [6].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Atos Medical (laringectomía, traqueostomía; Suecia)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2.155 M EUR (≈ 16.000 M DKK), libre de caja y deuda, a PAI Partners [69]. Ventas proforma 2020 (con Tracoe) 2.200 M SEK y EBITDA proforma ajustado 800 M SEK [69]. A 9,9588 SEK/EUR del 8-nov-2021 [73]: ventas 220,9 M EUR y EBITDA 80,3 M EUR; EV/ventas 9,8x y EV/EBITDA 26,8x (cálculo propio sobre cifras redondeadas de la empresa). EV en DKK a 7,4383 DKK/EUR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Acelity / KCI (curas avanzadas y presión negativa)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 6.700 M USD con la deuda asumida, a Apax, CPPIB y PSP; ventas 2018 1.500 M USD [72]. EV/ventas 4,5x (cálculo propio). 3M da un múltiplo efectivo de ≈ 11x el EBITDA ajustado esperado de los 12 meses siguientes al cierre incluyendo sinergias [72]: no comparable con un EV/EBITDA sin sinergias. Conversión a 6,6585 DKK/USD del 2-may-2019 [73].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1.090,13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908,35 – 1.362,50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se han pagado caras: Atos a 26,8x EBITDA y 9,8x ventas, Kerecis a 17,5x ventas y Axonics a 9,3x ventas, frente a 4,4x ventas que vale hoy Coloplast [69, 70, 71, 72]. Ese valor de control (1.090 DKK por acción con la mediana) no se usa: está sesgado por compras de crecimiento sin beneficio y Kerecis demuestra que se pagó de más. Coloplast no puede ser objeto de una OPA hostil: las acciones A (46 % de los votos) y la fundación, que controla desde el 1-oct-2026 el 51,36 % de los votos, lo impiden, y la Finanstilsynet ya eximió a la fundación de lanzar una oferta [35, 36]. Las transacciones pesan cero.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crece un 3,0 % en DKK, la guía (orgánico del 5-6 % con 2-3 puntos de divisa en contra), y está fijo porque ya hay tres trimestres publicados [6]. De FY2027e a FY2029e, un 6,0 %: el orgánico de los 9M (6 %), por debajo del 7-8 % de Impact4 y del 7,2 % medio de Strive25 [6, 25], con Kerecis plano, China a la baja y el mercado accesible creciendo al 4-5 % [6]. Después baja medio punto al año hasta el 3,0 % de FY2035e. El consenso queda entre un 0,5 % y un 1,7 % por encima en ventas de FY2026e a FY2028e [54]. No hay compras en la proyección.</w:t>
      </w:r>
    </w:p>
    <w:p>
      <w:pPr>
        <w:keepNext/>
        <w:spacing w:after="100"/>
      </w:pPr>
      <w:r>
        <w:rPr>
          <w:b/>
          <w:bCs/>
        </w:rPr>
        <w:t xml:space="preserve">Márgenes.</w:t>
      </w:r>
    </w:p>
    <w:p>
      <w:pPr>
        <w:spacing w:after="100"/>
      </w:pPr>
      <w:r>
        <w:t xml:space="preserve">Margen EBITDA antes de especiales del 31,8 % en FY2026e (31 % en los 9M con un 4T estacionalmente mejor; EBIT del 26,5 %, igual que el consenso de 7.623 M) [6, 54]. En FY2027e baja al 31,6 % por las inversiones que anunciará el nuevo CEO en EE. UU. e innovación, y sube luego hasta el 33 % en FY2031e, todavía por debajo del 36-37 % de FY2020-FY2021 [5]: la recuperación sale de que Kerecis deje de restar ~50-60 pb, del fin de la puesta en marcha de Costa Rica y Portugal y de la amortización decreciente de la compra de Atos. El consenso de FY2027e y FY2028e queda un 2 % por debajo en EBITDA [54].</w:t>
      </w:r>
    </w:p>
    <w:p>
      <w:pPr>
        <w:keepNext/>
        <w:spacing w:after="100"/>
      </w:pPr>
      <w:r>
        <w:rPr>
          <w:b/>
          <w:bCs/>
        </w:rPr>
        <w:t xml:space="preserve">Inversión y circulante.</w:t>
      </w:r>
    </w:p>
    <w:p>
      <w:pPr>
        <w:spacing w:after="100"/>
      </w:pPr>
      <w:r>
        <w:t xml:space="preserve">Capex del 6,0 % de las ventas en FY2026e-FY2027e (guía de ~5 % más ~1 punto de derechos de uso y arrendamientos, que en FY2025 pagaron 281 M) y bajando al 5,0 % en FY2035e, cuando Portugal ya está terminada [1, 6]. Amortización del 5,3 % en FY2026e, que baja al 4,8 % a medida que se agota la de los intangibles de Atos y Kerecis; en el último año el capex (5,0 %) supera a la amortización (4,8 %). Circulante del 26 % de las ventas, su media de FY2022-FY2025. Tipo impositivo del 22 % (guía), sin el extraordinario de FY2025.</w:t>
      </w:r>
    </w:p>
    <w:p>
      <w:pPr>
        <w:keepNext/>
        <w:spacing w:after="100"/>
      </w:pPr>
      <w:r>
        <w:rPr>
          <w:b/>
          <w:bCs/>
        </w:rPr>
        <w:t xml:space="preserve">Coste del capital.</w:t>
      </w:r>
    </w:p>
    <w:p>
      <w:pPr>
        <w:spacing w:after="100"/>
      </w:pPr>
      <w:r>
        <w:t xml:space="preserve">Tasa libre del 3,53 %: el Bund alemán a 10 años del 12-oct-2026 (Bundesbank) [57]. No uso el bono danés (3,29 % de media en septiembre frente al 3,47 % del Bund) porque la corona está anclada al euro en el MTC II (7,4748 DKK/EUR, a un 0,2 % de la paridad central) y la regla del informe es el Bund para todo el bloque euro; además, el bono danés rinde menos que el alemán por su escasez, no por menor riesgo [58, 59]. Beta de 0,85, entre la ajustada de la acción frente al STOXX Europe 600 (0,79) y la sectorial de Damodaran reapalancada (1,02) [53, 61]; prima del 5,5 %, sin prima adicional (más del 90 % de las ventas en países desarrollados). Coste de la deuda del 4,0 % (3,3 % actual y refinanciación de 2027 al Bund más diferencial). Peso de la deuda del 19,1 % a valor de mercado. WACC del 7,23 %.</w:t>
      </w:r>
    </w:p>
    <w:p>
      <w:pPr>
        <w:keepNext/>
        <w:spacing w:after="100"/>
      </w:pPr>
      <w:r>
        <w:rPr>
          <w:b/>
          <w:bCs/>
        </w:rPr>
        <w:t xml:space="preserve">Valor terminal.</w:t>
      </w:r>
    </w:p>
    <w:p>
      <w:pPr>
        <w:spacing w:after="100"/>
      </w:pPr>
      <w:r>
        <w:t xml:space="preserve">Gordon con un crecimiento del 2,5 %: inflación esperada en el área euro del 2 % más medio punto real, por debajo del 4-5 % del mercado (envejecimiento y penetración en emergentes) y coherente con un Bund al 3,53 % (como mucho la tasa libre menos medio punto). El múltiplo implícito en el valor terminal es de 13,8x EBITDA, en la mediana de los comparables (13,2x) y por debajo del mínimo histórico de la propia empresa (15,8x): no es exigente. El valor terminal pesa un 69 %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535,81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678,32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729,42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6.187 M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 (hoy: 22,8 %)</w:t>
            </w:r>
          </w:p>
        </w:tc>
      </w:tr>
    </w:tbl>
    <w:p>
      <w:pPr>
        <w:spacing w:after="160" w:before="0"/>
      </w:pPr>
    </w:p>
    <w:p>
      <w:pPr>
        <w:spacing w:after="100"/>
      </w:pPr>
      <w:r>
        <w:t xml:space="preserve">La proyección apenas necesita inversión neta de la amortización (reinversión acumulada de 6.187 M, el 8 % del NOPAT, con un capex bruto medio del 5,5 % de las ventas). En un negocio de activos ligeros, el crecimiento medio del 4,7 % tiene que salir de subir precios y de ganar volumen sin capital nuevo, y la prueba es el poder de precios y la cuota (23,2 % del mercado en FY2035e, frente al 22,8 %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6 %: ~4,5 puntos de volumen (usuarios nuevos en ostomía y continencia, dos dígitos en EE. UU., Luja) y ~1,5 de precio y mezcla (sondas hidrofílicas); la divisa resta ~3 puntos (USD, GBP) [6,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al ritmo del mercado más cuota en EE. UU. y salud masculina; precio y mezcla del 1,5 % (la empresa supone efecto precio neutro y la mejora sale de la mezcla); sin divisa [6,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FY2027e; la subasta de Medicare de 2028 en ostomía y sondas no se incluye en el caso base y va al bajista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y mezcla del 1,5 %: es el último año de Impact4, con un orgánico por debajo del 7-8 % que promete el plan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4 % y mezcla del 1,5 %: la proyección converge al crecimiento del mercado.</w:t>
            </w:r>
          </w:p>
        </w:tc>
      </w:tr>
    </w:tbl>
    <w:p>
      <w:pPr>
        <w:spacing w:after="160" w:before="0"/>
      </w:pPr>
    </w:p>
    <w:p>
      <w:pPr>
        <w:spacing w:after="100"/>
      </w:pPr>
      <w:r>
        <w:t xml:space="preserve">Sí. El crecimiento proyectado (4,7 % anual) está por debajo del orgánico que Coloplast ha logrado durante dos décadas (7 % medio en Strive25) y solo un poco por encima del mercado accesible (4-5 %): la cuota implícita pasa del 22,8 % al 23,2 % en FY2035e [6, 25]. No necesita inversión neta: la reinversión acumulada es del 8 % del NOPAT, porque el negocio de ostomía y continencia crece con capacidad instalada y el capex ronda el 5 % [6]. Lo sostienen los costes de cambio (usuarios crónicos durante años) y la escala (n.º 1 con el 35-45 % en ostomía y continencia) [13]. La debilidad es el poder de precios: el reembolso lo fija el pagador, y por eso el puente se apoya en volumen y mezcla, no en subidas de tarifa. El ROIC incremental histórico (2,3 %) refleja las compras, no el negocio orgánico.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(base: 4,8 %)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 (base: 33,0 %)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7,2 %)</w:t>
            </w:r>
          </w:p>
        </w:tc>
      </w:tr>
    </w:tbl>
    <w:p>
      <w:pPr>
        <w:spacing w:after="160" w:before="0"/>
      </w:pPr>
    </w:p>
    <w:p>
      <w:pPr>
        <w:spacing w:after="100"/>
      </w:pPr>
      <w:r>
        <w:t xml:space="preserve">El DCF da 578,10 DKK por acción, un 29,5 % por encima del precio, con un WACC del 7,23 % y un valor terminal que pesa el 69 %. El rango de sensibilidad (WACC y crecimiento terminal ± 0,5 puntos) va de 473,13 a 738,49 DKK: el precio queda por debajo incluso del extremo bajo. El DCF inverso es la clave: a 446,30 DKK el mercado descuenta un crecimiento del 1,4 % anual de FY2027e a FY2035e frente al 4,8 % del caso base, o un margen EBITDA del 27,9 % frente al 33 %, es decir, un margen 5 puntos por debajo del actual y que no vuelva nunca. La rentabilidad implícita en el precio es del 8,3 %, un punto por encima del WACC. Para una empresa que ha crecido entre el 6 % y el 8 % orgánico en cada uno de los últimos siete trimestres y que lleva cinco años con margen EBITDA por encima del 31 %, eso es conservador: el precio descuenta que la gestión de Kerecis y China se extienda al negocio principal. Nuestro caso base no es optimista frente al consenso (ventas un 1-2 % por debajo, EBITDA un 2 % por encima en FY2027e-FY2028e).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nuevo CEO hace «borrón y cuenta nueva» el 3-nov: sube la inversión en EE. UU. y en innovación, el margen EBITDA cae a ~28 % y el orgánico se queda en el 3-4 % (China, Kerecis y la subasta de Medicare de 2028 en ostomía y sondas, que Convatec estima en un 1-2 % de las ventas) [14]. Es lo que le pasó al margen entre FY2021 y FY2024 (−5 puntos).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6 % hasta FY2029e, Kerecis estabilizado en torno a cero, recuperación gradual del margen EBITDA hasta el 33 % con Portugal y Costa Rica a pleno rendimiento, y deuda neta hacia 1,5x en 2029/30 sin compras grandes.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688,94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plan del nuevo CEO acelera EE. UU. y la salud masculina: el orgánico vuelve al 7-8 % de Impact4 y el margen EBITDA recupera el 34-35 % de FY2022 al desaparecer la dilución de Kerecis y repercutir la inversión en volumen.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DKK) · precio actual 44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545,31 DKK (+22,2 %).</w:t>
      </w:r>
    </w:p>
    <w:p>
      <w:pPr>
        <w:spacing w:after="100"/>
      </w:pPr>
      <w:r>
        <w:t xml:space="preserve">El alcista da 688,94 DKK (+54,4 %) y el bajista 358,27 DKK (−19,7 %): la asimetría es de 2,76 veces. El bajista no es cosmético: recorta 2,5 puntos de crecimiento y 4 de margen cada año y baja el terminal al 2,0 %, una pérdida de margen similar a la de FY2021-FY2024, y aun así el precio solo cae un 20 %, porque el mercado ya descuenta casi ese escenario (DCF inverso con un margen del 27,9 %). Le doy un 25 % de probabilidad por el riesgo de que el nuevo CEO rebaje las ambiciones el 3 de noviembre; el alcista, un 20 %, porque exige volver al orgánico de Impact4 que la empresa no ha logrado en dos años. Con esos pesos el valor ponderado es de 545,31 DKK: compensa.</w:t>
      </w:r>
    </w:p>
    <w:p>
      <w:pPr>
        <w:pStyle w:val="Heading1"/>
      </w:pPr>
      <w:r>
        <w:t xml:space="preserve">22. Suma de partes</w:t>
      </w:r>
    </w:p>
    <w:p>
      <w:pPr>
        <w:pStyle w:val="Confianza"/>
        <w:spacing w:after="100"/>
      </w:pPr>
      <w:r>
        <w:t xml:space="preserve">Confianza: Media</w:t>
      </w:r>
    </w:p>
    <w:p>
      <w:pPr>
        <w:spacing w:after="100"/>
      </w:pPr>
      <w:r>
        <w:t xml:space="preserve">No aplica: Coloplast publica un único resultado conjunto para Chronic Care (ostomía y continencia, 68 % de las ventas) y los márgenes EBIT de las otras áreas (Voice &amp; Respiratory 36,7 %, Interventional Urology 35,3 %, Wound &amp; Tissue Repair 32,2 % antes de costes compartidos de 6.478 M) no son comparables con los de negocios independientes [1]. Kerecis (~1.000 M de ventas, margen ~0 %) es demasiado pequeña para cambiar la valoración por partes.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DKK) · precio actual 44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555,17 DKK (+24,4 % sobre 446,30).</w:t>
      </w:r>
    </w:p>
    <w:p>
      <w:pPr>
        <w:spacing w:after="100"/>
      </w:pPr>
      <w:r>
        <w:t xml:space="preserve">El DCF pesa un 50 % porque Coloplast es un negocio previsible, de crecimiento estable y sin ciclo: el método más fiable es el que proyecta su caja. Los escenarios ponderados (545,31 DKK) pesan un 25 % para recoger el riesgo de que el nuevo CEO reinicie el plan. Los comparables (519,19 DKK, media de EV/EBITDA y PER) pesan un 25 %: son la referencia de mercado, pero la muestra es frágil y ninguno tiene el mismo modelo. Las transacciones (1.090,13 DKK) no se usan: llevan prima de control y la compra de Kerecis demuestra que se pagaron de más, y no hay operación posible con la fundación al control. La dispersión es moderada: todos los métodos, salvo el EV/EBITDA NTM (442,25 DKK), quedan por encima del precio. Con la prima de riesgo implícita del mercado (4,20 %, WACC del 6,34 %), el valor objetivo sube a 675,63 DKK.</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488,25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+61,4 %</w:t>
            </w:r>
          </w:p>
        </w:tc>
      </w:tr>
    </w:tbl>
    <w:p>
      <w:pPr>
        <w:spacing w:after="160" w:before="0"/>
      </w:pPr>
    </w:p>
    <w:p>
      <w:pPr>
        <w:spacing w:after="100"/>
      </w:pPr>
      <w:r>
        <w:rPr>
          <w:b/>
          <w:bCs/>
        </w:rPr>
        <w:t xml:space="preserve">Objetivo a 12 meses (ponderado):</w:t>
      </w:r>
      <w:r>
        <w:t xml:space="preserve"> 489,35 DKK · rentabilidad +14,8 % (base +14,6 %) · señal Mantener.</w:t>
      </w:r>
    </w:p>
    <w:p>
      <w:pPr>
        <w:spacing w:after="100"/>
      </w:pPr>
      <w:r>
        <w:t xml:space="preserve">Para comparar, con la regla v2 (historia al cierre, mismo precio): 15,8x / 18,6x / 24,2x, 14,8 % Mantener; con el tope anterior del base (×1,3, 14-oct mediodía): 47,8 % Comprar; con la v3 sin el selector (tope ×1,1): 26,0 % Comprar. Decide la v2, elegida por el selector de método (desrateada: la mediana adelantada (44,3x) es 2,4 veces el PER de hoy (18,6x); la historia es de otro régimen y decide la v2; METODO-VIGENTE.md).</w:t>
      </w:r>
    </w:p>
    <w:p>
      <w:pPr>
        <w:keepNext/>
        <w:spacing w:after="100"/>
      </w:pPr>
      <w:r>
        <w:rPr>
          <w:b/>
          <w:bCs/>
        </w:rPr>
        <w:t xml:space="preserve">Frente al consenso (solo contraste).</w:t>
      </w:r>
    </w:p>
    <w:p>
      <w:pPr>
        <w:spacing w:after="100"/>
      </w:pPr>
      <w:r>
        <w:t xml:space="preserve">Nuestro BPA base de FY2028e (26,25) se separa un -6,6 % del consenso (28,10) y nuestro precio base (488,25) un +5,5 % del objetivo medio de los analistas (462,81).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555,17 (+24,4 %) frente al objetivo a 12 meses ponderado 489,35 (+14,8 % con dividendo; base +14,6 %).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2025/26 y actualización estratégica del nuevo CEO (prioridades, palancas de valor, marco Impact4) [6, 80]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2026/27 y posible revisión de las metas a 2029/30; el día que decide la tesis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dividendo final de 2025/26 y entrada de Niels B. Christiansen como presidente [29, 80]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Continuidad del dividendo (~18 DKK) y nueva presidencia con un perfil de gestión industrial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 final de Medicare (tarifas de 2027) para los sustitutos de piel [14]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mantiene 127,28 USD/cm², Kerecis sigue plano; un cambio a mejor reactivaría Biologics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2026/27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nueva y de la normalización de China tras la reducción de existencias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Subasta de Medicare (DMEPOS) para ostomía y sondas, con contratos desde 2028 y 8-10 proveedores nacionales [14]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precio en EE. UU.; Convatec la estima en un 1-2 % de sus ventas el año de entrada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del bono COLOCB2 (850 M EUR al 2,25 %) y del préstamo a plazo de 7.783 M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Refinanciación de ~14.100 M a tipos más altos: unos 100-150 M más de intereses al año (estimación propia)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Reinicio estratégico del nuevo CEO el 3-nov: más inversión, metas de Impact4 rebajadas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descuenta un margen EBITDA del 27,9 %; el negocio crónico crece al 6 %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EBIT 2026/27 por debajo del +5 % a tipo constante o margen objetivo bajo el 25 % de EBIT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Subasta de Medicare en ostomía y sondas (contratos desde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(estimación propia: −1-2 % de ventas en EE. UU. permanente)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es el 23,5 % de las ventas y la subasta afecta al canal de Medicare, no a los seguros privados [1,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Calendario y precios de la ronda de 2027 de CMS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Segundo deterioro de Kerecis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 / 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(sin caja; el valor contable restante de Kerecis es de ~6.000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ya supone Kerecis plano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Biologics con crecimiento negativo dos trimestres más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competencia local y compras centralizadas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pesa poco en las ventas y la reducción de existencias termina en el 2S 2025/26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China en negativo en 2026/27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reembolso en Europa (licitaciones, Part IX en Reino Unido, Alemania)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(−1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Cuotas del 40-50 % en Europa y costes de cambio de los usuarios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precio negativo en la conciliación del crecimiento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USD y GBP en las ventas, HUF en los costes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(un 10 % de dólar más débil)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12 meses; producción también en Costa Rica (USD)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efecto divisa peor que −3 puntos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Refinanciación de 2027 y deuda de 2,8x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BBB y FCF del 20 % de las ventas [1,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la nueva deuda por encima del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control de la fundación, rotación directiva y remuneración sin métricas de rentabilidad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impide una prima de control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Presidencia independiente y compras de los consejeros [36, 38, 39, 40, 41, 42]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salidas en el comité de dirección</w:t>
            </w:r>
          </w:p>
        </w:tc>
      </w:tr>
    </w:tbl>
    <w:p>
      <w:pPr>
        <w:spacing w:after="160" w:before="0"/>
      </w:pPr>
    </w:p>
    <w:p>
      <w:pPr>
        <w:pStyle w:val="Heading2"/>
      </w:pPr>
      <w:r>
        <w:t xml:space="preserve">Pre-mortem</w:t>
      </w:r>
    </w:p>
    <w:p>
      <w:pPr>
        <w:spacing w:after="100"/>
      </w:pPr>
      <w:r>
        <w:t xml:space="preserve">Es octubre de 2029 y la acción vale 270 DKK. El 3 de noviembre de 2026 Gavin Wood anunció un plan de inversión en EE. UU. que bajó el margen EBIT al 23-24 % durante tres años, y retiró la meta de ROIC del 20 %. La subasta de Medicare de 2027 adjudicó ostomía y sondas a precios un 10-15 % más bajos y Coloplast perdió parte del canal de Medicare en 2028. En Europa, Alemania y el Reino Unido recortaron precios en las licitaciones de sondas. El orgánico se quedó en el 3-4 % y la mejora de mezcla no compensó. Con la deuda refinanciada al 4,5 %, el beneficio por acción no creció y el dividendo, pagado por encima del beneficio, tuvo que congelarse. El mercado dejó de ver a Coloplast como un compuesto de calidad y la valoró como Convatec, a 9-10x EBITDA. Las señales que lo habrían anticipado: la guía de margen del 3-nov, el precio de la ronda de CMS y un efecto precio negativo en dos trimestres seguidos.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 (dentro del 49 % superior de equipos y suministros sanitarios)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13,7 (riesgo bajo; percentil 6 del sector sanitario)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(por encima de la media de equipos y suministros médicos)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 medalla de bronce (26 % superior)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Corporate Knights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100: n.º 92 general y n.º 2 en fabricación de equipos médicos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2025-11</w:t>
            </w:r>
          </w:p>
        </w:tc>
      </w:tr>
    </w:tbl>
    <w:p>
      <w:pPr>
        <w:spacing w:after="160" w:before="0"/>
      </w:pPr>
    </w:p>
    <w:p>
      <w:pPr>
        <w:pStyle w:val="Heading2"/>
      </w:pPr>
      <w:r>
        <w:t xml:space="preserve">Asuntos materiales</w:t>
      </w:r>
    </w:p>
    <w:p>
      <w:pPr>
        <w:spacing w:after="100"/>
      </w:pPr>
      <w:r>
        <w:t xml:space="preserve">Seguridad y calidad del producto: en 2024/25 hubo 6 retiradas voluntarias, dos grandes (Bladder Health por posible problema de esterilidad del envase, dic-2024; apósitos Biatain Adhesive en China por un requisito técnico local, jun-2025) [19], con un impacto de ~85 M DKK y ~80 M DKK en ventas [13]. Emisiones: las de alcance 1 y 2 bajaron un 41 % frente a la base (objetivo: −90 %, validado por SBTi), con un 88 % de electricidad renovable; el alcance 3 es el 96 % del total y por producto apenas baja (−1 %) frente al objetivo de −50 % en 2030; neto cero en 2045 [19]. Acceso al reembolso, porque el pagador público condiciona precios [19].</w:t>
      </w:r>
    </w:p>
    <w:p>
      <w:pPr>
        <w:pStyle w:val="Heading2"/>
      </w:pPr>
      <w:r>
        <w:t xml:space="preserve">Controversias</w:t>
      </w:r>
    </w:p>
    <w:p>
      <w:pPr>
        <w:spacing w:after="100"/>
      </w:pPr>
      <w:r>
        <w:t xml:space="preserve">Mallas transvaginales: la FDA ordenó el 16-abr-2019 dejar de vender la malla para prolapso Restorelle DirectFix Anterior, que se retiró; el estudio posterior de 36 meses dio resultados similares a la reparación con tejido nativo [21]. Coloplast llegó a acuerdos en demandas en EE. UU. [24]. En el último ejercicio no espera que los litigios pendientes afecten materialmente [19]. Retiradas de producto en 2024/25 (Bladder Health y China) [19].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Impact4</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¿Siguen vigentes el orgánico del 7-8 % y el ROIC por encima del 20 % en 2029/30, o el 3-nov traerá metas nuevas? ¿Cuánto margen costará la inversión en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escenario base y el bajista (≈ 220 DKK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Subasta de Medicare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ostomía y continencia en EE. UU. pasa por Medicare y qué descuento prevé en la ronda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Convatec la estima en un 1-2 % de sus ventas; para Coloplast no hay cifra.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Kerecis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supuestos de crecimiento y margen sostienen los ~6.000 M de valor contable que quedan y cuándo espera que Biologics gane dinero en el ámbito hospitalario?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prueba de deterioro supone ~10 % anual hasta 2035 con el negocio al 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 aplazado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y cuánto se pagará en Islandia por la transferencia de la IP de Kerecis, y cuánto se compensa en Dinamarca?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puente resta 2.128 M (~9,4 DKK por acción) netos.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el consejo el DPA de 23 DKK con un payout por encima del 100 % y la meta de deuda de 1,5x?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aporta 5,2 puntos de la rentabilidad esperada.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repiten casi todos los años y qué parte de las de 2026/27 serán reestructuración del nuevo plan?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1 % de ventas recurrente resta ~25 DKK por acción al DCF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Fundación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algo en la política de dividendos o de inversión con el control de Coloplast Fonden desde el 1-oct-2026?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fundación decide la junta con el 51,36 % de los votos.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Nordnet Social (foro de la acción COLO B, Dinamarca; el mismo hilo se ve desde Nordnet Suecia)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Escepticismo con la empresa y su dirección. Critican que el nuevo consejero delegado comunique poco sobre el plan de mejora y los costes, temen que el crecimiento siga flojo y que se rebajen las previsiones, y ven en el informe anual del 3-nov el momento decisivo. Una minoría lee como señales positivas la compra de acciones por directivos y la caída de las posiciones cortas [74].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onvista Börsenforum (hilo «Coloplast Group», Alemania)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Hilo de pequeños inversores alemanes con poca actividad en el periodo. En julio se apuesta por un rebote porque la acción «no interesa» y el beneficio podría sorprender; tras los resultados del 18-ago se celebra que superaron las expectativas. En primavera dominaban la frustración por la tendencia bajista y la crítica al precio pagado por Kerecis [75].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colaboradores sobre CLPBY; solo titulares, los textos dan captcha)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artículos de opinión en el trimestre: uno de principios de agosto defiende que la acción podría haber tocado suelo; otro de finales de agosto describe un gran negocio a precio razonable pero en mal momento [76].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Aktietip.dk (análisis divulgativo para particulares, actualizado tras los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 Coloplast como un valor defensivo en transición y en fase de «esperar y ver»: la valoración es la más atractiva en años, pero falta la prueba de que Kerecis y el nuevo consejero delegado devuelvan el crecimiento; cita China como riesgo [77].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consejero delegado (Gavin Wood) y comunicación de la dirección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los resultados del 18-ago Wood hizo balance de sus primeros 100 días y presentó sus prioridades de creación de valor, aunque sin objetivos nuevos; la guía 2025/26 no cambió [78]. La queja del foro tiene base: el detalle llega con el informe anual del 3-nov.</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Kerecis: precio pagado y deterioro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al foro: deterioro de 3.000 M DKK del fondo de comercio en el 2T26 y una guía de crecimiento orgánico y margen EBIT de ~0 % para Kerecis en 2025/26 [78].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cotización y búsqueda de suelo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ven capitulación y posible rebote, otros más caída si se rebaja la guía. El 3T26 dio un crecimiento orgánico del 6 % y un EBIT un 5 % mayor a tipo constante [78]. La reacción de los analistas fue tibia: ventas mejor de lo previsto y beneficio operativo por debajo [79].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anuales del 3-nov como catalizador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el calendario: resultados e informe anual 2025/26 el 3-nov-2026. La guía sigue en un crecimiento orgánico del 5-6 % y un EBIT ~+5 % a tipo constante [78].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directivos y posiciones cortas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avisos de operaciones de consejeros y directivos con acciones el 1-oct-2026 [79]. Las cifras de cortos que circulan en el foro no se han comprobado y no se usan.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estancado durante años y 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crecimiento orgánico de los 9M (6 %) queda por debajo de la ambición Impact4 (7-8 %) y el margen EBIT bajó al 26 % (27 % un año antes), en parte por divisa y Kerecis [78]. La preocupación es razonable.</w:t>
            </w:r>
          </w:p>
        </w:tc>
      </w:tr>
    </w:tbl>
    <w:p>
      <w:pPr>
        <w:spacing w:after="160" w:before="0"/>
      </w:pPr>
    </w:p>
    <w:p>
      <w:pPr>
        <w:spacing w:after="100"/>
      </w:pPr>
      <w:r>
        <w:t xml:space="preserve">El sentimiento de los particulares es negativo pero escaso: pocos mensajes, centrados en la falta de comunicación del nuevo CEO, el precio pagado por Kerecis y el miedo a otra rebaja de guía el 3 de noviembre [74, 75]. No es capitulación: hay una minoría que lee las compras de los consejeros de marzo y la bajada de cortos como una señal de suelo [74]. Coincide con el consenso de analistas (15 de 21 en mantener) en que la acción está «a la espera» del día de resultados [55]. Lo útil para la decisión es que nadie en los foros discute el negocio de ostomía y continencia: el debate es de gestión y de Kerecis, que es justo lo que el precio castiga más allá de las cifras. El riesgo que los foros ven y el informe recoge es un «borrón y cuenta nueva» del CEO el 3-nov.</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23 controles correctos y 4 explicados. Fuentes: 80 (56 primarias); citas distintas en el texto: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40,9 %: explica la causa (créditos fiscales, regularizaciones, mezcla de países) y no lo proyectes en el DCF. Explicación: El 40,9 % de FY2025 se debe a un gasto extraordinario de 1.146 M DKK por la transferencia de la propiedad intelectual de Kerecis de Islandia a Dinamarca; el tipo ordinario es del 22 % (guía) y es el que usa el DCF [1, 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23,2 % en FY2035e frente al 22,8 %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26,0 % frente a 26,0 % real: genera una variación de circulante de 212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0,10: el crecimiento no explica los múltiplos de estos comparables; no uses el valor de la regresión. Explicación: Con siete comparables de negocios distintos (audición, endoscopia, heridas, higiene) el crecimiento no explica el múltiplo (R² 0,10);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11,4x a 13,4x según qué comparable se quite (368,73 a 452,75 por acción): la muestra es frágil; explícalo y no le des mucho peso. Explicación: La mediana del EV/EBITDA NTM se mueve entre 11,4x y 13,4x según qué comparable se quite; por eso los comparables pesan solo un 25 % y se combinan con el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29,5 %, asimetría de 2,76, bajista del -19,7 % y el precio descuenta 3,4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100.551, publicada 94.100: revisa acciones y precio. Explicación: MarketScreener publica 94.100 M DKK con el cierre del 30-sep-2026 (417,90 DKK) y las mismas 225,2 M de acciones (A + B sin autocartera); a 446,30 DKK equivale a ~100.500 M, igual que el cálculo del informe [54].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fuentes (56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de la empresa (no citan consenso); 2) comunicados en Nasdaq/Inderes (sin consenso previo); 3) no he gastado búsquedas web en consenso trimestral histórico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 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anual FY2025 (solo da el año: 7 %); 2) informe anual 2024/25 (sin trimestre); 3) derivarlo de 9M (7 %) y año (7 %) no da una cifra precisa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ultima_presentacion (transcripciones de 12-may y 18-ago-26)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2T26 y 9M26 (solo enlace al webcast); 2) Inderes ofrece transcripciones con registro; 3) no buscado más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hechos de los informes en trimestres.extra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2024/25 (no menciona rating); 2) informe 2021/22 (S&amp;P BBB al emitir los bonos en 2022); 3) búsqueda web: solo el informe de S&amp;P de mayo de 2022 (BBB estable) en la web de inversores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BBB de 2022, vigencia sin confirmar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19 del informe 2024/25 (no la publica); 2) nota de riesgos financieros (solo vencimientos); 3) derivable de los vencimientos pero el préstamo y las líneas no tienen fecha exacta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desglose FY2017-FY2019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cinco años del informe 2020/21 (solo magnitudes resumen); 2) no hay ESEF de esos años en filings.xbrl.org; 3) no he buscado los PDF antiguos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activo, patrimonio, flujo operativo y capex material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 de Atos y Kerecis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2021/22 y 2022/23 (no dan EBITDA de la adquirida); 2) comunicados de los informes anuales; 3) no he buscado los anuncios de compra de 2021 y 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2024/25 y presentación de Coloplast: solo el tamaño de 2024/25 en rangos; 2) resultados de Convatec 2025: sin tamaños de mercado; 3) Smith+Nephew da solo 2024-2025 y solo heridas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Coloplast publica crecimientos previstos, no históricos; 2) Convatec y Smith+Nephew sin serie; 3) sin informe de mercado gratuito leído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Coloplast da solo su cuota y el número de rivales; 2) Convatec no publica cuota; 3) Hollister privada sin cifras (en ostomía, Coloplast 35-40 % + Convatec ≈ 17,5 % ya superan el 50 %)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Hollister: ingresos y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cuentas o comunicados de Hollister Incorporated; 2) perfiles de empresa (cifras sin fuente ni fecha); 3) presentaciones de Coloplast y Convatec: no las citan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Europa (Alemania, Reino Unido Part IX) y compras centralizadas en China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2024/25: solo riesgo genérico de reformas y licitaciones; 2) informe 9M 2025/26: China por canal y competencia local, sin compras centralizadas; 3) no se gastaron búsquedas web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 comportamiento en 2008-09, 2020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2024/25 (cinco años: margen EBIT 33-28 %); 2) presentación FY2024/25; 3) sin serie histórica larga leída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 voto_remuneracion_contra_pct / 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 de la junta del 4-dic-2025: aprobado sin recuento, por renuncia unánime al detalle de votos (art. 101.5 de la ley danesa de sociedades); 2) comunicados de decisiones de las juntas de 2023, 2024 y 2025: solo «approved»; el informe de remuneración 2024/25 dice que el de 2023/24 se aprobó «sin comentarios»; 3) cálculo sobre el capital libre: imposible sin votos en contra; se estima solo el voto libre presente (~20 puntos de los 33 libres)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Gavin Wood y del resto del ELT no registrado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2024/25 (solo CEO y CFO registrados; Wood llegó después); 2) comunicados de operaciones de directivos oct-2025 a oct-2026: ninguno de Wood ni del resto del ELT; 3) informe 9M 2025/26: sin tabla de participaciones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 de nombramiento del CFO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2024/25 (solo «en Coloplast desde 2006»); 2) informe de remuneración 2024/25; 3) sin búsqueda web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FY2021-FY2022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Feed de comunicados de MFN (solo llega a finales de 2022); 2) informe anual 2024/25 (sin guías antiguas); 3) informe de remuneración 2024/25 (solo resultados reales: orgánico del 7 % y 6 %, margen del 33 % y 31 %)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 Gavin Wood (fijo, prima de fichaje)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nombramiento (sin cifras); 2) informe 9M 2025/26; 3) el informe de remuneración 2025/26 se publica el 3-nov-2026, después del corte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per_ntm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da estimaciones vigentes; 2) Stock Analysis sin histórico NTM gratuito; 3) no derivable sin consensos históricos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consensus: solo gráfico sin cifras; 2) Stock Analysis: estimaciones 2027-2028 de pago; 3) sin otra fuente gratuita consultada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publica ROIC; 2) Stock Analysis no consultado por presupuesto;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dcf.wacc</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paridad central MTC II (fuente)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política cambiaria de Nationalbanken: 404; 2) página MTC II del BCE: 404; 3) página de referencia DKK del BCE: sin la paridad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cita como dato del encargo)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dcf.wacc</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sectorial europea de Damodaran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betaEurope.xls descargado; 2) formato .xls binario sin lector en el repo ni Python; 3) se usa la tabla de EE. UU. (HTML)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(Euroinvestor debatforum)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WebFetch de euroinvestor.dk/markeder/aktier/coloplast-b/1159/debat: bloqueado; 2) curl: la página llega pero el debate se carga por JavaScript y no está en __NEXT_DATA__; 3) búsqueda de la API del foro en los chunks JS y búsqueda web limitada al dominio: sin resultado (dominio bloqueado para el buscador)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Stocktwits, texto de Seeking Alpha, comentarios de Børsen y Finans)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JSON y old.reddit: 403/bloqueado; el RSS de r/dkfinance solo da un hilo de cartera del 7-sep sin debate sobre Coloplast; 2) Stocktwits web y API: 403 con comprobación antibot; los artículos de Seeking Alpha: 403 con captcha; 3) páginas de etiqueta de borsen.dk (404) y finans.dk (sin titulares legibles); Google News RSS redirige a la pantalla de consentimiento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2024/25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https://filings.xbrl.org/529900NN7SOJ5QG82X67/2025-09-30/ESEF/DK/0/Coloplast-2025-09-30-en/reports/Coloplast-2025-09-30-en.xhtml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2023/24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https://filings.xbrl.org/529900NN7SOJ5QG82X67/2024-09-30/ESEF/DK/0/Coloplast-2024-09-30-en/reports/Coloplast-2024-09-30-en.xhtml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2022/23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https://filings.xbrl.org/529900NN7SOJ5QG82X67/2023-09-30/ESEF/DK/0/Coloplast-2023-09-30-en/reports/Coloplast-2023-09-30-en.xhtml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2021/22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https://filings.xbrl.org/529900NN7SOJ5QG82X67/2022-09-30/ESEF/DK/0/Coloplast-2022-09-30-en/reports/Coloplast-2022-09-30-en.xhtml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Årsrapport 2020/21 (ESEF, danés), con las cifras clave de cinco años 2016/17-2020/21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https://filings.xbrl.org/529900NN7SOJ5QG82X67/2021-09-30/ESEF/DK/0/Coloplast-2021-09-30-da/reports/Coloplast-2021-09-30-da.xhtml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9M 2025/26 (anuncio 07/2026)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https://attachment.news.eu.nasdaq.com/a858b3149f44c76b93efd56c2376145b9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H1 2025/26 (anuncio 05/2026,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https://filings.xbrl.org/529900NN7SOJ5QG82X67/2026-03-31/ESEF/DK/1/Coloplast-2026-03-31-1-en/reports/Coloplast-2026-03-31-1-en.xhtml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Q1 2025/26 (anuncio 1/2026,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https://filings.xbrl.org/529900NN7SOJ5QG82X67/2025-12-31/ESEF/DK/0/Coloplast-2025-12-31-1-en/reports/Coloplast-2025-12-31-1-en.xhtml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Q1 2024/25 (anuncio 01/2025,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https://filings.xbrl.org/529900NN7SOJ5QG82X67/2024-12-31/ESEF/DK/0/Coloplast-2024-12-31-0-en/reports/Coloplast-2024-12-31-0-en.xhtml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H1 2024/25 (anuncio 04/2025,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https://filings.xbrl.org/529900NN7SOJ5QG82X67/2025-03-31/ESEF/DK/0/Coloplast-2025-03-31-0-en/reports/Coloplast-2025-03-31-0-en.xhtml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9M 2024/25 (anuncio 06/2025,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https://filings.xbrl.org/529900NN7SOJ5QG82X67/2025-06-30/ESEF/DK/0/Coloplast-2025-06-30-0-en/reports/Coloplast-2025-06-30-0-en.xhtml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 Annual Report 2024/25 &amp; Remuneration Report 2024/25 (comunicado de resultados anuales, reproducido)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(vía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https://www.inderes.dk/en/releases/coloplast-as-annual-report-202425-and-remuneration-report-202425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2024/25 Roadshow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https://www.coloplast.com/siteassets/investors/investor-relations/fy_2024-25_roadshow_presentation.pdf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Convatec FY25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Convatec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https://www.investegate.co.uk/announcement/rns/convatec-group--ctec/convatec-fy25-results/9443351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Smith &amp; Nephew plc,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Smith &amp; Nephew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https://www.sec.gov/Archives/edgar/data/845982/000110465926028258/snn-20251231x20f.htm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Mölnlycke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Mölnlycke Health Care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https://www.molnlycke.com/globalassets/global/annual-reports/molnlycke_annual_report_2025-digital.pdf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Essity, Report for the fourth quarter and full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Essity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https://mb.cision.com/Main/15798/4295972/3890807.pdf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(USD, DKK, SEK), 30-09-2025 y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https://ml-eu.globenewswire.com/Resource/Download/3a5c9d4c-8e0f-4742-a474-1f47b529ec5f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Mentor Corporation, Form 8-K: venta del negocio de urología a Coloplast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Mentor Corp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2006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https://www.sec.gov/Archives/edgar/data/0000064892/000006489206000019/k8may2306pressrelease.htm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FDA's Activities: Urogynecologic Surgical Mesh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https://www.fda.gov/medical-devices/urogynecologic-surgical-mesh-implants/fdas-activities-urogynecologic-surgical-mesh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Becton, Dickinson and Company, XBRL company facts (10-K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https://data.sec.gov/api/xbrl/companyfacts/CIK0000010795.json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MiMedx Group, XBRL company facts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https://data.sec.gov/api/xbrl/companyfacts/CIK0001376339.json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(artículo enciclopédico)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https://en.wikipedia.org/wiki/Coloplast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https://ml-eu.globenewswire.com/Resource/Download/95c65ccb-ede2-4952-ad4e-af2ec9a64b81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of the Annual General Meeting held on 4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https://www.coloplast.com/siteassets/investors/shareholder-information/annual-general-meetings/minutes-agm-2025---coloplast.pdf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CEO Kristian Villumsen steps down as of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https://www.mfn.se/one/a/coloplast/coloplast-a-s-ceo-kristian-villumsen-steps-down-as-of-today-02a2195b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Revised guidance for FY 2024/25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https://www.mfn.se/one/a/coloplast/coloplast-a-s-revised-guidance-for-fy-2024-25-ab19e648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09/2025 - Coloplast interim CEO Lars Rasmussen will step down from the Board at the upcoming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https://www.mfn.se/one/a/coloplast/coloplast-interim-ceo-lars-rasmussen-will-step-down-from-the-board-at-the-upcoming-annual-general-meeting-046d50d6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05/2025 - Coloplast announces changes to Executive Leadership Team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https://www.mfn.se/one/a/coloplast/coloplast-a-s-announcement-no-05-2025-coloplast-announces-changes-to-executive-leadership-team-402bf765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announces changes to Executive Leadership Team (People &amp; Culture e Interventional Urology)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https://www.mfn.se/one/a/coloplast/coloplast-announces-changes-to-executive-leadership-team-b3cc7fbb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3/2026 - Coloplast appoints Gavin Wood as new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https://www.mfn.se/one/a/coloplast/coloplast-appoints-gavin-wood-as-new-ceo-3fa5df1a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04/2026 - Coloplast revises financial guidance for FY 2025/26 to reflect reduced growth outlook for Kerecis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https://www.mfn.se/one/a/coloplast/coloplast-a-s-coloplast-revises-financial-guidance-for-fy-2025-26-to-reflect-reduced-growth-outlook-for-kerecis-2ac3e0a5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6/2026 - Coloplast announces changes to Executive Leadership Team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https://www.mfn.se/one/a/coloplast/coloplast-a-s-announcement-no-6-2026-coloplast-announces-changes-to-executive-leadership-team-49c03ab7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Supporting the continued long-term and stable ownership of Coloplast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https://www.mfn.se/one/a/coloplast/supporting-the-continued-long-term-and-stable-ownership-of-coloplast-bcce0fd1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 announcement (Coloplast Fonden)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https://www.mfn.se/one/a/coloplast/coloplast-a-s-major-shareholder-announcement-c3732240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Coloplast shares by board members, executives or associated persons - NPLH Holding ApS, Coloplast Fonden y CF Holding af 2026 ApS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https://ml-eu.globenewswire.com/Resource/Download/362d0245-a75a-4b6f-b41c-0b4147cab87e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Coloplast shares by board members, executives or associated persons - Carsten Hellmann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https://ml-eu.globenewswire.com/Resource/Download/8a0572cb-5812-49bf-82aa-2ff7c4a67334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Coloplast shares by board members, executives or associated persons - Gerda Louis-Hansen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https://ml-eu.globenewswire.com/Resource/Download/721f0dad-a74e-435c-98f3-06936f375932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Coloplast shares by board members, executives or associated persons - Niels B. Christiansen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https://ml-eu.globenewswire.com/Resource/Download/c2fe86f2-edf7-46ea-a776-6b6a0d9c1cd9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Coloplast shares by board members, executives or associated persons - Jette Nygaard-Andersen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https://ml-eu.globenewswire.com/Resource/Download/4008f905-e474-4502-89de-f9745ceaa356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Coloplast shares by board members, executives or associated persons - Anders Lonning-Skovgaard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https://ml-eu.globenewswire.com/Resource/Download/b221b2d1-f375-43ac-8048-9bce25ee65e4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Decisions at the Annual General Meeting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https://www.mfn.se/one/a/coloplast/coloplast-a-s-decisions-at-the-annual-general-meeting-2025-f9c1e5d7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Decisions at the Annual General Meeting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https://www.mfn.se/one/a/coloplast/coloplast-a-s-decisions-at-the-annual-general-meeting-2024-b432c449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Decisions at the Annual General Meeting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https://www.mfn.se/one/a/coloplast/coloplast-a-s-decisions-at-the-annual-general-meeting-2023-891e8af8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financial results 2023/24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https://www.mfn.se/one/a/coloplast/coloplast-a-s-full-year-financial-results-2023-24-b4c8680e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financial results 2022/23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https://www.mfn.se/one/a/coloplast/coloplast-a-s-full-year-financial-results-2022-23-f13160a3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2023/24 Financial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https://www.mfn.se/one/a/coloplast/coloplast-a-s-fy-2023-24-financial-guidance-a4a0a90c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01/2023 - Interim Financial Report, Q1 2022/23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https://www.mfn.se/one/a/coloplast/coloplast-a-s-announcement-no-01-2023-interim-financial-report-q1-2022-23-9e5dcb5a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launches new 2025 strategy and provides new long-term financial guidance of 7-9% organic revenue growth and an EBIT margin of more than 30% (reproducción del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(vía dkuk.org)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https://dkuk.org/news/coloplast-launches-new-2025-strategy-and-provides-new-long-term-financial-guidance-of-7-9-organic-revenue-growth-and-an-ebit-margin-of-more-than-30/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03/2023 - Coloplast announces agreement to acquire Kerecis and raises long-term growth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https://www.mfn.se/one/a/coloplast/coloplast-a-s-announcement-no-03-2023-coloplast-announces-agreement-to-acquire-kerecis-and-raises-long-term-growth-expectations-b29a7dd5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Offentliggjorte korte nettopositioner ≥ 0,5 % (fichero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 (Danish FSA)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https://www.dfsa.dk/Media/639233216376913427/2026-07-ss-over-05-pct.xlsx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COLO-B.CO, ^OMXC25, ^STOXX y EXV4.DE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https://finance.yahoo.com/quote/COLO-B.CO/history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Finances (estimaciones, valoración,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https://www.marketscreener.com/quote/stock/COLOPLAST-A-S-1412860/finances/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Consensus (recomendación media,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https://www.marketscreener.com/quote/stock/COLOPLAST-A-S-1412860/consensus/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(COLO.B) Stock Forecast &amp; Price Target (datos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https://stockanalysis.com/quote/cph/COLO.B/forecast/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 structure of interest rates on listed Federal securities (Svensson), residual maturity 10 years, daily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12 October 2026 (eurofxref-daily.xml)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statistics for convergence purposes, Denmark and Germany, monthly (IRS.M.DK/DE.L.L40.CI)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https://data-api.ecb.europa.eu/service/data/IRS/M.DK+DE.L.L40.CI.0000.DKK+EUR.N.Z?startPeriod=2026-01&amp;format=csvdata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Convatec Group plc: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https://www.marketscreener.com/quote/stock/CONVATEC-GROUP-PLC-31714623/finances/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Smith &amp; Nephew plc: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https://www.marketscreener.com/quote/stock/SMITH-NEPHEW-PLC-9590181/finances/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Essity AB: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https://www.marketscreener.com/quote/stock/ESSITY-AB-35897701/finances/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https://www.marketscreener.com/quote/stock/DEMANT-A-S-56225597/finances/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Ambu 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https://www.marketscreener.com/quote/stock/AMBU-A-S-39742692/finances/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https://www.marketscreener.com/quote/stock/SONOVA-HOLDING-AG-70127/finances/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https://www.marketscreener.com/quote/stock/COCHLEAR-LIMITED-6491483/finances/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09/2021: Coloplast announces agreement to acquire Atos Medical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https://ml-eu.globenewswire.com/Resource/Download/2ef46e21-83f3-48f2-b3bb-e2f1204f2a53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03/2023: Coloplast announces agreement to acquire Kerecis and raises long-term growth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https://ml-eu.globenewswire.com/Resource/Download/8c412cff-4242-45ac-8420-ca1d6a6890e9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Announces Agreement to Acquire Axonics, Inc.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https://www.sec.gov/Archives/edgar/data/885725/000088572524000003/pressreleasedatedjanuary82.htm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3M to Acquire Acelity Inc.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3M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https://www.sec.gov/Archives/edgar/data/66740/000110465919026418/a19-9264_1ex99d1.htm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(EXR) en las fechas de las operaciones (8-nov-2021, 2-may-2019, 8-ene-2024)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https://data-api.ecb.europa.eu/service/data/EXR/D.USD+DKK.EUR.SP00.A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B (COLO B): foro de la acción en Nordnet Social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https://www.nordnet.dk/aktier/kurser/coloplast-b-colo-b-xcse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Group (hilo del foro, última página)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onvista Börsenforum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https://forum.onvista.de/forum/Coloplast_Group-t468105?page=-1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Feed de Seeking Alpha para CLPBY (titulares de «Coloplast Might Have Found Its Bottom», 5-ago-2026, y «Coloplast: Great Business, Fair Price, Bad Timing», 28-ago-2026)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https://seekingalpha.com/api/sa/combined/CLPBY.xml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aktier: En defensiv gigant i strategisk omstilling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Aktietip.dk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https://aktietip.dk/coloplast-aktier-kan-det-blive-en-vinder/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anuncio 07/2026, resultados 9M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(Nasdaq Copenhague)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https://view.news.eu.nasdaq.com/view?id=1458785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de Coloplast en Inderes (nota de análisis del 18-ago-2026 y comunicados recientes)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https://www.inderes.dk/companies/Coloplast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 Updated Financial Calendar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https://www.globenewswire.com/news-release/2026/02/11/3236403/0/en/Coloplast-A-S-Updated-Financial-Calendar-2025-26.html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90,6 %</w:t>
      </w:r>
      <w:r>
        <w:t xml:space="preserve"> · Secciones con menos del 60 % de campos cubiertos: </w:t>
      </w:r>
      <w:r>
        <w:rPr>
          <w:b/>
          <w:bCs/>
        </w:rPr>
        <w:t xml:space="preserve">ninguna</w:t>
      </w:r>
      <w:r>
        <w:t xml:space="preserve"> · Generado el 14 oct 2026.</w:t>
      </w:r>
    </w:p>
    <w:p>
      <w:pPr>
        <w:pStyle w:val="Nota"/>
        <w:spacing w:after="100"/>
      </w:pPr>
      <w:r>
        <w:t xml:space="preserve">Línea cotizada: acción B de Coloplast A/S en Nasdaq Copenhague (COLO B). Las acciones A (18 M, diez votos cada una) no cotizan y tienen los mismos derechos económicos: se cuentan a precio de la B para la capitalización (225,3 M de acciones diluidas sin autocartera). Cuentas en DKK con NIIF-UE; ejercicio a 30 de septiembre, nombrado por el año en que termina (FY2025 = 2024/25; FY2026 = 2025/26, cerrado el 30-sep-2026 pero sin publicar hasta el 3-nov-2026). Por eso el último ejercicio real es FY2025 y el LTM llega a junio de 2026 (9M 2025/26). FY2017-FY2019 vienen de la tabla de cinco años del informe 2020/21, antes de NIIF 16 y sin desglose de costes. Las partidas especiales (special items) van dentro del EBIT publicado y se devuelven al EBITDA y al EBIT como no recurrentes, aunque se repiten casi todos los años (~1 % de las ventas): el texto lo dice. Los competidores y comparables se convierten a DKK con los tipos del BCE del cierre de su ejercicio o del 12-oct-2026. El flotante (55,8 %) es una estimación propia: capital fuera del grupo familiar (43 %) y de la autocartera (1,2 %). La corona danesa está anclada al euro (MTC II): la tasa libre es el Bund.</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Coloplast A/S (COLO 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446,30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(369,70 – 631,40)</c:v>
                </c:pt>
                <c:pt idx="1">
                  <c:v>Precio objetivo de los analistas (377,00 – 600,00)</c:v>
                </c:pt>
                <c:pt idx="2">
                  <c:v>Comparables: EV/EBITDA NTM (263,70 – 482,16)</c:v>
                </c:pt>
                <c:pt idx="3">
                  <c:v>Comparables: PER NTM (426,92 – 631,27)</c:v>
                </c:pt>
                <c:pt idx="4">
                  <c:v>DCF (WACC y g ± 0,5) (473,13 – 738,49)</c:v>
                </c:pt>
                <c:pt idx="5">
                  <c:v>Escenarios (bajista – alcista) (358,27 – 688,94)</c:v>
                </c:pt>
                <c:pt idx="6">
                  <c:v>DCF con la prima implícita del mercado (4,2 %)</c:v>
                </c:pt>
                <c:pt idx="7">
                  <c:v>Precio actual (446,30)</c:v>
                </c:pt>
              </c:strCache>
            </c:strRef>
          </c:cat>
          <c:val>
            <c:numRef>
              <c:f>Hoja1!$B$2:$B$9</c:f>
              <c:numCache>
                <c:formatCode>#,##0</c:formatCode>
                <c:ptCount val="8"/>
                <c:pt idx="0">
                  <c:v>369.7</c:v>
                </c:pt>
                <c:pt idx="1">
                  <c:v>377</c:v>
                </c:pt>
                <c:pt idx="2">
                  <c:v>263.7</c:v>
                </c:pt>
                <c:pt idx="3">
                  <c:v>426.92</c:v>
                </c:pt>
                <c:pt idx="4">
                  <c:v>473.13</c:v>
                </c:pt>
                <c:pt idx="5">
                  <c:v>358.27</c:v>
                </c:pt>
                <c:pt idx="6">
                  <c:v>642.09</c:v>
                </c:pt>
                <c:pt idx="7">
                  <c:v>444.07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(369,70 – 631,40)</c:v>
                </c:pt>
                <c:pt idx="1">
                  <c:v>Precio objetivo de los analistas (377,00 – 600,00)</c:v>
                </c:pt>
                <c:pt idx="2">
                  <c:v>Comparables: EV/EBITDA NTM (263,70 – 482,16)</c:v>
                </c:pt>
                <c:pt idx="3">
                  <c:v>Comparables: PER NTM (426,92 – 631,27)</c:v>
                </c:pt>
                <c:pt idx="4">
                  <c:v>DCF (WACC y g ± 0,5) (473,13 – 738,49)</c:v>
                </c:pt>
                <c:pt idx="5">
                  <c:v>Escenarios (bajista – alcista) (358,27 – 688,94)</c:v>
                </c:pt>
                <c:pt idx="6">
                  <c:v>DCF con la prima implícita del mercado (4,2 %)</c:v>
                </c:pt>
                <c:pt idx="7">
                  <c:v>Precio actual (446,30)</c:v>
                </c:pt>
              </c:strCache>
            </c:strRef>
          </c:cat>
          <c:val>
            <c:numRef>
              <c:f>Hoja1!$C$2:$C$9</c:f>
              <c:numCache>
                <c:formatCode>#,##0</c:formatCode>
                <c:ptCount val="8"/>
                <c:pt idx="0">
                  <c:v>261.7</c:v>
                </c:pt>
                <c:pt idx="1">
                  <c:v>223</c:v>
                </c:pt>
                <c:pt idx="2">
                  <c:v>218.46000000000004</c:v>
                </c:pt>
                <c:pt idx="3">
                  <c:v>204.34999999999997</c:v>
                </c:pt>
                <c:pt idx="4">
                  <c:v>265.36</c:v>
                </c:pt>
                <c:pt idx="5">
                  <c:v>330.6700000000001</c:v>
                </c:pt>
                <c:pt idx="6">
                  <c:v>230.75</c:v>
                </c:pt>
                <c:pt idx="7">
                  <c:v>4.4599999999999795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(DKK, millones)</a:t>
            </a:r>
          </a:p>
        </c:rich>
      </c:tx>
      <c:overlay val="0"/>
    </c:title>
    <c:autoTitleDeleted val="0"/>
    <c:plotArea>
      <c:layout/>
      <c:barChart>
        <c:barDir val="col"/>
        <c:grouping val="stacked"/>
        <c:varyColors val="0"/>
        <c:ser>
          <c:idx val="0"/>
          <c:order val="0"/>
          <c:tx>
            <c:strRef>
              <c:f>Hoja1!$B$1</c:f>
              <c:strCache>
                <c:ptCount val="1"/>
                <c:pt idx="0">
                  <c:v>Ostomy Care</c:v>
                </c:pt>
              </c:strCache>
            </c:strRef>
          </c:tx>
          <c:spPr>
            <a:solidFill>
              <a:srgbClr val="2A78D6"/>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7538</c:v>
                </c:pt>
                <c:pt idx="1">
                  <c:v>7841</c:v>
                </c:pt>
                <c:pt idx="2">
                  <c:v>8620</c:v>
                </c:pt>
                <c:pt idx="3">
                  <c:v>9024</c:v>
                </c:pt>
                <c:pt idx="4">
                  <c:v>9545</c:v>
                </c:pt>
                <c:pt idx="5">
                  <c:v>9897</c:v>
                </c:pt>
              </c:numCache>
            </c:numRef>
          </c:val>
        </c:ser>
        <c:ser>
          <c:idx val="1"/>
          <c:order val="1"/>
          <c:tx>
            <c:strRef>
              <c:f>Hoja1!$C$1</c:f>
              <c:strCache>
                <c:ptCount val="1"/>
                <c:pt idx="0">
                  <c:v>Continence Care</c:v>
                </c:pt>
              </c:strCache>
            </c:strRef>
          </c:tx>
          <c:spPr>
            <a:solidFill>
              <a:srgbClr val="EB683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6819</c:v>
                </c:pt>
                <c:pt idx="1">
                  <c:v>7003</c:v>
                </c:pt>
                <c:pt idx="2">
                  <c:v>7643</c:v>
                </c:pt>
                <c:pt idx="3">
                  <c:v>7958</c:v>
                </c:pt>
                <c:pt idx="4">
                  <c:v>8540</c:v>
                </c:pt>
                <c:pt idx="5">
                  <c:v>8984</c:v>
                </c:pt>
              </c:numCache>
            </c:numRef>
          </c:val>
        </c:ser>
        <c:ser>
          <c:idx val="2"/>
          <c:order val="2"/>
          <c:tx>
            <c:strRef>
              <c:f>Hoja1!$D$1</c:f>
              <c:strCache>
                <c:ptCount val="1"/>
                <c:pt idx="0">
                  <c:v>Voice &amp; Respiratory Care</c:v>
                </c:pt>
              </c:strCache>
            </c:strRef>
          </c:tx>
          <c:spPr>
            <a:solidFill>
              <a:srgbClr val="1BAF7A"/>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0</c:v>
                </c:pt>
                <c:pt idx="1">
                  <c:v>0</c:v>
                </c:pt>
                <c:pt idx="2">
                  <c:v>1203</c:v>
                </c:pt>
                <c:pt idx="3">
                  <c:v>1939</c:v>
                </c:pt>
                <c:pt idx="4">
                  <c:v>2110</c:v>
                </c:pt>
                <c:pt idx="5">
                  <c:v>2280</c:v>
                </c:pt>
              </c:numCache>
            </c:numRef>
          </c:val>
        </c:ser>
        <c:ser>
          <c:idx val="3"/>
          <c:order val="3"/>
          <c:tx>
            <c:strRef>
              <c:f>Hoja1!$E$1</c:f>
              <c:strCache>
                <c:ptCount val="1"/>
                <c:pt idx="0">
                  <c:v>Interventional Urology</c:v>
                </c:pt>
              </c:strCache>
            </c:strRef>
          </c:tx>
          <c:spPr>
            <a:solidFill>
              <a:srgbClr val="EDA1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Hoja1!$E$2:$E$7</c:f>
              <c:numCache>
                <c:formatCode>#,##0</c:formatCode>
                <c:ptCount val="6"/>
                <c:pt idx="0">
                  <c:v>1835</c:v>
                </c:pt>
                <c:pt idx="1">
                  <c:v>2097</c:v>
                </c:pt>
                <c:pt idx="2">
                  <c:v>2424</c:v>
                </c:pt>
                <c:pt idx="3">
                  <c:v>2674</c:v>
                </c:pt>
                <c:pt idx="4">
                  <c:v>2775</c:v>
                </c:pt>
                <c:pt idx="5">
                  <c:v>2784</c:v>
                </c:pt>
              </c:numCache>
            </c:numRef>
          </c:val>
        </c:ser>
        <c:ser>
          <c:idx val="4"/>
          <c:order val="4"/>
          <c:tx>
            <c:strRef>
              <c:f>Hoja1!$F$1</c:f>
              <c:strCache>
                <c:ptCount val="1"/>
                <c:pt idx="0">
                  <c:v>Wound &amp; Tissue Repair</c:v>
                </c:pt>
              </c:strCache>
            </c:strRef>
          </c:tx>
          <c:spPr>
            <a:solidFill>
              <a:srgbClr val="E87BA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Hoja1!$F$2:$F$7</c:f>
              <c:numCache>
                <c:formatCode>#,##0</c:formatCode>
                <c:ptCount val="6"/>
                <c:pt idx="0">
                  <c:v>2352</c:v>
                </c:pt>
                <c:pt idx="1">
                  <c:v>2485</c:v>
                </c:pt>
                <c:pt idx="2">
                  <c:v>2689</c:v>
                </c:pt>
                <c:pt idx="3">
                  <c:v>2905</c:v>
                </c:pt>
                <c:pt idx="4">
                  <c:v>4060</c:v>
                </c:pt>
                <c:pt idx="5">
                  <c:v>3929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Ostomy Care</c:v>
                </c:pt>
                <c:pt idx="1">
                  <c:v>Continence Care</c:v>
                </c:pt>
                <c:pt idx="2">
                  <c:v>Voice &amp; Respiratory Care</c:v>
                </c:pt>
                <c:pt idx="3">
                  <c:v>Interventional Urology</c:v>
                </c:pt>
                <c:pt idx="4">
                  <c:v>Wound &amp; Tissue Repair</c:v>
                </c:pt>
              </c:strCache>
            </c:strRef>
          </c:cat>
          <c:val>
            <c:numRef>
              <c:f>Hoja1!$B$2:$B$6</c:f>
              <c:numCache>
                <c:formatCode>General</c:formatCode>
                <c:ptCount val="5"/>
                <c:pt idx="0">
                  <c:v>35.5</c:v>
                </c:pt>
                <c:pt idx="1">
                  <c:v>32.2</c:v>
                </c:pt>
                <c:pt idx="2">
                  <c:v>8.2</c:v>
                </c:pt>
                <c:pt idx="3">
                  <c:v>10</c:v>
                </c:pt>
                <c:pt idx="4">
                  <c:v>14.1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EE. UU.</c:v>
                </c:pt>
                <c:pt idx="1">
                  <c:v>Reino Unido</c:v>
                </c:pt>
                <c:pt idx="2">
                  <c:v>Francia</c:v>
                </c:pt>
                <c:pt idx="3">
                  <c:v>Alemania</c:v>
                </c:pt>
                <c:pt idx="4">
                  <c:v>Dinamarca</c:v>
                </c:pt>
                <c:pt idx="5">
                  <c:v>Otros</c:v>
                </c:pt>
              </c:strCache>
            </c:strRef>
          </c:cat>
          <c:val>
            <c:numRef>
              <c:f>Hoja1!$B$2:$B$7</c:f>
              <c:numCache>
                <c:formatCode>0"%"</c:formatCode>
                <c:ptCount val="6"/>
                <c:pt idx="0">
                  <c:v>23.5</c:v>
                </c:pt>
                <c:pt idx="1">
                  <c:v>14</c:v>
                </c:pt>
                <c:pt idx="2">
                  <c:v>10.1</c:v>
                </c:pt>
                <c:pt idx="3">
                  <c:v>9.7</c:v>
                </c:pt>
                <c:pt idx="4">
                  <c:v>1.5</c:v>
                </c:pt>
                <c:pt idx="5">
                  <c:v>41.2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4</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Coloplast</c:v>
                </c:pt>
                <c:pt idx="1">
                  <c:v>Convatec</c:v>
                </c:pt>
                <c:pt idx="2">
                  <c:v>Hollister</c:v>
                </c:pt>
                <c:pt idx="3">
                  <c:v>Smith+Nephew (Advanced Wound Management)</c:v>
                </c:pt>
                <c:pt idx="4">
                  <c:v>Mölnlycke (Investor AB)</c:v>
                </c:pt>
                <c:pt idx="5">
                  <c:v>Essity (Health &amp; Medical: TENA, Leukoplast, Cutimed, JOBST)</c:v>
                </c:pt>
                <c:pt idx="6">
                  <c:v>Becton Dickinson (BD: Bard, urología y cuidados críticos)</c:v>
                </c:pt>
                <c:pt idx="7">
                  <c:v>MiMedx</c:v>
                </c:pt>
              </c:strCache>
            </c:strRef>
          </c:cat>
          <c:val>
            <c:numRef>
              <c:f>Hoja1!$B$2:$B$9</c:f>
              <c:numCache>
                <c:formatCode>0.0"%"</c:formatCode>
                <c:ptCount val="8"/>
                <c:pt idx="0">
                  <c:v>27.5</c:v>
                </c:pt>
                <c:pt idx="1">
                  <c:v>22.3</c:v>
                </c:pt>
                <c:pt idx="3">
                  <c:v>24.9</c:v>
                </c:pt>
                <c:pt idx="4">
                  <c:v>23.9</c:v>
                </c:pt>
                <c:pt idx="5">
                  <c:v>18</c:v>
                </c:pt>
                <c:pt idx="6">
                  <c:v>11.8</c:v>
                </c:pt>
                <c:pt idx="7">
                  <c:v>15.3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(DKK,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Hoja1!$B$2:$B$20</c:f>
              <c:numCache>
                <c:formatCode>#,##0</c:formatCode>
                <c:ptCount val="19"/>
                <c:pt idx="0">
                  <c:v>15528</c:v>
                </c:pt>
                <c:pt idx="1">
                  <c:v>16449</c:v>
                </c:pt>
                <c:pt idx="2">
                  <c:v>17939</c:v>
                </c:pt>
                <c:pt idx="3">
                  <c:v>18544</c:v>
                </c:pt>
                <c:pt idx="4">
                  <c:v>19426</c:v>
                </c:pt>
                <c:pt idx="5">
                  <c:v>22579</c:v>
                </c:pt>
                <c:pt idx="6">
                  <c:v>24500</c:v>
                </c:pt>
                <c:pt idx="7">
                  <c:v>27030</c:v>
                </c:pt>
                <c:pt idx="8">
                  <c:v>27874</c:v>
                </c:pt>
                <c:pt idx="9">
                  <c:v>28710</c:v>
                </c:pt>
                <c:pt idx="10">
                  <c:v>30433</c:v>
                </c:pt>
                <c:pt idx="11">
                  <c:v>32259</c:v>
                </c:pt>
                <c:pt idx="12">
                  <c:v>34194</c:v>
                </c:pt>
                <c:pt idx="13">
                  <c:v>36075</c:v>
                </c:pt>
                <c:pt idx="14">
                  <c:v>37879</c:v>
                </c:pt>
                <c:pt idx="15">
                  <c:v>39583</c:v>
                </c:pt>
                <c:pt idx="16">
                  <c:v>41167</c:v>
                </c:pt>
                <c:pt idx="17">
                  <c:v>42607</c:v>
                </c:pt>
                <c:pt idx="18">
                  <c:v>43886</c:v>
                </c:pt>
              </c:numCache>
            </c:numRef>
          </c:val>
        </c:ser>
        <c:ser>
          <c:idx val="1"/>
          <c:order val="1"/>
          <c:tx>
            <c:strRef>
              <c:f>Hoja1!$C$1</c:f>
              <c:strCache>
                <c:ptCount val="1"/>
                <c:pt idx="0">
                  <c:v>EBITDA</c:v>
                </c:pt>
              </c:strCache>
            </c:strRef>
          </c:tx>
          <c:spPr>
            <a:solidFill>
              <a:srgbClr val="EB6834"/>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Hoja1!$C$2:$C$20</c:f>
              <c:numCache>
                <c:formatCode>#,##0</c:formatCode>
                <c:ptCount val="19"/>
                <c:pt idx="0">
                  <c:v>5635</c:v>
                </c:pt>
                <c:pt idx="1">
                  <c:v>5716</c:v>
                </c:pt>
                <c:pt idx="2">
                  <c:v>6207</c:v>
                </c:pt>
                <c:pt idx="3">
                  <c:v>6705</c:v>
                </c:pt>
                <c:pt idx="4">
                  <c:v>7147</c:v>
                </c:pt>
                <c:pt idx="5">
                  <c:v>7840</c:v>
                </c:pt>
                <c:pt idx="6">
                  <c:v>7914</c:v>
                </c:pt>
                <c:pt idx="7">
                  <c:v>8576</c:v>
                </c:pt>
                <c:pt idx="8">
                  <c:v>9123</c:v>
                </c:pt>
                <c:pt idx="9">
                  <c:v>9130</c:v>
                </c:pt>
                <c:pt idx="10">
                  <c:v>9617</c:v>
                </c:pt>
                <c:pt idx="11">
                  <c:v>10323</c:v>
                </c:pt>
                <c:pt idx="12">
                  <c:v>11079</c:v>
                </c:pt>
                <c:pt idx="13">
                  <c:v>11833</c:v>
                </c:pt>
                <c:pt idx="14">
                  <c:v>12500</c:v>
                </c:pt>
                <c:pt idx="15">
                  <c:v>13062</c:v>
                </c:pt>
                <c:pt idx="16">
                  <c:v>13585</c:v>
                </c:pt>
                <c:pt idx="17">
                  <c:v>14060</c:v>
                </c:pt>
                <c:pt idx="18">
                  <c:v>14482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3">
                  <c:v>68</c:v>
                </c:pt>
                <c:pt idx="4">
                  <c:v>68.5</c:v>
                </c:pt>
                <c:pt idx="5">
                  <c:v>68.8</c:v>
                </c:pt>
                <c:pt idx="6">
                  <c:v>66.6</c:v>
                </c:pt>
                <c:pt idx="7">
                  <c:v>67.6</c:v>
                </c:pt>
                <c:pt idx="8">
                  <c:v>68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36.3</c:v>
                </c:pt>
                <c:pt idx="1">
                  <c:v>34.7</c:v>
                </c:pt>
                <c:pt idx="2">
                  <c:v>34.6</c:v>
                </c:pt>
                <c:pt idx="3">
                  <c:v>36.2</c:v>
                </c:pt>
                <c:pt idx="4">
                  <c:v>36.8</c:v>
                </c:pt>
                <c:pt idx="5">
                  <c:v>34.7</c:v>
                </c:pt>
                <c:pt idx="6">
                  <c:v>32.3</c:v>
                </c:pt>
                <c:pt idx="7">
                  <c:v>31.7</c:v>
                </c:pt>
                <c:pt idx="8">
                  <c:v>32.7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32.4</c:v>
                </c:pt>
                <c:pt idx="1">
                  <c:v>31</c:v>
                </c:pt>
                <c:pt idx="2">
                  <c:v>31</c:v>
                </c:pt>
                <c:pt idx="3">
                  <c:v>31.6</c:v>
                </c:pt>
                <c:pt idx="4">
                  <c:v>32.7</c:v>
                </c:pt>
                <c:pt idx="5">
                  <c:v>30.6</c:v>
                </c:pt>
                <c:pt idx="6">
                  <c:v>27.9</c:v>
                </c:pt>
                <c:pt idx="7">
                  <c:v>27</c:v>
                </c:pt>
                <c:pt idx="8">
                  <c:v>27.5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Hoja1!$E$2:$E$10</c:f>
              <c:numCache>
                <c:formatCode>0"%"</c:formatCode>
                <c:ptCount val="9"/>
                <c:pt idx="0">
                  <c:v>24.5</c:v>
                </c:pt>
                <c:pt idx="1">
                  <c:v>23.4</c:v>
                </c:pt>
                <c:pt idx="2">
                  <c:v>21.6</c:v>
                </c:pt>
                <c:pt idx="3">
                  <c:v>22.6</c:v>
                </c:pt>
                <c:pt idx="4">
                  <c:v>24.8</c:v>
                </c:pt>
                <c:pt idx="5">
                  <c:v>20.8</c:v>
                </c:pt>
                <c:pt idx="6">
                  <c:v>19.5</c:v>
                </c:pt>
                <c:pt idx="7">
                  <c:v>18.7</c:v>
                </c:pt>
                <c:pt idx="8">
                  <c:v>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Hoja1!$B$2:$B$8</c:f>
              <c:numCache>
                <c:formatCode>0.0"%"</c:formatCode>
                <c:ptCount val="7"/>
                <c:pt idx="0">
                  <c:v>6</c:v>
                </c:pt>
                <c:pt idx="1">
                  <c:v>5</c:v>
                </c:pt>
                <c:pt idx="2">
                  <c:v>1.1</c:v>
                </c:pt>
                <c:pt idx="3">
                  <c:v>0.1</c:v>
                </c:pt>
                <c:pt idx="4">
                  <c:v>0.2</c:v>
                </c:pt>
                <c:pt idx="5">
                  <c:v>2.2</c:v>
                </c:pt>
                <c:pt idx="6">
                  <c:v>5.7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Hoja1!$C$2:$C$8</c:f>
              <c:numCache>
                <c:formatCode>0.0"%"</c:formatCode>
                <c:ptCount val="7"/>
                <c:pt idx="0">
                  <c:v>8</c:v>
                </c:pt>
                <c:pt idx="1">
                  <c:v>6</c:v>
                </c:pt>
                <c:pt idx="2">
                  <c:v>7</c:v>
                </c:pt>
                <c:pt idx="4">
                  <c:v>6</c:v>
                </c:pt>
                <c:pt idx="5">
                  <c:v>6</c:v>
                </c:pt>
                <c:pt idx="6">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3">
                  <c:v>58</c:v>
                </c:pt>
                <c:pt idx="4">
                  <c:v>60</c:v>
                </c:pt>
                <c:pt idx="5">
                  <c:v>64</c:v>
                </c:pt>
                <c:pt idx="6">
                  <c:v>64</c:v>
                </c:pt>
                <c:pt idx="7">
                  <c:v>63</c:v>
                </c:pt>
                <c:pt idx="8">
                  <c:v>61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3">
                  <c:v>137</c:v>
                </c:pt>
                <c:pt idx="4">
                  <c:v>145</c:v>
                </c:pt>
                <c:pt idx="5">
                  <c:v>165</c:v>
                </c:pt>
                <c:pt idx="6">
                  <c:v>157</c:v>
                </c:pt>
                <c:pt idx="7">
                  <c:v>153</c:v>
                </c:pt>
                <c:pt idx="8">
                  <c:v>160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3">
                  <c:v>50</c:v>
                </c:pt>
                <c:pt idx="4">
                  <c:v>62</c:v>
                </c:pt>
                <c:pt idx="5">
                  <c:v>64</c:v>
                </c:pt>
                <c:pt idx="6">
                  <c:v>58</c:v>
                </c:pt>
                <c:pt idx="7">
                  <c:v>63</c:v>
                </c:pt>
                <c:pt idx="8">
                  <c:v>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(DKK,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2590</c:v>
                </c:pt>
                <c:pt idx="1">
                  <c:v>3745</c:v>
                </c:pt>
                <c:pt idx="2">
                  <c:v>3740</c:v>
                </c:pt>
                <c:pt idx="3">
                  <c:v>3631</c:v>
                </c:pt>
                <c:pt idx="4">
                  <c:v>3122</c:v>
                </c:pt>
                <c:pt idx="5">
                  <c:v>3725</c:v>
                </c:pt>
                <c:pt idx="6">
                  <c:v>2741</c:v>
                </c:pt>
                <c:pt idx="7">
                  <c:v>1152</c:v>
                </c:pt>
                <c:pt idx="8">
                  <c:v>4937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3797</c:v>
                </c:pt>
                <c:pt idx="1">
                  <c:v>3845</c:v>
                </c:pt>
                <c:pt idx="2">
                  <c:v>3873</c:v>
                </c:pt>
                <c:pt idx="3">
                  <c:v>4197</c:v>
                </c:pt>
                <c:pt idx="4">
                  <c:v>4825</c:v>
                </c:pt>
                <c:pt idx="5">
                  <c:v>4706</c:v>
                </c:pt>
                <c:pt idx="6">
                  <c:v>4783</c:v>
                </c:pt>
                <c:pt idx="7">
                  <c:v>5052</c:v>
                </c:pt>
                <c:pt idx="8">
                  <c:v>3636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64.7</c:v>
                </c:pt>
                <c:pt idx="1">
                  <c:v>63.2</c:v>
                </c:pt>
                <c:pt idx="2">
                  <c:v>64.2</c:v>
                </c:pt>
                <c:pt idx="3">
                  <c:v>58.1</c:v>
                </c:pt>
                <c:pt idx="4">
                  <c:v>52.2</c:v>
                </c:pt>
                <c:pt idx="5">
                  <c:v>29</c:v>
                </c:pt>
                <c:pt idx="6">
                  <c:v>17.4</c:v>
                </c:pt>
                <c:pt idx="7">
                  <c:v>15.2</c:v>
                </c:pt>
                <c:pt idx="8">
                  <c:v>11.9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7.2</c:v>
                </c:pt>
                <c:pt idx="1">
                  <c:v>7.2</c:v>
                </c:pt>
                <c:pt idx="2">
                  <c:v>7.2</c:v>
                </c:pt>
                <c:pt idx="3">
                  <c:v>7.2</c:v>
                </c:pt>
                <c:pt idx="4">
                  <c:v>7.2</c:v>
                </c:pt>
                <c:pt idx="5">
                  <c:v>7.2</c:v>
                </c:pt>
                <c:pt idx="6">
                  <c:v>7.2</c:v>
                </c:pt>
                <c:pt idx="7">
                  <c:v>7.2</c:v>
                </c:pt>
                <c:pt idx="8">
                  <c:v>7.2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63.8</c:v>
                </c:pt>
                <c:pt idx="1">
                  <c:v>62.2</c:v>
                </c:pt>
                <c:pt idx="2">
                  <c:v>58.1</c:v>
                </c:pt>
                <c:pt idx="3">
                  <c:v>58.6</c:v>
                </c:pt>
                <c:pt idx="4">
                  <c:v>62</c:v>
                </c:pt>
                <c:pt idx="5">
                  <c:v>57.2</c:v>
                </c:pt>
                <c:pt idx="6">
                  <c:v>37.4</c:v>
                </c:pt>
                <c:pt idx="7">
                  <c:v>28.7</c:v>
                </c:pt>
                <c:pt idx="8">
                  <c:v>21.3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0.0"x"</c:formatCode>
                <c:ptCount val="9"/>
                <c:pt idx="0">
                  <c:v>0</c:v>
                </c:pt>
                <c:pt idx="1">
                  <c:v>0</c:v>
                </c:pt>
                <c:pt idx="2">
                  <c:v>0</c:v>
                </c:pt>
                <c:pt idx="3">
                  <c:v>0.17</c:v>
                </c:pt>
                <c:pt idx="4">
                  <c:v>0.3</c:v>
                </c:pt>
                <c:pt idx="5">
                  <c:v>2.31</c:v>
                </c:pt>
                <c:pt idx="6">
                  <c:v>2.36</c:v>
                </c:pt>
                <c:pt idx="7">
                  <c:v>2.55</c:v>
                </c:pt>
                <c:pt idx="8">
                  <c:v>2.38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(DKK,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c:v>
                </c:pt>
                <c:pt idx="2">
                  <c:v>2030</c:v>
                </c:pt>
              </c:strCache>
            </c:strRef>
          </c:cat>
          <c:val>
            <c:numRef>
              <c:f>Hoja1!$B$2:$B$4</c:f>
              <c:numCache>
                <c:formatCode>#,##0</c:formatCode>
                <c:ptCount val="3"/>
                <c:pt idx="0">
                  <c:v>2328</c:v>
                </c:pt>
                <c:pt idx="1">
                  <c:v>14128</c:v>
                </c:pt>
                <c:pt idx="2">
                  <c:v>5225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(DKK,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3">
                  <c:v>0</c:v>
                </c:pt>
                <c:pt idx="4">
                  <c:v>97</c:v>
                </c:pt>
                <c:pt idx="5">
                  <c:v>10633</c:v>
                </c:pt>
                <c:pt idx="6">
                  <c:v>7923</c:v>
                </c:pt>
                <c:pt idx="7">
                  <c:v>0</c:v>
                </c:pt>
                <c:pt idx="8">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3">
                  <c:v>3612</c:v>
                </c:pt>
                <c:pt idx="4">
                  <c:v>3830</c:v>
                </c:pt>
                <c:pt idx="5">
                  <c:v>4041</c:v>
                </c:pt>
                <c:pt idx="6">
                  <c:v>4247</c:v>
                </c:pt>
                <c:pt idx="7">
                  <c:v>4720</c:v>
                </c:pt>
                <c:pt idx="8">
                  <c:v>4958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3">
                  <c:v>500</c:v>
                </c:pt>
                <c:pt idx="4">
                  <c:v>500</c:v>
                </c:pt>
                <c:pt idx="5">
                  <c:v>500</c:v>
                </c:pt>
                <c:pt idx="6">
                  <c:v>0</c:v>
                </c:pt>
                <c:pt idx="7">
                  <c:v>0</c:v>
                </c:pt>
                <c:pt idx="8">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Dominical</c:v>
                </c:pt>
                <c:pt idx="2">
                  <c:v>Otro externo</c:v>
                </c:pt>
              </c:strCache>
            </c:strRef>
          </c:cat>
          <c:val>
            <c:numRef>
              <c:f>Hoja1!$B$2:$B$4</c:f>
              <c:numCache>
                <c:formatCode>0</c:formatCode>
                <c:ptCount val="3"/>
                <c:pt idx="0">
                  <c:v>5</c:v>
                </c:pt>
                <c:pt idx="1">
                  <c:v>1</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Coloplast Fonden (vía CF Holding af 2026 ApS y Coloplast Holding ApS)</c:v>
                </c:pt>
                <c:pt idx="1">
                  <c:v>Coloplast Holding ApS (sociedad de cartera de la familia y las fundaciones)</c:v>
                </c:pt>
                <c:pt idx="2">
                  <c:v>Aage og Johanne Louis-Hansens Fond (vía Aage og Johanne Louis-Hansen A/S)</c:v>
                </c:pt>
                <c:pt idx="3">
                  <c:v>Niels Peter Louis-Hansen (directa y a través de N.P. Louis-Hansen ApS)</c:v>
                </c:pt>
                <c:pt idx="4">
                  <c:v>Benedicte Find</c:v>
                </c:pt>
                <c:pt idx="5">
                  <c:v>Titulares de acciones A y sus familias (agregado a 30-sep-2025)</c:v>
                </c:pt>
                <c:pt idx="6">
                  <c:v>Inversores institucionales extranjeros</c:v>
                </c:pt>
                <c:pt idx="7">
                  <c:v>Inversores institucionales daneses</c:v>
                </c:pt>
                <c:pt idx="8">
                  <c:v>Autocartera (Coloplast A/S)</c:v>
                </c:pt>
              </c:strCache>
            </c:strRef>
          </c:cat>
          <c:val>
            <c:numRef>
              <c:f>Hoja1!$B$2:$B$10</c:f>
              <c:numCache>
                <c:formatCode>0.0"%"</c:formatCode>
                <c:ptCount val="9"/>
                <c:pt idx="0">
                  <c:v>18.46</c:v>
                </c:pt>
                <c:pt idx="1">
                  <c:v>29.49</c:v>
                </c:pt>
                <c:pt idx="2">
                  <c:v>11.03</c:v>
                </c:pt>
                <c:pt idx="3">
                  <c:v>1.92</c:v>
                </c:pt>
                <c:pt idx="4">
                  <c:v>3.6</c:v>
                </c:pt>
                <c:pt idx="5">
                  <c:v>43</c:v>
                </c:pt>
                <c:pt idx="6">
                  <c:v>38</c:v>
                </c:pt>
                <c:pt idx="7">
                  <c:v>9</c:v>
                </c:pt>
                <c:pt idx="8">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-14.5</c:v>
                </c:pt>
                <c:pt idx="1">
                  <c:v>3.6</c:v>
                </c:pt>
                <c:pt idx="2">
                  <c:v>22.6</c:v>
                </c:pt>
                <c:pt idx="3">
                  <c:v>36.6</c:v>
                </c:pt>
                <c:pt idx="4">
                  <c:v>12.5</c:v>
                </c:pt>
                <c:pt idx="5">
                  <c:v>23.8</c:v>
                </c:pt>
                <c:pt idx="6">
                  <c:v>-29.5</c:v>
                </c:pt>
                <c:pt idx="7">
                  <c:v>-4.9</c:v>
                </c:pt>
                <c:pt idx="8">
                  <c:v>1.8</c:v>
                </c:pt>
                <c:pt idx="9">
                  <c:v>-30.5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1">
                  <c:v>12.8</c:v>
                </c:pt>
                <c:pt idx="2">
                  <c:v>-13.2</c:v>
                </c:pt>
                <c:pt idx="3">
                  <c:v>26</c:v>
                </c:pt>
                <c:pt idx="4">
                  <c:v>33.7</c:v>
                </c:pt>
                <c:pt idx="5">
                  <c:v>17.2</c:v>
                </c:pt>
                <c:pt idx="6">
                  <c:v>-13.5</c:v>
                </c:pt>
                <c:pt idx="7">
                  <c:v>7.1</c:v>
                </c:pt>
                <c:pt idx="8">
                  <c:v>-2.4</c:v>
                </c:pt>
                <c:pt idx="9">
                  <c:v>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0.0"x"</c:formatCode>
                <c:ptCount val="9"/>
                <c:pt idx="0">
                  <c:v>19.3</c:v>
                </c:pt>
                <c:pt idx="1">
                  <c:v>24.4</c:v>
                </c:pt>
                <c:pt idx="2">
                  <c:v>28.3</c:v>
                </c:pt>
                <c:pt idx="3">
                  <c:v>32.1</c:v>
                </c:pt>
                <c:pt idx="4">
                  <c:v>30.3</c:v>
                </c:pt>
                <c:pt idx="5">
                  <c:v>23.4</c:v>
                </c:pt>
                <c:pt idx="6">
                  <c:v>22.7</c:v>
                </c:pt>
                <c:pt idx="7">
                  <c:v>25.5</c:v>
                </c:pt>
                <c:pt idx="8">
                  <c:v>15.8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0.0"x"</c:formatCode>
                <c:ptCount val="9"/>
                <c:pt idx="0">
                  <c:v>24.4</c:v>
                </c:pt>
                <c:pt idx="1">
                  <c:v>24.4</c:v>
                </c:pt>
                <c:pt idx="2">
                  <c:v>24.4</c:v>
                </c:pt>
                <c:pt idx="3">
                  <c:v>24.4</c:v>
                </c:pt>
                <c:pt idx="4">
                  <c:v>24.4</c:v>
                </c:pt>
                <c:pt idx="5">
                  <c:v>24.4</c:v>
                </c:pt>
                <c:pt idx="6">
                  <c:v>24.4</c:v>
                </c:pt>
                <c:pt idx="7">
                  <c:v>24.4</c:v>
                </c:pt>
                <c:pt idx="8">
                  <c:v>24.4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Coloplast</c:v>
                </c:pt>
                <c:pt idx="1">
                  <c:v>Convatec</c:v>
                </c:pt>
                <c:pt idx="2">
                  <c:v>Smith &amp; Nephew</c:v>
                </c:pt>
                <c:pt idx="3">
                  <c:v>Essity</c:v>
                </c:pt>
                <c:pt idx="4">
                  <c:v>Demant</c:v>
                </c:pt>
                <c:pt idx="5">
                  <c:v>Ambu</c:v>
                </c:pt>
                <c:pt idx="6">
                  <c:v>Sonova</c:v>
                </c:pt>
                <c:pt idx="7">
                  <c:v>Cochlear</c:v>
                </c:pt>
              </c:strCache>
            </c:strRef>
          </c:cat>
          <c:val>
            <c:numRef>
              <c:f>Hoja1!$B$2:$B$9</c:f>
              <c:numCache>
                <c:formatCode>0.0"x"</c:formatCode>
                <c:ptCount val="8"/>
                <c:pt idx="0">
                  <c:v>13.3</c:v>
                </c:pt>
                <c:pt idx="1">
                  <c:v>9.7</c:v>
                </c:pt>
                <c:pt idx="2">
                  <c:v>8.2</c:v>
                </c:pt>
                <c:pt idx="3">
                  <c:v>7.9</c:v>
                </c:pt>
                <c:pt idx="4">
                  <c:v>13.7</c:v>
                </c:pt>
                <c:pt idx="5">
                  <c:v>13.2</c:v>
                </c:pt>
                <c:pt idx="6">
                  <c:v>15.2</c:v>
                </c:pt>
                <c:pt idx="7">
                  <c:v>14.6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Coloplast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6.7</c:v>
                </c:pt>
              </c:numCache>
            </c:numRef>
          </c:xVal>
          <c:yVal>
            <c:numRef>
              <c:f>Hoja1!$C$2</c:f>
              <c:numCache>
                <c:formatCode>0.0"x"</c:formatCode>
                <c:ptCount val="1"/>
                <c:pt idx="0">
                  <c:v>13.3</c:v>
                </c:pt>
              </c:numCache>
            </c:numRef>
          </c:yVal>
          <c:smooth val="0"/>
        </c:ser>
        <c:ser>
          <c:idx val="1"/>
          <c:order val="1"/>
          <c:tx>
            <c:strRef>
              <c:f>Hoja1!$A$3</c:f>
              <c:strCache>
                <c:ptCount val="1"/>
                <c:pt idx="0">
                  <c:v>Convatec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6.1</c:v>
                </c:pt>
              </c:numCache>
            </c:numRef>
          </c:xVal>
          <c:yVal>
            <c:numRef>
              <c:f>Hoja1!$C$3</c:f>
              <c:numCache>
                <c:formatCode>0.0"x"</c:formatCode>
                <c:ptCount val="1"/>
                <c:pt idx="0">
                  <c:v>9.7</c:v>
                </c:pt>
              </c:numCache>
            </c:numRef>
          </c:yVal>
          <c:smooth val="0"/>
        </c:ser>
        <c:ser>
          <c:idx val="2"/>
          <c:order val="2"/>
          <c:tx>
            <c:strRef>
              <c:f>Hoja1!$A$4</c:f>
              <c:strCache>
                <c:ptCount val="1"/>
                <c:pt idx="0">
                  <c:v>Smith &amp; Nephew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5.1</c:v>
                </c:pt>
              </c:numCache>
            </c:numRef>
          </c:xVal>
          <c:yVal>
            <c:numRef>
              <c:f>Hoja1!$C$4</c:f>
              <c:numCache>
                <c:formatCode>0.0"x"</c:formatCode>
                <c:ptCount val="1"/>
                <c:pt idx="0">
                  <c:v>8.2</c:v>
                </c:pt>
              </c:numCache>
            </c:numRef>
          </c:yVal>
          <c:smooth val="0"/>
        </c:ser>
        <c:ser>
          <c:idx val="3"/>
          <c:order val="3"/>
          <c:tx>
            <c:strRef>
              <c:f>Hoja1!$A$5</c:f>
              <c:strCache>
                <c:ptCount val="1"/>
                <c:pt idx="0">
                  <c:v>Essity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3.8</c:v>
                </c:pt>
              </c:numCache>
            </c:numRef>
          </c:xVal>
          <c:yVal>
            <c:numRef>
              <c:f>Hoja1!$C$5</c:f>
              <c:numCache>
                <c:formatCode>0.0"x"</c:formatCode>
                <c:ptCount val="1"/>
                <c:pt idx="0">
                  <c:v>7.9</c:v>
                </c:pt>
              </c:numCache>
            </c:numRef>
          </c:yVal>
          <c:smooth val="0"/>
        </c:ser>
        <c:ser>
          <c:idx val="4"/>
          <c:order val="4"/>
          <c:tx>
            <c:strRef>
              <c:f>Hoja1!$A$6</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10.2</c:v>
                </c:pt>
              </c:numCache>
            </c:numRef>
          </c:xVal>
          <c:yVal>
            <c:numRef>
              <c:f>Hoja1!$C$6</c:f>
              <c:numCache>
                <c:formatCode>0.0"x"</c:formatCode>
                <c:ptCount val="1"/>
                <c:pt idx="0">
                  <c:v>13.7</c:v>
                </c:pt>
              </c:numCache>
            </c:numRef>
          </c:yVal>
          <c:smooth val="0"/>
        </c:ser>
        <c:ser>
          <c:idx val="5"/>
          <c:order val="5"/>
          <c:tx>
            <c:strRef>
              <c:f>Hoja1!$A$7</c:f>
              <c:strCache>
                <c:ptCount val="1"/>
                <c:pt idx="0">
                  <c:v>Ambu</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10.7</c:v>
                </c:pt>
              </c:numCache>
            </c:numRef>
          </c:xVal>
          <c:yVal>
            <c:numRef>
              <c:f>Hoja1!$C$7</c:f>
              <c:numCache>
                <c:formatCode>0.0"x"</c:formatCode>
                <c:ptCount val="1"/>
                <c:pt idx="0">
                  <c:v>13.2</c:v>
                </c:pt>
              </c:numCache>
            </c:numRef>
          </c:yVal>
          <c:smooth val="0"/>
        </c:ser>
        <c:ser>
          <c:idx val="6"/>
          <c:order val="6"/>
          <c:tx>
            <c:strRef>
              <c:f>Hoja1!$A$8</c:f>
              <c:strCache>
                <c:ptCount val="1"/>
                <c:pt idx="0">
                  <c:v>Sonova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c:v>
                </c:pt>
              </c:numCache>
            </c:numRef>
          </c:xVal>
          <c:yVal>
            <c:numRef>
              <c:f>Hoja1!$C$8</c:f>
              <c:numCache>
                <c:formatCode>0.0"x"</c:formatCode>
                <c:ptCount val="1"/>
                <c:pt idx="0">
                  <c:v>15.2</c:v>
                </c:pt>
              </c:numCache>
            </c:numRef>
          </c:yVal>
          <c:smooth val="0"/>
        </c:ser>
        <c:ser>
          <c:idx val="7"/>
          <c:order val="7"/>
          <c:tx>
            <c:strRef>
              <c:f>Hoja1!$A$9</c:f>
              <c:strCache>
                <c:ptCount val="1"/>
                <c:pt idx="0">
                  <c:v>Cochlear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c:v>
                </c:pt>
              </c:numCache>
            </c:numRef>
          </c:xVal>
          <c:yVal>
            <c:numRef>
              <c:f>Hoja1!$C$9</c:f>
              <c:numCache>
                <c:formatCode>0.0"x"</c:formatCode>
                <c:ptCount val="1"/>
                <c:pt idx="0">
                  <c:v>14.6</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Uromedica (EE. UU., incontinencia urinaria de esfuerzo)</c:v>
                </c:pt>
                <c:pt idx="1">
                  <c:v>Axonics (neuromodulación sacra para vejiga hiperactiva e incontinencia fecal)</c:v>
                </c:pt>
                <c:pt idx="2">
                  <c:v>Kerecis (biológicos para heridas, Islandia/EE. UU.)</c:v>
                </c:pt>
                <c:pt idx="3">
                  <c:v>Atos Medical (laringectomía, traqueostomía; Suecia)</c:v>
                </c:pt>
                <c:pt idx="4">
                  <c:v>Acelity / KCI (curas avanzadas y presión negativa)</c:v>
                </c:pt>
              </c:strCache>
            </c:strRef>
          </c:cat>
          <c:val>
            <c:numRef>
              <c:f>Hoja1!$B$2:$B$6</c:f>
              <c:numCache>
                <c:formatCode>0.0"x"</c:formatCode>
                <c:ptCount val="5"/>
                <c:pt idx="3">
                  <c:v>26.8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(DKK,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5522</c:v>
                </c:pt>
                <c:pt idx="1">
                  <c:v>5569</c:v>
                </c:pt>
                <c:pt idx="2">
                  <c:v>6061</c:v>
                </c:pt>
                <c:pt idx="3">
                  <c:v>6592</c:v>
                </c:pt>
                <c:pt idx="4">
                  <c:v>7137</c:v>
                </c:pt>
                <c:pt idx="5">
                  <c:v>7636</c:v>
                </c:pt>
                <c:pt idx="6">
                  <c:v>8066</c:v>
                </c:pt>
                <c:pt idx="7">
                  <c:v>8479</c:v>
                </c:pt>
                <c:pt idx="8">
                  <c:v>8870</c:v>
                </c:pt>
                <c:pt idx="9">
                  <c:v>9233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(DKK,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48669</c:v>
                </c:pt>
                <c:pt idx="1">
                  <c:v>106879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(DKK) · precio actual 446,30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358.27</c:v>
                </c:pt>
                <c:pt idx="1">
                  <c:v>578.1</c:v>
                </c:pt>
                <c:pt idx="2">
                  <c:v>688.94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446,30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(369,70 – 631,40)</c:v>
                </c:pt>
                <c:pt idx="1">
                  <c:v>Precio objetivo de los analistas (377,00 – 600,00)</c:v>
                </c:pt>
                <c:pt idx="2">
                  <c:v>Comparables: EV/EBITDA NTM (263,70 – 482,16)</c:v>
                </c:pt>
                <c:pt idx="3">
                  <c:v>Comparables: PER NTM (426,92 – 631,27)</c:v>
                </c:pt>
                <c:pt idx="4">
                  <c:v>DCF (WACC y g ± 0,5) (473,13 – 738,49)</c:v>
                </c:pt>
                <c:pt idx="5">
                  <c:v>Escenarios (bajista – alcista) (358,27 – 688,94)</c:v>
                </c:pt>
                <c:pt idx="6">
                  <c:v>DCF con la prima implícita del mercado (4,2 %)</c:v>
                </c:pt>
                <c:pt idx="7">
                  <c:v>Precio actual (446,30)</c:v>
                </c:pt>
              </c:strCache>
            </c:strRef>
          </c:cat>
          <c:val>
            <c:numRef>
              <c:f>Hoja1!$B$2:$B$9</c:f>
              <c:numCache>
                <c:formatCode>#,##0</c:formatCode>
                <c:ptCount val="8"/>
                <c:pt idx="0">
                  <c:v>369.7</c:v>
                </c:pt>
                <c:pt idx="1">
                  <c:v>377</c:v>
                </c:pt>
                <c:pt idx="2">
                  <c:v>263.7</c:v>
                </c:pt>
                <c:pt idx="3">
                  <c:v>426.92</c:v>
                </c:pt>
                <c:pt idx="4">
                  <c:v>473.13</c:v>
                </c:pt>
                <c:pt idx="5">
                  <c:v>358.27</c:v>
                </c:pt>
                <c:pt idx="6">
                  <c:v>642.09</c:v>
                </c:pt>
                <c:pt idx="7">
                  <c:v>444.07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(369,70 – 631,40)</c:v>
                </c:pt>
                <c:pt idx="1">
                  <c:v>Precio objetivo de los analistas (377,00 – 600,00)</c:v>
                </c:pt>
                <c:pt idx="2">
                  <c:v>Comparables: EV/EBITDA NTM (263,70 – 482,16)</c:v>
                </c:pt>
                <c:pt idx="3">
                  <c:v>Comparables: PER NTM (426,92 – 631,27)</c:v>
                </c:pt>
                <c:pt idx="4">
                  <c:v>DCF (WACC y g ± 0,5) (473,13 – 738,49)</c:v>
                </c:pt>
                <c:pt idx="5">
                  <c:v>Escenarios (bajista – alcista) (358,27 – 688,94)</c:v>
                </c:pt>
                <c:pt idx="6">
                  <c:v>DCF con la prima implícita del mercado (4,2 %)</c:v>
                </c:pt>
                <c:pt idx="7">
                  <c:v>Precio actual (446,30)</c:v>
                </c:pt>
              </c:strCache>
            </c:strRef>
          </c:cat>
          <c:val>
            <c:numRef>
              <c:f>Hoja1!$C$2:$C$9</c:f>
              <c:numCache>
                <c:formatCode>#,##0</c:formatCode>
                <c:ptCount val="8"/>
                <c:pt idx="0">
                  <c:v>261.7</c:v>
                </c:pt>
                <c:pt idx="1">
                  <c:v>223</c:v>
                </c:pt>
                <c:pt idx="2">
                  <c:v>218.46000000000004</c:v>
                </c:pt>
                <c:pt idx="3">
                  <c:v>204.34999999999997</c:v>
                </c:pt>
                <c:pt idx="4">
                  <c:v>265.36</c:v>
                </c:pt>
                <c:pt idx="5">
                  <c:v>330.6700000000001</c:v>
                </c:pt>
                <c:pt idx="6">
                  <c:v>230.75</c:v>
                </c:pt>
                <c:pt idx="7">
                  <c:v>4.4599999999999795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