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CSL Limited</w:t>
      </w:r>
    </w:p>
    <w:p>
      <w:pPr>
        <w:spacing w:after="60"/>
        <w:rPr>
          <w:color w:val="52514E"/>
          <w:sz w:val="22"/>
          <w:szCs w:val="22"/>
        </w:rPr>
      </w:pPr>
      <w:r>
        <w:rPr>
          <w:color w:val="52514E"/>
          <w:sz w:val="22"/>
          <w:szCs w:val="22"/>
        </w:rPr>
        <w:t xml:space="preserve">CSL · ASX (Australian Securities Exchange) · ISIN AU000000CSL8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 USD (183,84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135,24 USD (193,78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+7,7 % (base +8,0 %)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97,37 USD (139,52 AUD) · mercado 115,04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61.729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 AU000000CSL8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Biotechnology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 Elizabeth Street, Melbourne VIC 3000 (Australia) · 1916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www.csl.com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62,81 – 155,26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1,28 M acciones/día, ≈ 200 M AUD (≈ 140 M USD)/día (3 meses) [62]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135,24 USD (193,78 AUD)</w:t>
      </w:r>
      <w:r>
        <w:t xml:space="preserve"> frente a 128,30 (183,84 AUD) · Rentabilidad a 12 meses </w:t>
      </w:r>
      <w:r>
        <w:rPr>
          <w:b/>
          <w:bCs/>
        </w:rPr>
        <w:t xml:space="preserve">+7,7 % (base +8,0 %)</w:t>
      </w:r>
      <w:r>
        <w:t xml:space="preserve"> · Valor intrínseco 97,37 USD (139,52 AUD) · con la prima implícita del mercado: 115,04 (164,84 AUD) (-10,3 %) · Alcista / bajista -2,7 % / -45,4 %</w:t>
      </w:r>
    </w:p>
    <w:p>
      <w:pPr>
        <w:spacing w:after="100"/>
      </w:pPr>
      <w:r>
        <w:rPr>
          <w:b/>
        </w:rPr>
        <w:t xml:space="preserve">La recomendación y por qué.</w:t>
      </w:r>
      <w:r>
        <w:t xml:space="preserve"> Mantener, con convicción baja y en el borde de la venta. El valor objetivo es de 97,37 USD (139,52 AUD), un 24,1 % por debajo del precio de 128,30 USD (183,84 AUD), y la rentabilidad total esperada a 12 meses es del −21,8 %, con una asimetría de −0,06 veces: el alcista (124,86 USD) no llega al precio y el bajista (70,01) pierde un 45,4 %. Con nuestro coste de capital la regla da Vender; con la prima que hoy pide el mercado (4,2 %) el valor objetivo sube a 115,04 USD y la rentabilidad total a −8,1 %, que es Mantener, y esa regla manda. </w:t>
      </w:r>
      <w:r>
        <w:rPr>
          <w:b/>
        </w:rPr>
        <w:t xml:space="preserve">La convicción es baja porque las dos reglas discrepan y la diferencia es casi toda tasa de descuento</w:t>
      </w:r>
      <w:r>
        <w:t xml:space="preserve">: pasaríamos a Vender por encima de 129,50 USD (185,56 AUD), un 0,9 % sobre el precio, y a Comprar por debajo de 95,42 USD (136,73 AUD) o si el margen bruto de Behring del primer semestre de FY27 supera el 52 %.</w:t>
      </w:r>
    </w:p>
    <w:p>
      <w:pPr>
        <w:spacing w:after="100"/>
      </w:pPr>
      <w:r>
        <w:rPr>
          <w:b/>
        </w:rPr>
        <w:t xml:space="preserve">El negocio.</w:t>
      </w:r>
      <w:r>
        <w:t xml:space="preserve"> CSL es el primer fraccionador de plasma del mundo (≈30 % del mercado y ≈55 % de la inmunoglobulina subcutánea) en un sector concentrado con un foso de escala amplio [1, 10]. Lo que se ha roto es la rentabilidad: el margen bruto de Behring bajó del 57,1 % en FY19 al 49,6 % en FY26 [1], y Vifor, comprada por 11.665 M a 19,4 veces el EBITDA, acumula 4.845 M de deterioros [1, 85]. El ROIC pasó del 21-26 % de FY17-FY21 al 11,4 % en FY25, 2,5 puntos sobre el WACC (8,86 %). </w:t>
      </w:r>
      <w:r>
        <w:rPr>
          <w:b/>
        </w:rPr>
        <w:t xml:space="preserve">La calidad sostiene solo en parte el crecimiento proyectado</w:t>
      </w:r>
      <w:r>
        <w:t xml:space="preserve">: el volumen sí (la Ig crece un 9 % anual y el caso base pierde cuota), el precio no [9, 10, 21]; por eso el margen EBITDA se queda en el 35,0 % de los ahorros comprometidos.</w:t>
      </w:r>
    </w:p>
    <w:p>
      <w:pPr>
        <w:spacing w:after="100"/>
      </w:pPr>
      <w:r>
        <w:rPr>
          <w:b/>
        </w:rPr>
        <w:t xml:space="preserve">Finanzas.</w:t>
      </w:r>
      <w:r>
        <w:t xml:space="preserve"> El EBITDA subyacente de FY26 es de 5.282 M (33,4 % de margen), con 844 M de reestructuración fuera; la pérdida estatutaria de 2.579 M es contable [1]. La deuda neta ajustada (10.668 M, 2,0 veces el EBITDA) no preocupa; el circulante, en el 42,4 % de las ventas, sí frena la caja: la conversión de la década es del 75 %.</w:t>
      </w:r>
    </w:p>
    <w:p>
      <w:pPr>
        <w:spacing w:after="100"/>
      </w:pPr>
      <w:r>
        <w:rPr>
          <w:b/>
        </w:rPr>
        <w:t xml:space="preserve">Equipo y gobierno.</w:t>
      </w:r>
      <w:r>
        <w:t xml:space="preserve"> Restan. Consejero delegado interino desde febrero, directores financiero y comercial nuevos, guía de FY26 rebajada dos veces y escisión de Seqirus aplazada [17, 18, 38]. El consejo es independiente (9 de 10), pero la remuneración tuvo un 42,30 % de votos en contra en 2025 [1, 39].</w:t>
      </w:r>
    </w:p>
    <w:p>
      <w:pPr>
        <w:spacing w:after="100"/>
      </w:pPr>
      <w:r>
        <w:rPr>
          <w:b/>
        </w:rPr>
        <w:t xml:space="preserve">Valoración.</w:t>
      </w:r>
      <w:r>
        <w:t xml:space="preserve"> El DCF da 101,84 USD (−20,6 %). El DCF inverso dice que el precio pide un crecimiento de las ventas del 6,8 % anual durante diez años, frente al 3,7 % de nuestro caso base y a una guía de ingresos planos para FY27, o un margen EBITDA del 40,4 %, más de cuatro puntos por encima del máximo de la década [9]. La rentabilidad implícita es del 7,9 % con un Tesoro al 5,28 % [65]. No discrepamos del consenso en las ventas, y nuestro EBITDA es un 5-7 % mayor en FY28-FY29 [71]; discrepamos del precio, que ha subido un 104 % desde junio y ya está en el objetivo medio de los analistas (128,84 USD) [62, 72].</w:t>
      </w:r>
    </w:p>
    <w:p>
      <w:pPr>
        <w:spacing w:after="100"/>
      </w:pPr>
      <w:r>
        <w:rPr>
          <w:b/>
        </w:rPr>
        <w:t xml:space="preserve">Riesgos y catalizadores.</w:t>
      </w:r>
      <w:r>
        <w:t xml:space="preserve"> El mayor riesgo es que el margen de Behring no se recupere (el bajista, −45,4 %) durante el cambio de máquinas de aféresis y la espera de Horizon 2 [22, 23]; después, los anticuerpos FcRn en la CIDP y una tasa de descuento más alta (WACC +0,5 puntos: −10 % de valor). Catalizadores con fecha: la junta del 27-oct-2026, el nombramiento del consejero delegado y los resultados semestrales del 9-feb-2027.</w:t>
      </w:r>
    </w:p>
    <w:p>
      <w:pPr>
        <w:spacing w:after="100"/>
      </w:pPr>
      <w:r>
        <w:rPr>
          <w:b/>
        </w:rPr>
        <w:t xml:space="preserve">Qué cambiaría la decisión.</w:t>
      </w:r>
      <w:r>
        <w:t xml:space="preserve"> Además de los niveles de precio, una nueva rebaja de la guía de FY27 o un Tesoro por encima del 5,5 % bajarían el valor.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135,24 USD (193,78 AUD)</w:t>
      </w:r>
      <w:r>
        <w:t xml:space="preserve"> (rentabilidad +7,7 % (base +8,0 %)) · Valor intrínseco: 97,37 USD (139,52 AUD) (-24,1 % sobre 128,30) · con la prima implícita del mercado: 115,04 (164,84 AUD) (-10,3 %)</w:t>
      </w:r>
    </w:p>
    <w:p>
      <w:pPr>
        <w:spacing w:after="100"/>
      </w:pPr>
      <w:r>
        <w:t xml:space="preserve">CSL es el mayor fraccionador de plasma del mundo: Behring factura 11.387 M con un margen de segmento del 40,5 % y lidera un mercado de más de 35.000 M que crece en volumen de inmunoglobulina un 9 % anual [1, 10, 25]. Hasta FY21 eso daba un ROIC del 21-26 % y un crecimiento de doble dígito. Desde entonces el margen bruto de Behring ha perdido 7,5 puntos, la compra de Vifor ha destruido valor y el equipo directivo ha cambiado entero [1, 38].</w:t>
      </w:r>
    </w:p>
    <w:p>
      <w:pPr>
        <w:spacing w:after="100"/>
      </w:pPr>
      <w:r>
        <w:t xml:space="preserve">El precio de 128,30 USD (183,84 AUD), tras subir un 104 % desde junio, descuenta la vuelta a la CSL de antes: un crecimiento del 6,8 % anual durante diez años, o un margen EBITDA del 40,4 %, frente a una guía de ingresos planos para FY27 y un máximo de margen del 36,1 % en la década [9, 62]. Cotiza a 14,0 veces el EBITDA, la mitad de su historia, pero con prima frente a sus comparables (10,3 veces).</w:t>
      </w:r>
    </w:p>
    <w:p>
      <w:pPr>
        <w:spacing w:after="100"/>
      </w:pPr>
      <w:r>
        <w:t xml:space="preserve">El mercado acierta en que el foso existe y en que el coste por litro baja; se equivoca al dar por hecha la recuperación del margen antes de que el cambio de máquinas y Horizon 2 lo demuestren [22, 23]. Para invertir hay que creer que Behring vuelve al 55 % de margen bruto y aceptar una rentabilidad implícita del 7,9 % con un Tesoro al 5,28 % [65]. Nosotros no lo pagaríamos a este precio, pero tampoco venderíamos: con la prima que hoy pide el mercado la acción vale 115,04 USD y la distancia es de tasa, no de negocio.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135,24 USD (193,78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5,38 = 72,63 · 20,8x × 6,52 = 135,62 · 27,0x × 7,30 = 197,10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(38x) es 1,8 veces el PER de hoy (20,8x);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128,84 (nuestro base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97,37 USD (139,52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(AUD al tipo de 0,6979 USD por AUD)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 USD (183,84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115,04 USD (164,84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97,37 (139,52 AUD)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97,37 y 153,51 (139,52 y 219,96 AUD)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153,51 (219,96 AUD)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95,42 USD (136,73 AUD), pasaríamos a Comprar.</w:t>
      </w:r>
    </w:p>
    <w:p>
      <w:pPr>
        <w:pStyle w:val="ListParagraph"/>
        <w:numPr>
          <w:ilvl w:val="0"/>
          <w:numId w:val="2"/>
        </w:numPr>
        <w:spacing w:after="60"/>
      </w:pPr>
      <w:r>
        <w:t xml:space="preserve">Si el precio supera 129,50 USD (185,56 AUD), un 0,9 % sobre el actual, pasaríamos a Vender.</w:t>
      </w:r>
    </w:p>
    <w:p>
      <w:pPr>
        <w:pStyle w:val="ListParagraph"/>
        <w:numPr>
          <w:ilvl w:val="0"/>
          <w:numId w:val="2"/>
        </w:numPr>
        <w:spacing w:after="60"/>
      </w:pPr>
      <w:r>
        <w:t xml:space="preserve">Si el margen bruto de Behring del 1S27 supera el 52 %, subiríamos el margen del caso base y el valor objetivo.</w:t>
      </w:r>
    </w:p>
    <w:p>
      <w:pPr>
        <w:pStyle w:val="ListParagraph"/>
        <w:numPr>
          <w:ilvl w:val="0"/>
          <w:numId w:val="2"/>
        </w:numPr>
        <w:spacing w:after="60"/>
      </w:pPr>
      <w:r>
        <w:t xml:space="preserve">Si la empresa rebaja la guía de FY27 (NPAT subyacente +5 %), pasaríamos a Vender.</w:t>
      </w:r>
    </w:p>
    <w:p>
      <w:pPr>
        <w:pStyle w:val="ListParagraph"/>
        <w:numPr>
          <w:ilvl w:val="0"/>
          <w:numId w:val="2"/>
        </w:numPr>
        <w:spacing w:after="60"/>
      </w:pPr>
      <w:r>
        <w:t xml:space="preserve">Si el Tesoro a 10 años supera el 5,5 %, el valor con la prima del mercado bajaría hacia el umbral de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los deterioros de FY26 limpiaron Vifor, el programa de ahorros (≈550 M en FY28) y el coste por litro devuelven el margen, y un consejero delegado nuevo relanza el crecimiento [9]. Con el precio a 128,30 USD, eso exige un crecimiento del 6,8 % anual o un margen EBITDA del 40,4 %. El precio objetivo medio de los 17 analistas (128,84 USD) coincide con la cotización [72].</w:t>
      </w:r>
    </w:p>
    <w:p>
      <w:pPr>
        <w:keepNext/>
        <w:spacing w:after="100"/>
      </w:pPr>
      <w:r>
        <w:rPr>
          <w:b/>
          <w:bCs/>
        </w:rPr>
        <w:t xml:space="preserve">Lo que creemos nosotros.</w:t>
      </w:r>
    </w:p>
    <w:p>
      <w:pPr>
        <w:spacing w:after="100"/>
      </w:pPr>
      <w:r>
        <w:t xml:space="preserve">El foso de Behring es real, pero su margen bruto lleva tres años parado en el 49-50 % y los próximos dos años traen un cambio de máquinas en todos los centros de EE. UU., ensayos para Horizon 2 y más competencia de los FcRn [22, 23, 34]. Esperamos un crecimiento medio del 3,7 % y un margen del 35,0 % a largo plazo, el que dan los ahorros comprometidos: eso vale 101,84 USD con nuestro WACC y 124,14 con la prima del mercado.</w:t>
      </w:r>
    </w:p>
    <w:p>
      <w:pPr>
        <w:keepNext/>
        <w:spacing w:after="100"/>
      </w:pPr>
      <w:r>
        <w:rPr>
          <w:b/>
          <w:bCs/>
        </w:rPr>
        <w:t xml:space="preserve">Por qué podemos tener razón.</w:t>
      </w:r>
    </w:p>
    <w:p>
      <w:pPr>
        <w:spacing w:after="100"/>
      </w:pPr>
      <w:r>
        <w:t xml:space="preserve">Porque la historia reciente de la propia CSL no da precedentes de la recuperación que pide el precio: la guía de crecimiento de doble dígito de 2023 se abandonó, la de FY26 se rebajó dos veces y la de FY27 es de ingresos planos [9, 17, 18]. Pero nuestras cifras no se apartan del consenso: la diferencia es la tasa de descuento, y por eso no hay una tesis de venta con convicción.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de escala</w:t>
      </w:r>
      <w:r>
        <w:t xml:space="preserve">: ≈30 % del mercado de proteínas plasmáticas y ≈55 % de la Ig subcutánea [1, 10].</w:t>
      </w:r>
    </w:p>
    <w:p>
      <w:pPr>
        <w:pStyle w:val="ListParagraph"/>
        <w:numPr>
          <w:ilvl w:val="0"/>
          <w:numId w:val="2"/>
        </w:numPr>
        <w:spacing w:after="60"/>
      </w:pPr>
      <w:r>
        <w:rPr>
          <w:b/>
        </w:rPr>
        <w:t xml:space="preserve">Demanda que crece</w:t>
      </w:r>
      <w:r>
        <w:t xml:space="preserve">: el volumen de Ig en los siete mercados principales sube un 9 % anual desde FY22 [10].</w:t>
      </w:r>
    </w:p>
    <w:p>
      <w:pPr>
        <w:pStyle w:val="ListParagraph"/>
        <w:numPr>
          <w:ilvl w:val="0"/>
          <w:numId w:val="2"/>
        </w:numPr>
        <w:spacing w:after="60"/>
      </w:pPr>
      <w:r>
        <w:rPr>
          <w:b/>
        </w:rPr>
        <w:t xml:space="preserve">Ahorros con calendario</w:t>
      </w:r>
      <w:r>
        <w:t xml:space="preserve">: 176 M en FY26 y hasta ≈550 M anuales en FY28 [6, 9].</w:t>
      </w:r>
    </w:p>
    <w:p>
      <w:pPr>
        <w:pStyle w:val="ListParagraph"/>
        <w:numPr>
          <w:ilvl w:val="0"/>
          <w:numId w:val="2"/>
        </w:numPr>
        <w:spacing w:after="60"/>
      </w:pPr>
      <w:r>
        <w:rPr>
          <w:b/>
        </w:rPr>
        <w:t xml:space="preserve">Balance holgado</w:t>
      </w:r>
      <w:r>
        <w:t xml:space="preserve">: deuda neta de 1,8 veces el EBITDA, 84 % a tipo fijo y vida media de 10 años [1].</w:t>
      </w:r>
    </w:p>
    <w:p>
      <w:pPr>
        <w:pStyle w:val="ListParagraph"/>
        <w:numPr>
          <w:ilvl w:val="0"/>
          <w:numId w:val="2"/>
        </w:numPr>
        <w:spacing w:after="60"/>
      </w:pPr>
      <w:r>
        <w:rPr>
          <w:b/>
        </w:rPr>
        <w:t xml:space="preserve">Recompra de 1.150 M AUD</w:t>
      </w:r>
      <w:r>
        <w:t xml:space="preserve"> hasta junio de 2027, ≈1,3 % del capital [68].</w:t>
      </w:r>
    </w:p>
    <w:p>
      <w:pPr>
        <w:pStyle w:val="Heading2"/>
      </w:pPr>
      <w:r>
        <w:t xml:space="preserve">En contra</w:t>
      </w:r>
    </w:p>
    <w:p>
      <w:pPr>
        <w:pStyle w:val="ListParagraph"/>
        <w:numPr>
          <w:ilvl w:val="0"/>
          <w:numId w:val="2"/>
        </w:numPr>
        <w:spacing w:after="60"/>
      </w:pPr>
      <w:r>
        <w:rPr>
          <w:b/>
        </w:rPr>
        <w:t xml:space="preserve">El precio pide un 6,8 % de crecimiento anual</w:t>
      </w:r>
      <w:r>
        <w:t xml:space="preserve"> durante diez años frente a una guía de ingresos planos [9].</w:t>
      </w:r>
    </w:p>
    <w:p>
      <w:pPr>
        <w:pStyle w:val="ListParagraph"/>
        <w:numPr>
          <w:ilvl w:val="0"/>
          <w:numId w:val="2"/>
        </w:numPr>
        <w:spacing w:after="60"/>
      </w:pPr>
      <w:r>
        <w:rPr>
          <w:b/>
        </w:rPr>
        <w:t xml:space="preserve">Margen bruto de Behring estancado</w:t>
      </w:r>
      <w:r>
        <w:t xml:space="preserve"> en el 49,6 %, 7,5 puntos por debajo de FY19 [1].</w:t>
      </w:r>
    </w:p>
    <w:p>
      <w:pPr>
        <w:pStyle w:val="ListParagraph"/>
        <w:numPr>
          <w:ilvl w:val="0"/>
          <w:numId w:val="2"/>
        </w:numPr>
        <w:spacing w:after="60"/>
      </w:pPr>
      <w:r>
        <w:rPr>
          <w:b/>
        </w:rPr>
        <w:t xml:space="preserve">Asignación de capital fallida</w:t>
      </w:r>
      <w:r>
        <w:t xml:space="preserve">: ROIC incremental de la década del −16,1 % y 7.079 M de deterioros en FY26 [1].</w:t>
      </w:r>
    </w:p>
    <w:p>
      <w:pPr>
        <w:pStyle w:val="ListParagraph"/>
        <w:numPr>
          <w:ilvl w:val="0"/>
          <w:numId w:val="2"/>
        </w:numPr>
        <w:spacing w:after="60"/>
      </w:pPr>
      <w:r>
        <w:rPr>
          <w:b/>
        </w:rPr>
        <w:t xml:space="preserve">Equipo provisional</w:t>
      </w:r>
      <w:r>
        <w:t xml:space="preserve">: consejero delegado interino y tres relevos en la cúpula en doce meses [38, 42, 43].</w:t>
      </w:r>
    </w:p>
    <w:p>
      <w:pPr>
        <w:pStyle w:val="ListParagraph"/>
        <w:numPr>
          <w:ilvl w:val="0"/>
          <w:numId w:val="2"/>
        </w:numPr>
        <w:spacing w:after="60"/>
      </w:pPr>
      <w:r>
        <w:rPr>
          <w:b/>
        </w:rPr>
        <w:t xml:space="preserve">Sustitución en neurología</w:t>
      </w:r>
      <w:r>
        <w:t xml:space="preserve">: VYVGART vendió 4.151 M en 2025 (+90 %) y la CIDP será ≈22 % de la Ig de CSL [10, 34].</w:t>
      </w:r>
    </w:p>
    <w:p>
      <w:pPr>
        <w:pStyle w:val="Heading2"/>
      </w:pPr>
      <w:r>
        <w:t xml:space="preserve">Qué tiene que pasar para que la tesis funcione</w:t>
      </w:r>
    </w:p>
    <w:p>
      <w:pPr>
        <w:spacing w:after="100"/>
      </w:pPr>
      <w:r>
        <w:t xml:space="preserve">La tesis depende del margen bruto de Behring: hoy en el 49,6 %, tiene que subir hacia el 52-55 % en FY27-FY28 para que el precio tenga sentido. La señal de que no ocurre sería un primer semestre de FY27 (9-feb-2027) con el margen por debajo del 50 %, una pérdida de productividad en la recogida de plasma durante el cambio a Haemonetics o un retraso de los ensayos de Horizon 2 más allá de julio de 2027 [22,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Behring es el 72 % de los ingresos y su margen lleva tres años estancado.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Ig en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FY26; +7 %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pide un dígito medio-alto; por debajo, los FcRn o los precios están mordiendo.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 en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salto del margen EBITDA del 32,2 % al 34,3 %.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CSL Vifor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1.780 M en FY27 (peor que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genéricos y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del informe de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el 27-oct-2026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otro ciclo de dos strikes y presiona la sucesión del presidente.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CSL nació en 1916 como Commonwealth Serum Laboratories, un laboratorio del Estado australiano [18, 35]. Se privatizó y salió a la ASX el 3 de junio de 1994, a 2,30 AUD por acción [18, 35]. Dos compras la convirtieron en el primer fraccionador de plasma del mundo: ZLB Bioplasma (Berna) en 2000, que dobló su tamaño, y Aventis Behring en 2004, en plena sobreoferta de plasma, origen de CSL Behring [35]. En 2015 compró el negocio de vacunas de la gripe de Novartis y lo rebautizó Seqirus; en 2017, Calimmune (terapia génica), y en 2022 cerró la compra de Vifor Pharma, anunciada en diciembre de 2021 por 11.700 M USD [35]. En agosto de 2025 anunció la escisión de Seqirus y en octubre la aplazó sin fecha por la caída de la vacunación en EE. UU. [18, 19]. En 2026 se jubiló el consejero delegado, la revisión de 90 días recortó la guía y la empresa registró 7.923 M USD de reestructuración y deterioros, sobre todo de Vifor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Commonwealth Serum Laboratories, laboratorio público australiano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y salida a la ASX el 3 de junio, a 2,30 AUD por acción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ZLB Bioplasma (Berna, Suiza), que duplica el tamaño de la empresa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Aventis Behring (Marburgo), base de CSL Behring, en un momento de sobreoferta de plasma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vacunas de la gripe de Novartis (anunciada en 2014 por 275 M USD); nace Seqirus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Calimmune y su plataforma de terapia génica con células madre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Vifor Pharma (hierro intravenoso y nefrología), anunciada en diciembre de 2021 por 11.700 M USD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escisión de Seqirus (19-ago) y aplazamiento sin fecha en la junta de octubre, tras prever una caída del 12 % de la vacunación de la gripe en EE. UU.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Jubilación del consejero delegado (feb.), revisión de 90 días y nuevo recorte de guía (may.), 7.923 M USD de reestructuración y deterioros en FY26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Ensayos clínicos para el proceso Horizon 2 desde mediados de 2027 (jul.) y cambio de las máquinas de plasmaféresis Rika de Terumo a Haemonetics en EE. UU. antes de finales de 2027 (oct.)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CSL es una biofarmacéutica australiana con tres negocios. </w:t>
      </w:r>
      <w:r>
        <w:rPr>
          <w:b/>
        </w:rPr>
        <w:t xml:space="preserve">CSL Behring</w:t>
      </w:r>
      <w:r>
        <w:t xml:space="preserve"> (11.387 M USD de ingresos en FY26, el 72 % del grupo) fracciona plasma humano para fabricar inmunoglobulinas (Privigen IVIg 4.017 M y Hizentra SCIg 2.167 M), albúmina (1.115 M), factores de coagulación y terapia génica para la hemofilia (Idelvion, HEMGENIX), tratamientos del angioedema hereditario (Haegarda, Berinert, ANDEMBRY) y de la hemorragia perioperatoria (Kcentra) [1, 9]. Recoge el plasma en su propia red, la mayor del mundo por volumen (unos 330 centros antes de cerrar 22) [10]. </w:t>
      </w:r>
      <w:r>
        <w:rPr>
          <w:b/>
        </w:rPr>
        <w:t xml:space="preserve">CSL Seqirus</w:t>
      </w:r>
      <w:r>
        <w:t xml:space="preserve"> (2.031 M) vende vacunas de la gripe diferenciadas: FLUAD adyuvada (968 M), FLUCELVAX de cultivo celular (503 M) y tasas de reserva pandémica (183 M) [9]. </w:t>
      </w:r>
      <w:r>
        <w:rPr>
          <w:b/>
        </w:rPr>
        <w:t xml:space="preserve">CSL Vifor</w:t>
      </w:r>
      <w:r>
        <w:t xml:space="preserve"> (2.379 M) vende hierro intravenoso (Ferinject/Injectafer, Venofer) y nefrología (Mircera, Velphoro, Veltassa, FILSPARI) [9]. Vende en más de 120 países con casi 29.000 empleados [1]. Fabrica en EE. UU. (Kankakee), Australia (Broadmeadows y Tullamarine), Alemania y Suiza (Berna, Lengnau) para Behring, y en el Reino Unido (FLUAD) y EE. UU. (Holly Springs) para las vacunas [1, 20].</w:t>
      </w:r>
    </w:p>
    <w:p>
      <w:pPr>
        <w:pStyle w:val="Heading2"/>
      </w:pPr>
      <w:r>
        <w:t xml:space="preserve">Cómo gana dinero</w:t>
      </w:r>
    </w:p>
    <w:p>
      <w:pPr>
        <w:spacing w:after="100"/>
      </w:pPr>
      <w:r>
        <w:t xml:space="preserve">Behring es un negocio de integración vertical: el margen depende del coste por litro de plasma, del rendimiento de inmunoglobulina por litro y del precio y la mezcla (IVIg frente a SCIg, EE. UU. frente a licitaciones internacionales). La cadena de suministro dura hasta 12 meses y exige mucho capital [10]. El coste por litro subió hasta un pico en FY22 por la compensación a los donantes durante la pandemia; desde entonces ha bajado un 15 % y las tarifas a donantes un 25 % [10]. En FY26 el margen bruto subyacente fue del 49,6 % en Behring, del 69,6 % en Vifor y del 56,7 % en Seqirus; el resultado operativo de segmento, del 40,5 %, 52,6 % y 44,3 % [1]. La demanda de Behring es recurrente (pacientes crónicos que se tratan de por vida); la de Seqirus es estacional y depende de la tasa de vacunación de cada temporada; Vifor pierde exclusividad en hierro intravenoso [9, 33].</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dominante declarado: CSL vende a un gran número de clientes en varios países, pero algunos distribuidores pueden suponer el 10 % o más de los ingresos del grupo [1]. En EE. UU. las inmunoglobulinas pasan por distribuidores especializados; en FY26 la normalización de su inventario restó unos 300 M USD de ingresos [17]. Fuera de EE. UU., Behring compite en más de 400 licitaciones internacionales al año [10]. El poder de precio es desigual: Hizentra tiene acceso a más del 95 % de los pacientes de EE. UU. [10], pero la reforma de la parte D de Medicare recortó los ingresos de Ig, las medidas de contención de costes de China rebajaron el valor de la albúmina (unos 200 M USD) y Kcentra sufre presión de precio en EE. UU. [9, 17]. Desde el 1-sep-2026 CSL se ha comprometido a dar a Medicaid precios comparables a los de otros países desarrollados y a lanzar sus nuevos productos con ese criterio para todos los pagadores [21]. En vacunas, los clientes son sistemas de salud, redes hospitalarias integradas y gobiernos (reservas pandémicas)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 (segmento)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57,1 % en FY19 y 57,8 % en FY20, antes de la pandemia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en negocio.extra [1,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inmunoglobulinas (Privigen + Hizentra y resto)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moneda constante (Privigen 4.017 M, -1 %; Hizentra 2.167 M,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inventario del canal en EE. UU. (~300 M de impacto) y Medicare Part D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albúmina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Medidas de contención de costes del Gobierno chino (~200 M de impacto)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angioedema hereditario (HAE)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ANDEMBRY 240 M en su primer año completo; HAEGARDA 431 M (-13 %); BERINERT 213 M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KCENTRA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en EE. UU.; sangrado perioperatorio 834 M (913 M en FY25)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por litro (CPL)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Pico en FY22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por debajo del pico de la pandemia (nov-25)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Pagos a donantes ~25 % por debajo del pico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 centros que se mantienen y 22 cierres; iNomi da ~10 % más de plasma por donación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USD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500-550 M anuales en FY28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reestructuración de 799 M antes de impuestos en FY26 [6,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FLUAD / FLUCELVAX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 474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 503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 +5 %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Gripe estacional +4 % cc pese a la caída de la vacunación en EE. UU. [1,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hierro de CSL Vifor (FERINJECT/INJECTAFER)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1.034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915 M; FERINJECT/INJECTAFER 653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cc FERINJECT/INJECTAFER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genéricos; guía FY27 de CSL Vifor -25 % [1, 6,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las proteínas plasmáticas (inmunoglobulinas, albúmina, factores de coagulación, inhibidores de C1 y alfa-1), mundial pero con EE. UU. como mayor región: allí se recoge la mayor parte del plasma de fuente y solo el plasma de centros aprobados por la FDA puede venderse en EE. UU. [25]. Pesa el 72 % de los ingresos de CSL [1]. Se usan dos fuentes: el Marketing Research Bureau citado por Grifols, que mide el valor (más de 35.000 M USD en 2024 sin productos recombinantes) [25], y los datos sindicados que presentó CSL, que miden el volumen de inmunoglobulina en los siete mercados principales (de 152 a 200 toneladas entre FY22 y FY25) [10]. La serie es la de volumen, porque es la única anual. Aparte quedan las vacunas de la gripe (Seqirus, 13 % de los ingresos) y el hierro intravenoso y la nefrología (Vifor, 15 %)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(proteínas plasmáticas sin recombinantes, un 20 % más que en 2021), según el MRB citado por Grifols [25]. Inmunoglobulina: 200 toneladas en FY25 en los siete mercados principales, con un crecimiento anual compuesto del 9 % desde FY22 [10]. El crecimiento histórico (6,3 %) es el del valor 2021-2024 del MRB; el previsto (7 %) es estimación propia a partir de la guía de crecimiento de la Ig «medio-alto de un dígito» en línea con el mercado [1,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toneladas de inmunoglobulina, siete mercados principales (EE. UU., Francia, Alemania, Italia, España, Reino Unido y Japón), ejercicio de CS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nuevas indicaciones de la inmunoglobulina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Ig en los siete mercados principales pasó de 152 a 200 toneladas entre FY22 y FY25 (9 % anual): SID +14 %, CIDP +10 %, PID +8 %; de unos 900.000 pacientes con PID solo unos 120.000 se tratan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(compensación a donantes y productividad de los centros)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por litro de CSL tocó máximo en FY22 y ha bajado un 15 % (tarifas a donantes −25 %); los nomogramas personalizados elevan un 10 % el volumen por donación [10]. Grifols bajó su coste por litro un 4,4 % en 2024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anticuerpos FcRn en neurología (CIDP, miastenia)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VYVGART de argenx vendió 4.151 M USD en 2025 (+90 %) con 19.000 pacientes [34]; la CIDP será ~22 % de los ingresos de Ig de CSL en FY28 y más del 70 % de los pacientes de EE. UU. están bien controlados con Ig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reforma de la parte D de Medicare frenó las Ig de CSL (0 % en FY26) y la albúmina cayó un 17 % por la contención de costes en China [9]; acuerdo de precios de nación más favorecida con Medicaid desde sep-2026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vacunación de la gripe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esperaba en la temporada 25/26 una caída del 12 % en la población y del 14 % en mayores de 65 [18]; las vacunas de gripe y COVID de Sanofi cayeron un 5,8 % en 2025 [29] y Fluarix/FluLaval de GSK un 26 %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del hierro intravenoso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a Mylan y Sandoz para vender carboximaltosa férrica genérica en EE. UU. desde el 1-jul-2026 [33]; el hierro de Vifor cayó un 16 % en FY26 y la guía de FY27 es −25 % para Vifor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fraccionadores con escala mundial (CSL, Grifols, Takeda, Octapharma, Kedrion) [25]; pero en IVIg hay ya seis marcas al 10 % en EE. UU. y algunos competidores han bajado precios [25]. El margen operativo de Biopharma de Grifols fue del 21,6 % en 2025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con peso de más del 10 % [1], licitaciones públicas fuera de EE. UU. (más de 400 al año para CSL) [10], la parte D de Medicare, la contención de costes china en albúmina y el precio de nación más favorecida para Medicaid [9,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insumo crítico: la compensación a los donantes disparó el coste por litro en la pandemia [10]; dependencia de pocos proveedores de equipos de aféresis (cambio de Terumo a Haemonetics en CSL) [23, 25] y de donantes transfronterizos de México en EE. UU.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centros con licencia de la FDA, cadena de suministro de hasta 12 meses, mucho capital y largos procesos regulatorios [10, 25]. El último entrante en EE. UU., ADMA Biologics, factura 510 M USD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inmunología, los FcRn (VYVGART 4.151 M USD en 2025) [34]; en hemofilia, los recombinantes y la terapia génica restan a los derivados del plasma (FEIBA de Takeda −17,7 %) [27] y a la cartera heredada de factor VIII de CSL [9]. Para la Ig de reposición (PID, SID) no hay sustituto [10].</w:t>
            </w:r>
          </w:p>
        </w:tc>
      </w:tr>
    </w:tbl>
    <w:p>
      <w:pPr>
        <w:spacing w:after="160" w:before="0"/>
      </w:pPr>
    </w:p>
    <w:p>
      <w:pPr>
        <w:pStyle w:val="Heading2"/>
      </w:pPr>
      <w:r>
        <w:t xml:space="preserve">Ciclo</w:t>
      </w:r>
    </w:p>
    <w:p>
      <w:pPr>
        <w:spacing w:after="100"/>
      </w:pPr>
      <w:r>
        <w:t xml:space="preserve">La demanda de Ig en EE. UU. crece a ritmo medio-alto de un dígito y la oferta se ha equilibrado con ella tras la pandemia, según los datos de la PPTA y los sindicados hasta junio de 2025 [10]. En 2020-21 el problema fue de oferta, no de demanda: la recogida de plasma cayó y el coste por litro subió hasta FY22 [10]. El margen operativo de Grifols pasó del 22,2 % en 2019 al 12,1 % en 2021 y se ha recuperado al 16,5 % en 2025 [25, 26]. No hay datos homogéneos de 2008-09. En vacunas de la gripe el ciclo es de contracción en EE. UU. [18].</w:t>
      </w:r>
    </w:p>
    <w:p>
      <w:pPr>
        <w:pStyle w:val="Heading2"/>
      </w:pPr>
      <w:r>
        <w:t xml:space="preserve">Regulación</w:t>
      </w:r>
    </w:p>
    <w:p>
      <w:pPr>
        <w:spacing w:after="100"/>
      </w:pPr>
      <w:r>
        <w:t xml:space="preserve">Los aranceles de la sección 232 sobre medicamentos, efectivos el 29-sep-2026, dejan fuera la mayoría de las ventas de CSL en EE. UU. porque sus terapias de plasma usan plasma estadounidense; FLUAD se fabrica en el Reino Unido, con un 10 % que CSL espera que baje a 0 % [20]. El 1-sep-2026 CSL firmó con el Gobierno de EE. UU. precios de nación más favorecida para Medicaid y para sus lanzamientos, y un acuerdo de deslocalización ligado a la ampliación de Kankakee (1.500 M USD), sin impacto material en FY27 [21]. FDA y EMA piden ensayos clínicos para aprobar Horizon 2 (desde mediados de 2027) [22]. El TDAPA de Velphoro termina el 31-dic-2026 y la EMA recomendó revocar TAVNEOS el 26-jun-2026 [9, 24]. En gripe, el comité asesor de vacunas de EE. UU. mantenía en agosto de 2025 la recomendación universal desde los 6 meses [18].</w:t>
      </w:r>
    </w:p>
    <w:p>
      <w:pPr>
        <w:pStyle w:val="Heading2"/>
      </w:pPr>
      <w:r>
        <w:t xml:space="preserve">Tendencias y disrupción</w:t>
      </w:r>
    </w:p>
    <w:p>
      <w:pPr>
        <w:spacing w:after="100"/>
      </w:pPr>
      <w:r>
        <w:t xml:space="preserve">Tres cambios técnicos favorecen a los fraccionadores grandes: la subcutánea (SCIg crece un 9 % anual y CSL tiene en torno al 55 % en los siete mercados principales) [10], los nomogramas personalizados y las máquinas de nueva generación (+10 % de plasma por donación; flota de Haemonetics en todos los centros de CSL de EE. UU. a finales de 2027) [10, 23] y los procesos de mayor rendimiento (Horizon 2) [22]. En contra, los FcRn en CIDP y miastenia [34] y los recombinantes y la terapia génica en hemofilia [27]; CSL participa en esta última con HEMGENIX (+25 % en FY26) [9]. En gripe ganan las vacunas diferenciadas (adyuvadas, cultivo celular) frente a las de huevo: en FY26 FLUAD y FLUCELVAX crecieron un 5 % cada una y la de huevo de CSL cayó un 6 %, en la última temporada de AFLURIA estándar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proteínas plasmáticas: estimación propia de ~30 % del mercado (ventas de Behring de 11.087 M USD en FY26 frente a un mercado de más de 35.000 M USD en 2024; se cuentan también recombinantes, así que la cuota real de plasma está algo por debajo) [1, 25]. Lidera IVIg con ~25 % del volumen y SCIg con ~55 % en los siete mercados principales [10]. En vacunas de la gripe, Seqirus (2.031 M USD) compite con Sanofi (gripe y COVID: 2.314 M EUR) y GSK (Fluarix/FluLaval: 303 M GBP) y fue la única que creció en ingresos de gripe estacional en FY26 [9, 29, 30]. En hierro intravenoso, Vifor pierde cuota por los genéricos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GRF.MC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fraccionador: Biopharma 6.487 M EUR en 2025 (convertido a 1,175 USD/EUR, BCE 31-dic-2025) y resultado operativo de segmento de 1.401 M EUR; el grupo, 16,5 %. Más de 400 centros; la Ig era ~60 % de Biopharma en 2024; margen bruto del grupo del 38,0 % (45,9 % en 2019) [25,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 PDT)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PDT 1.057,5 mil M JPY en FY2025 (abr-25 a mar-26), +1,9 % a tipos constantes; Ig 790,6 mil M JPY (+4,1 %). Convertido a 159,5 JPY/USD (BCE 31-mar-2026). No publica margen de PDT; el grupo ganó un 26,0 % en resultado operativo core y un 0,1 % en el contable (por el veredicto de AMITIZA). Más de 270 centros (BioLife)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familiar. Compite en EE. UU. con IVIg al 10 % y al 5 % [25]. No se ha podido abrir su informe 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(fondos). Ingresos de 1.650 M EUR en 2025 (+4,5 %; +10 % a tipos constantes), EBITDA ajustado de 341,4 M EUR (20,7 %); EE. UU., el 61,2 % de las ventas. No publica EBIT en su nota de prensa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Fraccionador pequeño de EE. UU. centrado en IVIg e hiperinmunes; ingresos de 510,2 M USD en 2025 (+20 %) y margen bruto del 57,4 %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7.936 M EUR en 2025 (−1,2 %); gripe y COVID 2.314 M EUR (−5,8 %), de ellos 1.328 M en EE. UU. (Fluzone HD, Flublok, Efluelda). Margen operativo del grupo NIIF; el resultado operativo de negocio fue del 27,8 % [29,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9.157 M GBP en 2025; gripe (Fluarix/FluLaval) solo 303 M GBP (408 M USD), un 26 % menos. Convertido a 1,3466 USD/GBP (BCE 31-dic-2025). Margen operativo total del grupo [30,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argenx (sustituto FcRn)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fracciona plasma: VYVGART (efgartigimod) compite con la Ig en CIDP y miastenia; ventas de producto de 4.151 M USD en 2025 (+90 %) y primer año con beneficio operativo (1.054 M USD)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del producto no aumenta con el número de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estabilizados con una Ig no se cambian fácilmente; Hizentra es la única SCIg en jeringa precargada, con más del 95 % de los pacientes de EE. UU. convertidos [3]. Más del 70 % de los pacientes de CIDP de EE. UU. están bien controlados con Ig y la mayoría de los que abandonan los FcRn vuelven a la Ig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Privigen es la primera IVIg del mundo y Hizentra la SCIg más recetada [3]; licencias de la FDA para centros y plantas que tardan años [12]; patente de Horizon 2 [9]. En Vifor los intangibles se han deteriorado (genéricos del hierro, TAVNEOS)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volumen de recogida del mundo y coste por litro un 15 % por debajo del pico de FY22 [3]; margen bruto de Behring del 49,6 % en FY26 frente al 38,0 % de Grifols en 2025 [1, 12]. Pero Takeda y Grifols aplican los mismos nomogramas y CSL cambia de plataforma de aféresis [10,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más de 35.000 M USD con cinco fraccionadores que suman, según estimación propia, en torno al 80 %; barreras regulatorias y de capital altas y el último entrante de EE. UU. factura 510 M USD [12, 15]. Cuota estable: CSL ~25 % en IVIg y ~55 % en SCIg [3].</w:t>
            </w:r>
          </w:p>
        </w:tc>
      </w:tr>
    </w:tbl>
    <w:p>
      <w:pPr>
        <w:spacing w:after="160" w:before="0"/>
      </w:pPr>
    </w:p>
    <w:p>
      <w:pPr>
        <w:pStyle w:val="Heading2"/>
      </w:pPr>
      <w:r>
        <w:t xml:space="preserve">Amenazas</w:t>
      </w:r>
    </w:p>
    <w:p>
      <w:pPr>
        <w:spacing w:after="100"/>
      </w:pPr>
      <w:r>
        <w:t xml:space="preserve">Tres amenazas con probabilidad real. Los FcRn: VYVGART ya vende 4.151 M USD y argenx tiene un anti-C2 en fase 3 en CIDP y MMN [34]; la CIDP será ~22 % de los ingresos de Ig de CSL en FY28 [10], así que una erosión de la Ig en neurología pesaría en el negocio más rentable. La política de precios de EE. UU. (Medicare parte D, nación más favorecida en Medicaid) y la contención de costes de China [9, 21]. Y que el foso de costes se estreche: CSL cambia de máquinas de aféresis hasta finales de 2027 y Horizon 2 se retrasa por la exigencia de ensayos clínicos [22, 23], mientras Takeda y Grifols ya usan nomogramas personalizados [25, 27]. En Seqirus, la caída de la vacunación en EE. UU. [18]; en Vifor, los genéricos del hierro desde julio de 2026 [33].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FY2017-FY2026: ingresos </w:t>
      </w:r>
      <w:r>
        <w:rPr>
          <w:b/>
          <w:bCs/>
        </w:rPr>
        <w:t xml:space="preserve">9,6 %</w:t>
      </w:r>
      <w:r>
        <w:t xml:space="preserve">, EBITDA </w:t>
      </w:r>
      <w:r>
        <w:rPr>
          <w:b/>
          <w:bCs/>
        </w:rPr>
        <w:t xml:space="preserve">11,1 %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que se han parado en seco.</w:t>
      </w:r>
      <w:r>
        <w:t xml:space="preserve"> Los ingresos pasaron de 6.947 M en FY17 a 15.797 M en FY26, un TCAC del 9,6 %, pero más de una cuarta parte del salto vino de comprar Vifor en 2022 (2.379 M de ingresos en FY26) [1, 8]. Sin Vifor, Behring creció al 9 % anual de FY22 a FY25 y se frenó al 2,1 % en FY26; Seqirus cayó un 6,2 % [1]. En moneda constante el grupo bajó un 1 % en FY26 y el NPATA subyacente un 2 % [6]. El margen EBITDA (sin reestructuración) se ha movido entre el 32,0 % y el 36,1 % en la década: tocó máximo en FY21 y cayó al 32,0 % en FY23 por el coste del plasma de la pandemia; en FY26 está en el 33,4 % [1]. La clave está debajo: el margen bruto de Behring bajó del 57,1 % en FY19 al 49,6 % en FY26 y no ha recuperado nada desde FY23, mientras el margen de Vifor (52,6 % de EBIT de segmento) tapaba el hueco [1, 4]. El resultado estatutario de FY26 es una pérdida de 2.579 M por 7.923 M de reestructuración y deterioros [1].</w:t>
      </w:r>
    </w:p>
    <w:p>
      <w:pPr>
        <w:pStyle w:val="Heading2"/>
      </w:pPr>
      <w:r>
        <w:t xml:space="preserve">Ajustes y partidas no recurrentes</w:t>
      </w:r>
    </w:p>
    <w:p>
      <w:pPr>
        <w:spacing w:after="100"/>
      </w:pPr>
      <w:r>
        <w:t xml:space="preserve">Cifras estatutarias (AASB). EBITDA = EBIT + amortizaciones (incluida la de la propiedad intelectual adquirida, 379 M en FY26) + deterioros, la definición de CSL [1]. Se devuelven al EBITDA como no recurrentes: 844 M en FY26 (reestructuración de 601 M, contratos onerosos de 148 M y otros ligados a los deterioros), −30 M en FY25 (ganancia por ventas), 84 M en FY24 y 353 M en FY23 (reversión del ajuste de existencias de Vifor y costes de integración) y 40 M en FY22 [1, 2, 3]. Que haya partidas excluidas cinco años seguidos obliga a mirarlas con cuidado: el DCF sí resta los ≈300 M de reestructuración en caja previstos para FY27 [9]. CSL publica además el NPATA (antes de amortizar la IP adquirida): 3.098 M en FY26 frente a una pérdida estatutaria de 2.579 M [1]. La guía de FY27 se da en NPAT subyacente (después de esa amortización), no en NPATA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de las conferencias; el discurso sale de los comunicados y presentaciones. </w:t>
      </w:r>
      <w:r>
        <w:rPr>
          <w:b/>
        </w:rPr>
        <w:t xml:space="preserve">En febrero (HY26)</w:t>
      </w:r>
      <w:r>
        <w:t xml:space="preserve"> la dirección aún defendía crecer el NPATA un 4-7 % en moneda constante, amplió la recompra de 500 a 750 M USD y anunció ≈1.100 M de deterioros, casi todos de Vifor y de la plataforma de ARNm [16]. </w:t>
      </w:r>
      <w:r>
        <w:rPr>
          <w:b/>
        </w:rPr>
        <w:t xml:space="preserve">Tres meses después</w:t>
      </w:r>
      <w:r>
        <w:t xml:space="preserve"> el consejero delegado interino rebajó la guía a ≈15.200 M de ingresos y ≈3.100 M de NPATA, por la normalización de los inventarios de Ig en el canal de EE. UU. (≈300 M), la albúmina en China (≈200 M) y otros ≈150 M, y anunció ≈5.000 M más de deterioros y el relevo del director comercial [17]. </w:t>
      </w:r>
      <w:r>
        <w:rPr>
          <w:b/>
        </w:rPr>
        <w:t xml:space="preserve">En agosto (FY26)</w:t>
      </w:r>
      <w:r>
        <w:t xml:space="preserve"> el tono cambió a «año de reajuste»: la Ig del segundo semestre creció un 7 % interanual en moneda constante, los ahorros llegaron a 176 M, el dividendo se mantuvo en 2,92 USD y se anunció una recompra de 1.150 M AUD; la guía de FY27 es ingresos planos y NPAT subyacente +5 % [6, 9]. Lo que no se ha aclarado: quién será el consejero delegado, cuándo se recupera el margen bruto de Behring (Horizon 2 necesita ensayos clínicos desde mediados de 2027 [22]) y qué pasa con la escisión de Seqirus, aplazada sin fecha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Vifor aún sin consolidar (la compra cerró el 9-ago-2022), pero el balance a 30-jun-2022 ya lleva su financiación: ampliación de 4.988 M, bonos 144A de 4.000 M y 10.436 M de caja [3].; FY2023: CSL Vifor consolidada desde el 9-ago-2022 (pago neto de caja de 10.534 M; contraprestación total de unos 11.648 M por el 100 %): entra en balance y en casi 11 meses de cuenta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La deuda es manejable; el circulante, no tanto.</w:t>
      </w:r>
      <w:r>
        <w:t xml:space="preserve"> La deuda neta (con arrendamientos) es de 9.383 M, 1,8 veces el EBITDA subyacente, dentro del rango objetivo de 1,5-2,0 veces que fijó la empresa [10]; con pensiones, contraprestaciones contingentes y el dividendo final ya pagado, la deuda neta ajustada sube a 10.668 M (2,0 veces). El 84 % es a tipo fijo, con un coste medio del 4,1 % y una vida media de 10 años; la refinanciación será más cara: los bonos de octubre se colocaron al 5,948 % y al 6,201 % [1, 7]. El problema es el circulante: el 42,4 % de las ventas en FY26 frente al 33,0 % de FY21, con 313 días de existencias. La caída del patrimonio de 19.335 a 14.797 M es contable (deterioros)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12.788</w:t>
      </w:r>
      <w:r>
        <w:t xml:space="preserve">, conversión </w:t>
      </w:r>
      <w:r>
        <w:rPr>
          <w:b/>
          <w:bCs/>
        </w:rPr>
        <w:t xml:space="preserve">75 %</w:t>
      </w:r>
      <w:r>
        <w:t xml:space="preserve"> del beneficio neto; adquisiciones 11.479, dividendos 9.983, recompras 1.177.</w:t>
      </w:r>
    </w:p>
    <w:p>
      <w:pPr>
        <w:spacing w:after="100"/>
      </w:pPr>
      <w:r>
        <w:t xml:space="preserve">De FY17 a FY26 CSL generó 12.788 M de flujo libre, el 75 % de su beneficio, y gastó 11.479 M en compras (casi todo Vifor), 9.983 M en dividendos y 1.177 M en recompras. La conversión es baja porque el capex fue muy alto: el 16,2 % de las ventas en FY21 y el 12,7 % en FY23, con la planta de Lengnau y la red de centros de plasma; Lengnau se deterioró en 931 M en FY26 [1]. Desde FY24 el capex ha bajado al 6,4-8,5 % y el flujo libre se ha recuperado: 2.474 M en FY25 y 2.138 M en FY26, este último con ≈339 M de reestructuración en caja [1]. La empresa no separa capex de mantenimiento y de crecimiento; estimación propia: la amortización sin IP adquirida (≈4 % de las ventas) aproxima el de mantenimiento. El consenso espera un flujo libre de 3.147 M en FY27 [71], por encima de lo que proyectamos, porque no cuenta los intangibles ni las altas de derechos de uso como inversión.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(desde FY2024; antes,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rPr>
          <w:b/>
        </w:rPr>
        <w:t xml:space="preserve">Las cuentas son fiables, pero la historia de Vifor obliga a desconfiar de los ajustes.</w:t>
      </w:r>
      <w:r>
        <w:t xml:space="preserve"> Opinión favorable de Deloitte, que sustituyó a Ernst &amp; Young en FY24 tras su renuncia [1, 60]. Los deterioros de FY26 (7.079 M) borran casi todo el fondo de comercio y la IP de Vifor apenas cuatro años después de pagar 19,4 veces el EBITDA [1, 85]. Dos alertas: el fondo de comercio de la compra (6.892 M) se asignó en su mayor parte a Behring y se prueba con sus flujos, así que no aflorará aunque Vifor siga cayendo; y los activos por impuestos diferidos se duplicaron hasta 2.226 M por el ingreso fiscal ligado a los deterioros [1, 8]. La remuneración en acciones es baja (5,6 % del NPATA). Los indicadores del motor: Altman Z de 3,13 (zona segura), Beneish M de −3,30 (sin señal de manipulación) y Piotroski F de 4, que castiga la pérdida contable y el margen bruto a la baja,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7.079 M en FY26, concentrados en lo comprado en 2022 (Vifor)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CSL Vifor (1.700 M, entero) y propiedad intelectual de FERINJECT (1.548), VENOFER (738), MIRCERA (301), VELPHORO (175) y TAVNEOS (166); además sa-mRNA (590), la planta de Lengnau (931) y otros activos fijos. Tipo de descuento después de impuestos 8,3 % (8,0 %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posibles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avisa de deterioros adicionales previsibles de VELPHORO tras el fin del TDAPA en dic-2026; sensibilidades publicadas: -10 % de ingresos en FERINJECT restaría 174 M y en MIRCERA 169 M al valor recuperable; quedan 1.799 M de IP de hierro y 622 M de diálisis de Vifor en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la compra de Vifor asignado en su mayor parte a CSL Behring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generó 6.892 M de fondo de comercio [8]; a jun-25 solo 1.700 M estaban en la UGE de Vifor y el de Behring es de 5.454 M frente a unos 1.187 M de todo el grupo antes de la compra (estimación propia a partir de [1, 3]). Ese fondo de comercio no se ha deteriorado porque se prueba con los flujos de Behring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por impuestos diferidos duplicados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de 1.091 a 2.226 M en FY26 por el ingreso fiscal de 1.101 M ligado a los deterioros; su recuperabilidad depende de beneficios fiscales futuros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M en FY26 (149 M en FY25), un 5,6 % del NPATA subyacente atribuible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se lleva a gastos; solo se capitaliza desarrollo tras la aprobación regulatoria (compromisos regulatorios de productos comercializados, sobre todo vacunas) e IP comprada: altas de intangibles de 622 M en FY26 (pago inicial a VarmX incluido). Intereses capitalizados 54 M (68 M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beneficio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excluye cada año del NPATA la amortización de IP adquirida (379 M antes de impuestos en FY26) y hubo partidas excluidas todos los años desde FY22: costes de Vifor (40 M en FY22, 184 M en FY23, 54 M en FY24), ganancia por ventas (30 M en FY25) y reestructuración (799 M en FY26)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Asuntos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 y valoración de las existencias (6.627 M, con eliminación de márgenes intragrupo) y recuperabilidad del fondo de comercio y de los activos no corrientes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-16,1 % · </w:t>
      </w:r>
      <w:r>
        <w:rPr>
          <w:b/>
          <w:bCs/>
        </w:rPr>
        <w:t xml:space="preserve">WACC</w:t>
      </w:r>
      <w:r>
        <w:t xml:space="preserve">: 8,9 %.</w:t>
      </w:r>
    </w:p>
    <w:p>
      <w:pPr>
        <w:spacing w:after="100"/>
      </w:pPr>
      <w:r>
        <w:rPr>
          <w:b/>
        </w:rPr>
        <w:t xml:space="preserve">CSL ha pasado de crear mucho valor a crear poco.</w:t>
      </w:r>
      <w:r>
        <w:t xml:space="preserve"> El ROIC después de impuestos fue del 21-26 % de FY17 a FY21, más del doble del WACC del 8,86 %. Bajó al 13,6 % en FY23 y al 11,4 % en FY25 por dos causas: la compra de Vifor, que subió el capital invertido de 13.089 a 21.152 M, y la caída del margen bruto de Behring, que no ha recuperado el coste del plasma de la pandemia [1, 8]. En FY26 es negativo (−7,5 %) por los deterioros; con el EBIT subyacente (4.620 M) quedaría cerca del 14 % sobre un capital invertido ya deteriorado (estimación propia) [1]. La rotación (0,43 veces) es la mitad que en FY18 por el circulante y la compra. El ROIC incremental de la década es del −16,1 %: los 11.479 M de Vifor no han rendido. El ROIC publicado por CSL dice lo mismo: 18,2 % en FY22, 11,5 % en FY25 y −9,5 % en FY26 [1]. Grifols, el rival más parecido, tiene un ROIC del 6,5 % [77].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1.513 M a 30-jun-2026 (499 M en depósitos) + líneas bancarias comprometidas no dispuestas de 1.750 M + programa de papel comercial de 750 M sin disponer; 1.003 M de deuda (sin arrendamientos) vence en los 12 meses siguientes y la empresa espera refinanciarla en su mayor parte [1]. En oct-2026 emitió 1.500 M en bonos a 7 y 10 años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268 M a jun-26 (activos 1.544 M, obligaciones 1.812 M); los planes suizos de CSL Behring AG y CSL Vifor AG están cubiertos hasta el techo del activo y el déficit es casi todo de los planes alemanes sin fondos (265 M). Provisiones de 793 M (425 M a jun-25), sobre todo por la reestructuración y por contratos onerosos de compra mínima (148 M). Contraprestaciones contingentes de compras pasadas: 245 M en balance (máximo de 470 M sin descontar). Hitos potenciales no reconocidos de licencias y colaboraciones: hasta 3.153 M. Compromisos de capex: 412 M. Factoring sin recurso: 86 M. La empresa cumple todos los covenants a jun-26 [1].</w:t>
      </w:r>
    </w:p>
    <w:p>
      <w:pPr>
        <w:pStyle w:val="Heading1"/>
      </w:pPr>
      <w:r>
        <w:t xml:space="preserve">12. Asignación de capital</w:t>
      </w:r>
    </w:p>
    <w:p>
      <w:pPr>
        <w:pStyle w:val="Confianza"/>
        <w:spacing w:after="100"/>
      </w:pPr>
      <w:r>
        <w:t xml:space="preserve">Confianza: Media</w:t>
      </w:r>
    </w:p>
    <w:p>
      <w:pPr>
        <w:spacing w:after="100"/>
      </w:pPr>
      <w:r>
        <w:t xml:space="preserve">El marco de nov-2025: invertir primero en productos y operaciones, deuda neta sobre EBITDA de 1,5-2,0 veces, mantener el grado de inversión, dividendo continuado y una recompra plurianual en bolsa [10]. El dividendo de FY26 se mantuvo en 2,92 USD (45 % del NPATA por acción) pese a la pérdida estatutaria [1]. La recompra de 1.000 M AUD se completó en FY26 (724 M USD, 6,4 M de acciones amortizadas) y en agosto se anunció otra de 1.150 M AUD hasta el 30-jun-2027 [1, 68]. La ampliación de Kankakee y Horizon 2 en EE. UU. suma unos 1.500 M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intravenoso y nefrología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6.300 M AUD (4.500 M USD) y plan de compra de 750 M AUD (537 M USD), bonos 144A de 4.000 M a 5-40 años, préstamos bilaterales de 2.500 M y caja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9-ago-2022; 6.892 M de fondo de comercio y 6.706 M de intangibles; minoritarios de 2.144 M [8]. En FY26 se deterioraron 4.845 M en el segmento (fondo de comercio de la UGE 1.700 M entero e IP 3.145 M); guía FY27 de ingresos -25 % por genéricos de hierro, fin del TDAPA de VELPHORO y revocación de TAVNEOS en la UE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Wuhan Zhong Yuan Ruide (China): fraccionador local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352 M por el 80 % más 102 M por el 20 % restante en jun-2018 y contraprestación contingente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395,5 M; da acceso al mercado chino. En FY26 las ventas de albúmina cayeron un 17 % por la contención de costes en China y los ingresos en China y Hong Kong bajaron de 849 a 640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Calimmune (EE. UU.): plataforma de terapia génica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inicial de 82 M más hitos contingentes de 50-325 M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en el año de compra y 12 M de pérdida operativa por la I+D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la tecnología de ARNm autoamplificable (sa-mRNA) de Arcturus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(pagos iniciales e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terminada en FY26: deterioro de 590 M (483 M de IP, 50 M de activos fijos y 57 M de otros gastos) y los hitos potenciales no reconocidos bajan de 7.749 a 3.153 M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VarmX (Países Bajos): VMX-C001, reversión de anticoagulantes orales anti-Xa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pago inicial dentro de los 631 M de intangibles de FY26, con opción de compra de VarmX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 3 iniciada en FY26 [1, 9].</w:t>
            </w:r>
          </w:p>
        </w:tc>
      </w:tr>
    </w:tbl>
    <w:p>
      <w:pPr>
        <w:spacing w:after="160" w:before="0"/>
      </w:pPr>
    </w:p>
    <w:p>
      <w:pPr>
        <w:spacing w:after="100"/>
      </w:pPr>
      <w:r>
        <w:rPr>
          <w:b/>
        </w:rPr>
        <w:t xml:space="preserve">La asignación de capital es el punto débil de la última década.</w:t>
      </w:r>
      <w:r>
        <w:t xml:space="preserve"> Vifor costó 11.665 M en 2022, a 19,4 veces el EBITDA, con una ampliación de 4.988 M y 4.000 M de bonos; cuatro años después se han deteriorado 4.845 M y la guía de FY27 es de −25 % de ingresos [1, 3, 85]. Lengnau (931 M) y la plataforma de ARNm de Arcturus (590 M) se deterioraron el mismo año [1]. El ROIC incremental de FY17-FY26 es del −16,1 % y las acciones diluidas pasaron de 456,4 a 482,0 M. Lo que sí funcionó: Seqirus, comprada a Novartis en 2015 por 275 M [35], aporta 899 M de EBIT de segmento [1]. La recompra actual, a 166-181 AUD, se hace cerca del precio de hoy y por encima de nuestro valor [69]. El nuevo equipo ha cambiado el discurso hacia los costes y la caja [6], pero aún no ha demostrado nada.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(Interim CEO &amp; MD)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33 años en CSL (director financiero y presidente de Seqirus, donde dirigió el giro de tres años del negocio de gripe) [38, 42]. Entró al consejo el 1-dic-2025 como independiente y es consejero delegado interino desde el 11-feb-2026; volverá a ser consejero no ejecutivo cuando se nombre al nuevo CEO [38]. Su revisión de 90 días (11-may-2026) recortó la guía de FY26 a ingresos de ~15.200 M y NPATA de ~3.100 M y anunció ~5.000 M de deterioros adicionales [17]; FY26 cerró con NPATA subyacente de 3.098 M (−2 %) y ahorros de 176 M [6]. 95.811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Lim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2013 (proyectos estratégicos, jefe de estrategia y finanzas de Seqirus, director de estrategia desde ago-2023); antes banquero de inversión en Merrill Lynch y abogado de fusiones [1, 43]. Sustituyó a Joy Linton el 7-oct-2025 [43]. Variable anual de FY26: 25 % del objetivo; su remuneración fija sube un 8 % en FY27 por estar «materialmente por debajo» de la mediana [1]. 2.139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14-feb-2018 y presidente [37]; fue consejero delegado de CSL de 1990 a 2013 y después asesor sénior de KKR [1]. Firmó en el aviso de junta 2026 el reconocimiento de que la compañía acumuló costes fijos, tardó en adaptarse a la competencia y su I+D no dio resultados [38]. Reelegido en 2024 con el 97,04 % a favor [40]. 127.628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Sacristan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(Chief Commercial Officer) de CSL Behring y CSL Vifor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2024; antes dos décadas en Pfizer (presidente de Oncología en EE. UU., presidente regional de mercados desarrollados internacionales) [1]. Sustituye desde el 1-jul-2026 a Andy Schmeltz, que dejó el cargo el 30-jun-2026 y se jubila el 31-dic-2026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general de CSL Seqirus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Seqirus desde abril de 2024; antes siete años como vicepresidente de operaciones comerciales de Seqirus en Norteamérica [1]. La escisión de Seqirus anunciada el 19-ago-2025 se aplazó sin fecha en la junta de oct-2025 [18,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Mary Oates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y directora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desde mayo de 2025 (fabricación, calidad, cadena de suministro); antes responsable de fabricación de vacunas en Sanofi y diversos cargos en Pfizer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(NPAT) dentro de un rango guiado; el rango original de ago-2021 no se ha comprobado en documento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 2.255 M, −6 % a tipos constantes, «en la parte alta de la guía» según la empresa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Ago-2022: NPAT sin Vifor de 2.400-2.500 M a tipos constantes [46]; feb-2023, ya con Vifor: NPATA de 2.700-2.800 M a tipos constantes, reafirmada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2.610 M reportado; 2.860 M a tipos constantes (+20 %)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2.900-3.000 M a tipos constantes; ingresos +9-11 %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2.910 M reportado; 3.010 M a tipos constantes (+15 %)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3.200-3.300 M a tipos constantes (+10-13 %)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atribuible 3.219 M reportado; 3.303 M a tipos constantes (+14 %)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ingresos +4-5 % y NPATA de 3.450-3.550 M a tipos constantes (+7-10 %) [19]; oct-2025 (junta): ingresos +2-3 % y NPATA +4-7 % [18]; feb-2026: mantenida [16]; may-2026: ingresos ~15.200 M y NPATA ~3.100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subyacente 3.098 M (−2 %); pérdida neta de 2.579 M tras reestructuración y deterioros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Medio plazo (día del inversor, 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del beneficio de doble dígito» y mejora del ROIC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con NPATA −2 % [6]; en la junta de oct-2025 la expectativa para FY27-28 bajó a «alto dígito simple» [18]; el día del inversor de nov-2025 fijó ingresos +«mid single-digit» y NPAT +«high single-digit» para FY27-28 [10]; la guía de FY27 (ago-2026) es NPAT subyacente +~5 % con ingresos planos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 (programa de ahorros)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ahorros anuales antes de impuestos de más de 500 M al final de FY28 [19]; nov-2025: hasta ~550 M, con costes únicos de 700-770 M en FY26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~176 M en FY26, «por delante del objetivo»; reestructuración de 799 M antes de impuestos en FY26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(escisión de Seqirus)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escindir CSL Seqirus como sociedad cotizada en la ASX en FY26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Oct-2025: ya no se busca completar la escisión en FY26; aplazada sin fecha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Equipo provisional y credibilidad dañada.</w:t>
      </w:r>
      <w:r>
        <w:t xml:space="preserve"> En doce meses salieron el director financiero (oct-2025), el consejero delegado Paul McKenzie (feb-2026) y el director comercial (jun-2026) [17, 42, 43]. Gordon Naylor, 33 años en CSL (fue director financiero y presidente de Seqirus), es interino [38]; la búsqueda del definitivo está «muy avanzada», sin nombre a la fecha de corte [38]. La guía se cumplió de FY22 a FY25, pero FY26 se rebajó dos veces y cerró con el NPATA un 2 % abajo, la escisión de Seqirus se aplazó sin fecha y el objetivo de crecer a doble dígito pasó a un 5 % [6, 17, 18]. El presidente, Brian McNamee, fue consejero delegado de 1990 a 2013 y su sucesión está anunciada a 12-18 meses [38]. El nombre del nuevo consejero delegado es el dato que más puede mover la acción a corto plazo.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(como CEO)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Cuthbertson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Daniels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Hewson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(presidenta); Auditoría y riesgos;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Samantha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Cameron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Elaine Sorg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Alison Watkins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(presidenta); Gobierno corporativo y nombramientos; Recursos humanos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7,11 % (aviso de dic-2024) a 8,13 % (39.466.383 acciones) el 5-may-2026; aviso del 7-may-2026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5,0004 % (nov-2022) a 6,000 % (23-ene-2026) y a 7,001 % (33.528.035 acciones) el 31-ago-2026; aviso del 4-sep-2026 [47,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33.347.498 acciones más 396.757 ADR según su último aviso (cambio del 29-may-2026, recibido el 3-jun-2026) [1]; porcentaje calculado sobre 478.911.979 acciones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altos directivos (KMP)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335.000 acciones entre consejeros y KMP a 30-jun-2026; McNamee 127.628 y Naylor 95.811 [1] (porcentaje: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amortiza lo que recompra: 6.406.976 acciones compradas entre el 4-sep-2025 y el 5-may-2026 por 1.064 M AUD (724 M USD; precio medio de 166,16 AUD); nueva recompra de 1.100 M AUD anunciada el 18-ago-2026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Daniels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 Saroukos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Cameron Price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Watkins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Gordon Naylor (consejero delegado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Carolyn Hewson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McNamee (presidente),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Cuthbertson, Cameron Price y Costa Saroukos (1.586 derechos cada uno),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Samantha Lewis, Alison Watkins, Carolyn Hewson, Elaine Sorg y Brian Daniels,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Paul McKenzie en FY2025, último ejercicio completo de un consejero delegado: 8,97 M USD según la tabla legal (salario 1,81 M; variable anual 2,79 M; acciones de rendimiento 4,22 M; resto, prestaciones y pensión) [1]. El ratio es una estimación propia: 8,97 M entre un coste medio por empleado de 0,133 M (3.855 M de costes de personal [1] entre algo más de 29.000 empleados [59]). En FY2026 nadie cobró variable anual salvo Lim (25 % del objetivo) y el LTI que vence en sep-2026 paga cero [1]. LTI de FY26: ROIC 70 % y crecimiento del BPA 30 %, a tres años y con un año de bloqueo; desde FY27, TSR relativo frente al ASX 50 sin financieras (50 %) y un grupo farmacéutico global (50 %), del 50 % en la mediana al 100 % en el percentil 75 [1]. El variable anual de FY27 pesa NPAT 50 %, flujo operativo 25 %, ingresos 20 % y sostenibilidad 5 %, con un modificador individual de −50 % a +20 % [1]. Hay política de malus y recuperación (clawback) en el variable anual y en el LTI, aplicable a antiguos directivos; no se usó en FY26 [1]. La salida de McKenzie costó 1,82 M USD en indemnización (no competencia) [1]. Votos en contra del informe de remuneración: 23,04 % en 2023, 26,36 % en 2024 (primer strike) y 42,30 % en 2025 (segundo strike); la resolución de destitución del consejo (spill) se rechazó con un 98,05 % en contra [39, 40, 41].</w:t>
      </w:r>
    </w:p>
    <w:p>
      <w:pPr>
        <w:pStyle w:val="Heading2"/>
      </w:pPr>
      <w:r>
        <w:t xml:space="preserve">Operaciones vinculadas, estructura de control y defensas</w:t>
      </w:r>
    </w:p>
    <w:p>
      <w:pPr>
        <w:spacing w:after="100"/>
      </w:pPr>
      <w:r>
        <w:t xml:space="preserve">Sin accionista de control: los tres mayores accionistas son gestoras de índices (State Street 8,13 %, Vanguard 7,00 %, BlackRock ~6,96 %) [1, 47, 48] y los veinte primeros titulares, casi todos custodios, suman el 70,25 % [1]. Una sola clase de acciones con un voto por acción en votación formal [1]. La única limitación es legal: la CSL Sale Act de 1993 hace que no cuenten los votos de participaciones extranjeras significativas (5 % o más) en el nombramiento o cese de los consejeros de «clase A», e impone restricciones a la propia CSL [1]. Nueve de los diez consejeros son independientes; el presidente es independiente y no hay consejero coordinador, figura que no se usa en Australia [37]. La comisión de auditoría la forman solo independientes y la preside Alison Watkins [37]. Auditor: Deloitte [38]. No hubo préstamos a directivos ni a consejeros en FY26 y no se han encontrado operaciones vinculadas relevantes en el informe anual [1]. Deloitte es auditor desde el 11-oct-2023, tras la renuncia de Ernst &amp; Young [60].</w:t>
      </w:r>
    </w:p>
    <w:p>
      <w:pPr>
        <w:pStyle w:val="Heading2"/>
      </w:pPr>
      <w:r>
        <w:t xml:space="preserve">Señales de alerta</w:t>
      </w:r>
    </w:p>
    <w:p>
      <w:pPr>
        <w:pStyle w:val="ListParagraph"/>
        <w:numPr>
          <w:ilvl w:val="0"/>
          <w:numId w:val="2"/>
        </w:numPr>
        <w:spacing w:after="60"/>
      </w:pPr>
      <w:r>
        <w:t xml:space="preserve">Dos «strikes» seguidos en el informe de remuneración: 26,36 % en contra en 2024 y 42,30 % en 2025; el spill se votó en 2025 y se rechazó con el 98,05 % en contra [39, 40]. El aviso de la junta del 27-oct-2026 no incluye resolución de spill y somete de nuevo el informe a voto consultivo (punto 3), con la reelección de Hewson y la elección de Naylor y Saroukos [38].</w:t>
      </w:r>
    </w:p>
    <w:p>
      <w:pPr>
        <w:pStyle w:val="ListParagraph"/>
        <w:numPr>
          <w:ilvl w:val="0"/>
          <w:numId w:val="2"/>
        </w:numPr>
        <w:spacing w:after="60"/>
      </w:pPr>
      <w:r>
        <w:t xml:space="preserve">El consejo prevé excluir los deterioros de FY26 del ROIC medio de tres años con que se miden los LTI que vencen en sep-2027 y sep-2028 [1]: suaviza el efecto de los deterioros en la remuneración de la cúpula.</w:t>
      </w:r>
    </w:p>
    <w:p>
      <w:pPr>
        <w:pStyle w:val="ListParagraph"/>
        <w:numPr>
          <w:ilvl w:val="0"/>
          <w:numId w:val="2"/>
        </w:numPr>
        <w:spacing w:after="60"/>
      </w:pPr>
      <w:r>
        <w:t xml:space="preserve">El presidente reconoce en el aviso de junta de 2026 errores de gestión: costes fijos excesivos, lentitud ante la competencia, I+D sin resultados e inversiones fallidas [38].</w:t>
      </w:r>
    </w:p>
    <w:p>
      <w:pPr>
        <w:pStyle w:val="ListParagraph"/>
        <w:numPr>
          <w:ilvl w:val="0"/>
          <w:numId w:val="2"/>
        </w:numPr>
        <w:spacing w:after="60"/>
      </w:pPr>
      <w:r>
        <w:t xml:space="preserve">Rotación de la cúpula: CFO relevado en oct-2025, CEO retirado en feb-2026 tras tres años, director comercial relevado en jun-2026; CEO interino y búsqueda de un CEO definitivo «muy avanzada» sin nombre a la fecha de corte [1, 38, 42, 43].</w:t>
      </w:r>
    </w:p>
    <w:p>
      <w:pPr>
        <w:pStyle w:val="ListParagraph"/>
        <w:numPr>
          <w:ilvl w:val="0"/>
          <w:numId w:val="2"/>
        </w:numPr>
        <w:spacing w:after="60"/>
      </w:pPr>
      <w:r>
        <w:t xml:space="preserve">Sucesión del presidente anunciada sin fecha: la presidenta de la comisión de nombramientos se queda para supervisar la sucesión del CEO, del presidente y del consejo en 12-18 meses [38].</w:t>
      </w:r>
    </w:p>
    <w:p>
      <w:pPr>
        <w:pStyle w:val="ListParagraph"/>
        <w:numPr>
          <w:ilvl w:val="0"/>
          <w:numId w:val="2"/>
        </w:numPr>
        <w:spacing w:after="60"/>
      </w:pPr>
      <w:r>
        <w:t xml:space="preserve">Cuatro rebajas o incumplimientos de compromisos en un año: guía de FY26 recortada en oct-2025 y en may-2026, escisión de Seqirus aplazada y abandono del objetivo de crecimiento de doble dígito [10, 17, 18, 19].</w:t>
      </w:r>
    </w:p>
    <w:p>
      <w:pPr>
        <w:pStyle w:val="ListParagraph"/>
        <w:numPr>
          <w:ilvl w:val="0"/>
          <w:numId w:val="2"/>
        </w:numPr>
        <w:spacing w:after="60"/>
      </w:pPr>
      <w:r>
        <w:t xml:space="preserve">Las posiciones cortas declaradas a la ASIC subieron del 0,35 % del capital (6-oct-2025) al 0,65 % (1-jun-2026) y al 1,01 % (5-oct-2026) [56].</w:t>
      </w:r>
    </w:p>
    <w:p>
      <w:pPr>
        <w:pStyle w:val="ListParagraph"/>
        <w:numPr>
          <w:ilvl w:val="0"/>
          <w:numId w:val="2"/>
        </w:numPr>
        <w:spacing w:after="60"/>
      </w:pPr>
      <w:r>
        <w:t xml:space="preserve">Cambio de auditor en oct-2023: Ernst &amp; Young renunció y entró Deloitte [60].</w:t>
      </w:r>
    </w:p>
    <w:p>
      <w:pPr>
        <w:pStyle w:val="ListParagraph"/>
        <w:numPr>
          <w:ilvl w:val="0"/>
          <w:numId w:val="2"/>
        </w:numPr>
        <w:spacing w:after="60"/>
      </w:pPr>
      <w:r>
        <w:t xml:space="preserve">No se ha localizado ninguna demanda colectiva de accionistas por los recortes de guía: revisados los titulares de prensa australiana de los últimos 12 meses (Google News) y los anuncios de la ASX [61]. La prensa sí publicó presión sobre el presidente («Time’s up for CSL’s longstanding chair», The Australian, 11-may-2026) y la contratación de cazatalentos para el CEO (AFR, 30-jun-2026)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(18-ago-2026, a tipos de FY26): ingresos en línea con FY26 y NPAT subyacente +≈5 %; Behring +un dígito medio (Ig +medio-alto), Seqirus +un dígito bajo y Vifor −25 % [6, 9]. Además: ≈300 M de reestructuración en caja, ≈200 M de deterioros y un efecto divisa de ≈−50 M [9]. Ahorros brutos de ≈400 M en FY27 y hasta ≈550 M anuales en FY28, la mitad reinvertidos [9]. A medio plazo, el día del inversor de nov-2025 fijó ingresos +un dígito medio y NPAT +alto dígito simple para FY27-FY28 [10]; la guía de agosto queda por debajo. El consenso de beneficio neto de FY27 (2.822 M) está un 3-5 % por debajo de la guía (estimación propia)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 analistas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106,66 – 150,11</w:t>
            </w:r>
          </w:p>
        </w:tc>
      </w:tr>
    </w:tbl>
    <w:p>
      <w:pPr>
        <w:spacing w:after="160" w:before="0"/>
      </w:pP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rPr>
          <w:b/>
        </w:rPr>
        <w:t xml:space="preserve">Una caída del 69 % y un rebote del 104 %.</w:t>
      </w:r>
      <w:r>
        <w:t xml:space="preserve"> De julio de 2024 a junio de 2026 la acción perdió el 69,3 %: el día de la junta de 2025 (aplazamiento de la escisión y menor guía) cayó un 15,9 % y el de la revisión de 90 días, un 16,0 % [62]. A cinco años rinde un −7,2 % anual frente al +7,7 % del S&amp;P/ASX 200. Desde el mínimo de 90,00 AUD del 3-jun-2026 se ha duplicado hasta 183,84 AUD: subió un 22 % entre el 14 y el 19 de agosto con los resultados de FY26, que fueron mejores que el miedo [62]. La volatilidad (41,5 %) es la de una acción en crisis, no la de una farmacéutica defensiva. Las posiciones cortas casi se triplicaron en un año, hasta el 1,01 % [56]. La beta mensual frente al ASX 200 es baja (0,46) porque la caída fue propia, no del mercado.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CSL cotiza a 14,0 veces el EBITDA de los últimos 12 meses, en el percentil 10 de su década y un 43 % por debajo de su media (24,6 veces); el mínimo fue 9,3 veces en junio de 2026 [62]. El descuento tiene tres causas estructurales: el ROIC ha bajado del 22 % al 11 %, el crecimiento esperado ha pasado del doble dígito al 5 % y el Tesoro a 10 años está en el 5,28 % [65]. Las 25-30 veces de FY19-FY21 eran las de una compañía que crecía al 10 % con un ROIC del 25 %: no son una referencia de vuelta. El PER histórico no sirve en FY26 por la pérdida contable.</w:t>
      </w:r>
    </w:p>
    <w:p>
      <w:pPr>
        <w:pStyle w:val="Heading1"/>
      </w:pPr>
      <w:r>
        <w:t xml:space="preserve">18. Comparables cotizados</w:t>
      </w:r>
    </w:p>
    <w:p>
      <w:pPr>
        <w:pStyle w:val="Confianza"/>
        <w:spacing w:after="100"/>
      </w:pPr>
      <w:r>
        <w:t xml:space="preserve">Confianza: Media</w:t>
      </w:r>
    </w:p>
    <w:p>
      <w:pPr>
        <w:spacing w:after="100"/>
      </w:pPr>
      <w:r>
        <w:t xml:space="preserve">No hay ningún comparable puro de su tamaño. Grifols y ADMA son los únicos fraccionadores de plasma cotizados (Kedrion, BPL y Octapharma no cotizan); Takeda tiene el negocio de plasma de Shire dentro de una farmacéutica diversificada; Sanofi y GSK compiten con Seqirus en vacunas de la gripe; Amgen y Vertex son biotecnológicas grandes de margen alto, y Novo Nordisk, una farmacéutica de una franquicia [74, 75, 76, 77, 78, 79, 80,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10,3x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12,1x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CSL cotiza con prima en todos los múltiplos: 14,0 veces el EBITDA LTM frente a una mediana de 10,3 veces, y 20,5 veces el beneficio de los próximos 12 meses frente a 12,1 veces. La mediana de EV/EBITDA daría 87,22 USD y la de PER 75,96. La prima se explica en parte: CSL tiene márgenes de EBITDA del 33,4 % (mediana del 36,6 %, pero Grifols solo el 22,2 %) y un negocio de plasma sin riesgo de patentes. Pero no crece más que la muestra (0,6 % frente a 4,1 %) ni tiene más ROIC. Sanofi, GSK y Novo cotizan a 7-8 veces por sus vencimientos de patentes y bajan la mediana; Vertex (22,7 veces) y Takeda (PER de 41 por un beneficio deprimido) la suben [74, 75, 76, 77, 78, 79, 80, 81]. Sin regresión útil: con ocho empresas tan distintas el crecimiento no explica el múltiplo. Pesa el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IV y nefrología)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179,25 USD por acción; valor de las acciones 11.700 M USD; contraprestación total ≈12.300 M USD con 540 M CHF de deuda. Ingresos LTM jun-2021 1.971 M USD y EBITDA 634 M USD: 6,2x ventas y 19,4x EBITDA. Prima del 40 % sobre la media ponderada de 60 sesiones [85,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Bioverativ (EE. UU.; hemofilia)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USD por acción en efectivo. Según el asesor de Bioverativ (Guggenheim), 9,7x los ingresos y 21,0x el EBITDA ajustado de 2017e (estimaciones de la dirección); prima del 63,8 % sobre el cierre del 19-ene-2018 (64,11 USD) [83]. Valor empresa: estimación propia con 108,2 M acciones más 3,2 M opciones y RSU × 105 USD.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(Alemania;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valoraba el capital de Biotest en ≈1.600 M EUR y el valor empresa en ≈2.000 M EUR, con una prima de ≈23 % sobre la media de 30 sesiones de las ordinarias [87]; ≈2.347 M USD a 1,1734 USD/EUR del 17-sep-2021 [90]. Cerrada en abril de 2022: 1.091 M EUR a Tiancheng (43 EUR por ordinaria, 37 EUR por preferente y un préstamo de 318 M EUR) y 362 M EUR en la OPA [88]. Múltiplos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(España;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Brookfield (propuesta no vinculante)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indicativa de 6.450 M EUR por todo el capital (10,50 EUR por acción de clase A), ≈6.823 M USD a 1,0578 [90]; el comité de operaciones de Grifols la consideró muy por debajo de su valor y no hubo oferta [89]. Sin valor empresa ni múltiplos publicados; se excluye por no consumarse.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(EE. UU.; vacunas ARNm)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USD por acción en efectivo; 75,6 M acciones y 12,2 M en planes a 9-ago-2021 (≈3.300 M USD de capital, estimación propia) [84]. Plataforma sin ingresos ni EBITDA comparables: se excluye del cálculo.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Solo dos operaciones publican múltiplos: Vifor (19,4 veces el EBITDA, 6,2 veces las ventas, prima del 40 %) y Bioverativ (21,0 y 9,7 veces), ambas a precios de la época de tipos bajos y la primera con un resultado desastroso para el comprador [83, 85]. Biotest se vendió sin múltiplos publicados y la propuesta de Brookfield por Grifols (2024) no prosperó [87, 89]. Con 61.729 M de capitalización, un accionariado disperso y la CSL Sale Act, que limita los derechos de voto de participaciones extranjeras de más del 5 % en el nombramiento de consejeros [1], una opa sobre CSL es improbable; lo plausible es que venda o escinda partes (Seqirus).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FY27e −0,3 %: la guía es de ingresos planos a tipos de FY26 con un efecto divisa de ≈−50 M; Behring sube un dígito medio y Vifor cae un 25 % [9]. El consenso da 15.757 M [71]. FY28e +3,8 % (Vifor deja de restar y la Ig sigue creciendo) y FY29e-FY31e +5,0 %: la Ig crece en volumen al 9 % anual en los siete mercados principales [10], pero los FcRn, Medicare parte D y la albúmina en China lo frenan [9, 34]. Después, convergencia hacia el 3 %. El consenso da +3,5 % en FY28e y +4,3 % en FY29e [71]; el TCAC de FY17-FY26 fue del 9,6 %, con Vifor dentro. El crecimiento medio de 3,7 % queda por debajo de los 7,0 % que se esperan para el mercado de proteínas plasmáticas: Vifor y Seqirus restan.</w:t>
      </w:r>
    </w:p>
    <w:p>
      <w:pPr>
        <w:keepNext/>
        <w:spacing w:after="100"/>
      </w:pPr>
      <w:r>
        <w:rPr>
          <w:b/>
          <w:bCs/>
        </w:rPr>
        <w:t xml:space="preserve">Márgenes.</w:t>
      </w:r>
    </w:p>
    <w:p>
      <w:pPr>
        <w:spacing w:after="100"/>
      </w:pPr>
      <w:r>
        <w:t xml:space="preserve">Margen EBITDA del 32,2 % en FY27e, después de ≈300 M de reestructuración en caja: el subyacente de FY26 fue del 33,4 % [1, 9]. Sube al 34,3 % en FY28e con ≈550 M de ahorros brutos (la mitad reinvertidos) [9] y se queda en el 35,0 % desde FY30e: ≈275 M netos son ≈1,7 puntos sobre el 33,4 %, y no suponemos más mejora porque CSL no ha demostrado poder de precios (prueba de sostenibilidad). Queda por debajo del máximo de FY21 (36,1 %). Lo protegen la recuperación parcial del margen bruto de Behring con las máquinas de Haemonetics y la baja del coste por litro (−15 % desde el pico) [10, 23]; no damos por hecho Horizon 2. Nuestro EBITDA queda un 5,3 % por encima del consenso en FY28e y un 6,7 % en FY29e [71]: el consenso no recoge los ahorros o mantiene costes de reestructuración.</w:t>
      </w:r>
    </w:p>
    <w:p>
      <w:pPr>
        <w:keepNext/>
        <w:spacing w:after="100"/>
      </w:pPr>
      <w:r>
        <w:rPr>
          <w:b/>
          <w:bCs/>
        </w:rPr>
        <w:t xml:space="preserve">Inversión y circulante.</w:t>
      </w:r>
    </w:p>
    <w:p>
      <w:pPr>
        <w:spacing w:after="100"/>
      </w:pPr>
      <w:r>
        <w:t xml:space="preserve">Capex del 9,2 % de las ventas en FY27e que baja al 6,5 % en FY34e: incluye inmovilizado, intangibles (licencias como VarmX y desarrollo capitalizado) y ≈1 % de altas de derechos de uso por los centros de plasma (NIIF 16). En FY26 el capex fue del 8,1 % sin esas altas, y del 6,4-8,5 % en FY24-FY25 [1]. La amortización, del 5,8 % al 5,5 %, incluye la de la IP adquirida (379 M en FY26, a la baja) [1]; en el último año el capex la supera. Circulante del 42 % al 41 %: 42,4 % en FY26 y 33-40 % en la década. Tipo impositivo del 21 %, el subyacente de FY26 (879 M sobre 4.215 M) [6].</w:t>
      </w:r>
    </w:p>
    <w:p>
      <w:pPr>
        <w:keepNext/>
        <w:spacing w:after="100"/>
      </w:pPr>
      <w:r>
        <w:rPr>
          <w:b/>
          <w:bCs/>
        </w:rPr>
        <w:t xml:space="preserve">Coste del capital.</w:t>
      </w:r>
    </w:p>
    <w:p>
      <w:pPr>
        <w:spacing w:after="100"/>
      </w:pPr>
      <w:r>
        <w:t xml:space="preserve">Tasa libre del 5,28 %, el Tesoro de EE. UU. a 10 años del 7-oct-2026, porque los flujos están en dólares [65]; el bono australiano está en el 5,28 % [66]. Beta de 0,78, la mensual a 5 años ajustada de CSL en dólares frente a la sanidad mundial (IXJ); frente al MSCI ACWI sale 0,70 y frente al ASX 200, en AUD, 0,63 [62]. Usamos la sectorial porque la de mercado sale baja por una caída propia de la acción, no por un riesgo menor. Prima de mercado del 5,5 % y sin prima adicional: el 47 % de las ventas está en EE. UU. y casi todo el resto en mercados desarrollados [1]. Coste de la deuda del 6,1 %, el de los bonos de octubre (5,948-6,201 %) [7]; peso de la deuda del 15 % a valor de mercado. WACC del 8,86 %; con la prima implícita del mercado (4,2 %), 8,0 % [67].</w:t>
      </w:r>
    </w:p>
    <w:p>
      <w:pPr>
        <w:keepNext/>
        <w:spacing w:after="100"/>
      </w:pPr>
      <w:r>
        <w:rPr>
          <w:b/>
          <w:bCs/>
        </w:rPr>
        <w:t xml:space="preserve">Valor terminal.</w:t>
      </w:r>
    </w:p>
    <w:p>
      <w:pPr>
        <w:spacing w:after="100"/>
      </w:pPr>
      <w:r>
        <w:t xml:space="preserve">Crecimiento a perpetuidad del 3,0 %: inflación esperada en dólares de unos 2,5 % y medio punto real por demanda de Ig que sigue creciendo en volumen, por debajo de la tasa libre menos medio punto (4,78 %). El múltiplo de salida implícito es de 10,6 veces el EBITDA, cerca de la mediana de los comparables (10,3 veces) y solo por encima del mínimo de la década de CSL (9,3 veces, en el suelo de junio de 2026). Con 12 veces, el valor terminal sería de 94.852 M en vez de 83.838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6.064 M (14 % del NOPAT)</w:t>
            </w:r>
          </w:p>
        </w:tc>
      </w:tr>
    </w:tbl>
    <w:p>
      <w:pPr>
        <w:spacing w:after="160" w:before="0"/>
      </w:pPr>
    </w:p>
    <w:p>
      <w:pPr>
        <w:spacing w:after="100"/>
      </w:pPr>
      <w:r>
        <w:t xml:space="preserve">La proyección apenas necesita inversión neta de la amortización (reinversión acumulada de 6.064 M, el 14 % del NOPAT, con un capex bruto medio del 7,5 %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planos: Behring sube un dígito medio en volumen (≈ 3,6 puntos del grupo) y Seqirus algo; precio plano por la parte D de Medicare, los precios de nación más favorecida para Medicaid desde el 1-sep-2026, la albúmina en China y Kcentra; otros, Vifor −25 % por los genéricos del hierro (≈ −3,8 puntos) y ≈ −50 M de divisa [9, 17, 21].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deja casi de restar; la Ig crece en volumen con el mercado (de 152 a 200 toneladas en FY22-FY25, +9 % anual), pero los FcRn frenan la CIDP [10, 34]. El consenso da +3,5 %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Ig y HAE por debajo del mercado (≈ 7 % previsto); mezcla hacia la SCIg (Hizentra, ≈ 55 % de cuota) y ANDEMBRY [1, 10]. El consenso da +4,3 %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volumen con la red de recogida que ya existe (330 centros y ≈ 10 % más de plasma por donación con los nomogramas) y precio casi plano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FY2030e; en Seqirus, las vacunas adyuvadas y de cultivo celular, las únicas que crecieron en FY26 [9].</w:t>
            </w:r>
          </w:p>
        </w:tc>
      </w:tr>
    </w:tbl>
    <w:p>
      <w:pPr>
        <w:spacing w:after="160" w:before="0"/>
      </w:pPr>
    </w:p>
    <w:p>
      <w:pPr>
        <w:spacing w:after="100"/>
      </w:pPr>
      <w:r>
        <w:t xml:space="preserve">El volumen, sí: CSL es el primer fraccionador (≈30 % del mercado, ≈55 % de la SCIg) en un sector con un CR5 del 80 %, y la Ig crece un 9 % anual en toneladas [1, 10]. Con Behring al 5 % y el mercado al 7 %, su cuota bajaría al ≈23 % en FY2036e (cálculo propio; la cuota es solo de plasma, así que no hay mercado final). La capacidad se pagó en FY17-FY23 (capex del 12-16 % de las ventas); la proyección reinvierte el 14 % del NOPAT. El poder de precios, no: parte D de Medicare, nación más favorecida, China y Kcentra [9, 17, 21]. Por eso el margen se queda en el 35,0 % de los ahorros comprometidos [9].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8,9 %)</w:t>
            </w:r>
          </w:p>
        </w:tc>
      </w:tr>
    </w:tbl>
    <w:p>
      <w:pPr>
        <w:spacing w:after="160" w:before="0"/>
      </w:pPr>
    </w:p>
    <w:p>
      <w:pPr>
        <w:spacing w:after="100"/>
      </w:pPr>
      <w:r>
        <w:t xml:space="preserve">El DCF da 101,84 USD por acción (145,92 AUD), un 20,6 % por debajo del precio, con un 60 % del valor en el terminal. </w:t>
      </w:r>
      <w:r>
        <w:rPr>
          <w:b/>
        </w:rPr>
        <w:t xml:space="preserve">El precio descuenta una CSL que vuelve a crecer como antes.</w:t>
      </w:r>
      <w:r>
        <w:t xml:space="preserve"> El DCF inverso dice que, con nuestros márgenes, el precio pide un crecimiento de las ventas del 6,8 % anual de FY27e a FY36e, frente al 3,7 % de nuestro caso base, al +3,5-4,3 % que da el consenso para FY28e-FY29e y a la guía de ingresos planos de FY27 [9, 71]. Con nuestro crecimiento, pide un margen EBITDA del 40,4 %, más de cuatro puntos por encima de cualquier año de la década (36,1 % en FY21). Lo exigente no es el negocio sino la tasa: la rentabilidad implícita en el precio es del 7,9 %, por debajo de nuestro WACC (8,86 %) y cerca de lo que hoy pide el mercado a una acción de su beta (8,0 %). Con esa prima el DCF da 124,14 USD, un 3 % por debajo del precio. Comprar hoy es aceptar una rentabilidad propia del 7,9 % con un Tesoro al 5,28 % y apostar a que el nuevo equipo recupera el margen de Behring más allá de los ahorros comprometidos.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Behring se queda en el 49-50 % de FY23-FY26: el cambio a las máquinas de Haemonetics cuesta productividad en 2027, Horizon 2 se retrasa y los FcRn quitan Ig en la CIDP. Los precios de nación más favorecida se extienden a Medicare. Crecimiento medio del 1,7 % y margen del 32,0 %: lo que ya pasó de FY23 a FY26.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FY27, ahorros de ≈550 M en FY28 (la mitad reinvertidos) y la Ig creciendo a un dígito medio-alto: crecimiento medio del 3,7 % y margen EBITDA del 35,0 % desde FY30, el que dan los ahorros, por debajo del máximo de FY21.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 2 se aprueba en 2028, las máquinas nuevas y el coste por litro llevan el margen bruto de Behring hacia el 55 %, ANDEMBRY y la Ig sorprenden y Seqirus se escinde con prima. Crecimiento medio del 5,2 % y margen del 37,0 %, por encima del máximo de la década.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99,64 USD (-22,3 %).</w:t>
      </w:r>
    </w:p>
    <w:p>
      <w:pPr>
        <w:spacing w:after="100"/>
      </w:pPr>
      <w:r>
        <w:t xml:space="preserve">La asimetría es mala con nuestro coste de capital: el alcista vale 124,86 USD (−2,7 %) y el bajista 70,01 (−45,4 %), una asimetría de −0,06 veces: ni el escenario bueno da recorrido. El bajista no es cosmético: es prolongar los márgenes de FY23-FY26. Con la prima implícita del mercado (4,2 %) la foto mejora sin dar para comprar: alcista de 151,76 USD, bajista de 84,89 y asimetría de 0,54 veces. Tras subir un 104 % desde junio, el precio ya paga la recuperación.</w:t>
      </w:r>
    </w:p>
    <w:p>
      <w:pPr>
        <w:pStyle w:val="Heading1"/>
      </w:pPr>
      <w:r>
        <w:t xml:space="preserve">22. Suma de partes</w:t>
      </w:r>
    </w:p>
    <w:p>
      <w:pPr>
        <w:pStyle w:val="Confianza"/>
        <w:spacing w:after="100"/>
      </w:pPr>
      <w:r>
        <w:t xml:space="preserve">Confianza: Baja</w:t>
      </w:r>
    </w:p>
    <w:p>
      <w:pPr>
        <w:spacing w:after="100"/>
      </w:pPr>
      <w:r>
        <w:t xml:space="preserve">La suma de partes da 88,54 USD por acción (−31,0 %). Behring sola, a 14 veces su EBIT, vale 64.568 M, el 87 % del valor empresa de mercado (73.907 M); Seqirus aporta 8.091 M y Vifor 7.512 M, pero los 2.143 M de I+D y estructura central restan unos 25.400 M. Sirve para dos cosas: medir la escisión de Seqirus, que vale unos 17 USD por acción (estimación propia: 8.091 M entre 481,13 M de acciones) y no cambia la tesis, y ver que la acción solo se justifica si Behring vale bastante más de 14 veces su EBIT. Los múltiplos son estimación propia a partir de comparables imperfectos: pesa el 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(plasma)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64.568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proteínas plasmáticas con un margen de segmento del 40,5 %. Los dos fraccionadores cotizados puros cotizan a 9,9 veces (Grifols) y 10,6 veces (ADMA) el EBITDA [76, 77]; 14 veces el EBIT (estimación propia) supone una prima por escala y margen, sin llegar a las 19,4 veces el EBITDA pagadas por Vifor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 (vacunas de la gripe)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 y GSK, los rivales en gripe, cotizan a 7,6 y 7,7 veces el EBITDA [79, 81]; la vacunación en EE. UU. está en contracción [18]. 9 veces el EBIT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 (hierro y nefrología)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declive: genéricos del hierro desde el 1-jul-2026 y guía de ingresos de −25 % en FY27 [9, 33]. 6 veces un EBIT que va a bajar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estructura)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de I+D y estructura, capitalizados al múltiplo medio de los tres negocios (80.171 M de valor empresa sobre 6.763 M de EBIT de segmento = 11,85 veces).</w:t>
            </w:r>
          </w:p>
        </w:tc>
      </w:tr>
    </w:tbl>
    <w:p>
      <w:pPr>
        <w:spacing w:after="160" w:before="0"/>
      </w:pPr>
    </w:p>
    <w:p>
      <w:pPr>
        <w:spacing w:after="100"/>
      </w:pPr>
      <w:r>
        <w:rPr>
          <w:b/>
          <w:bCs/>
        </w:rPr>
        <w:t xml:space="preserve">Valor por acción por suma de partes:</w:t>
      </w:r>
      <w:r>
        <w:t xml:space="preserve"> 88,54 (-31,0 %); con ±1x en los múltiplos, 71,46 – 105,62.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97,37 USD (-24,1 % sobre 128,30).</w:t>
      </w:r>
    </w:p>
    <w:p>
      <w:pPr>
        <w:spacing w:after="100"/>
      </w:pPr>
      <w:r>
        <w:t xml:space="preserve">Pesos: DCF 55 %, escenarios 25 %, comparables 10 %, suma de partes 10 % y transacciones 0 %. El DCF manda porque el negocio de plasma es estable y su caja, predecible una vez pasada la reestructuración; los escenarios recogen la incertidumbre sobre el margen de Behring. Los comparables pesan poco: la muestra mezcla farmacéuticas con vencimientos de patentes a 7-8 veces el EBITDA con biotecnológicas a 15-23 veces, y no hay EV/EBITDA de los próximos 12 meses. Las transacciones (Vifor, Bioverativ) llevan prima de control y precios de 2018-2021. Los métodos de negocio se agrupan entre 75,96 y 101,84 USD, todos por debajo del precio; solo el DCF con la prima implícita del mercado (124,14) y el precio objetivo medio de los analistas (128,84) lo alcanzan [72]. La diferencia es la tasa de descuento, no las cifras: nuestras ventas coinciden con el consenso y nuestro EBITDA está por encima.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r>
    </w:tbl>
    <w:p>
      <w:pPr>
        <w:spacing w:after="160" w:before="0"/>
      </w:pPr>
    </w:p>
    <w:p>
      <w:pPr>
        <w:spacing w:after="100"/>
      </w:pPr>
      <w:r>
        <w:rPr>
          <w:b/>
          <w:bCs/>
        </w:rPr>
        <w:t xml:space="preserve">Objetivo a 12 meses (ponderado):</w:t>
      </w:r>
      <w:r>
        <w:t xml:space="preserve"> 135,24 USD (193,78 AUD) · rentabilidad +7,7 % (base +8,0 %) · señal Mantener.</w:t>
      </w:r>
    </w:p>
    <w:p>
      <w:pPr>
        <w:spacing w:after="100"/>
      </w:pPr>
      <w:r>
        <w:t xml:space="preserve">Para comparar, con la regla v2 (historia al cierre, mismo precio): 13,5x / 20,8x / 27,0x, 7,7 % Mantener; con el tope anterior del base (×1,3, 14-oct mediodía): 45,4 % Mantener; con la v3 sin el selector (tope ×1,1): 23,6 % Mantener. Decide la v2, elegida por el selector de método (desrateada: la mediana adelantada (38x) es 1,8 veces el PER de hoy (20,8x); la historia es de otro régimen y decide la v2; METODO-VIGENTE.md).</w:t>
      </w:r>
    </w:p>
    <w:p>
      <w:pPr>
        <w:keepNext/>
        <w:spacing w:after="100"/>
      </w:pPr>
      <w:r>
        <w:rPr>
          <w:b/>
          <w:bCs/>
        </w:rPr>
        <w:t xml:space="preserve">Frente al consenso (solo contraste).</w:t>
      </w:r>
    </w:p>
    <w:p>
      <w:pPr>
        <w:spacing w:after="100"/>
      </w:pPr>
      <w:r>
        <w:t xml:space="preserve">Nuestro BPA base de FY2028e (6,52) se separa un -2,7 % del consenso (6,70) y nuestro precio base (135,62) un +5,3 % del objetivo medio de los analistas (128,84).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97,37 (-24,1 %) frente al objetivo a 12 meses ponderado 135,24 (+7,7 % con dividendo; base +8,0 %).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tercer voto sobre el informe de remuneración (42,30 % en contra en 2025) y elección de Naylor como consejero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alto abre otro ciclo de dos strikes y presiona al presidente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consejero delegado definitivo (búsqueda «muy avanzada»)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plan y la credibilidad; un nombre externo con historial en plasma sería bien recibido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TDAPA de VELPHORO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deterioros de Vifor y menos ventas (393 M en FY26)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(ingresos planos, NPAT subyacente +5 %) y del margen bruto de Behring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30-jun-2027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1.150 M AUD (≈1,3 % del capital)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al precio y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los ensayos clínicos de Horizon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calendario de la mejora de rendimiento del plasma; un retraso aleja la recuperación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las máquinas de aféresis de Terumo a Haemonetics en los centros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productividad durante la transición; luego +10 % de plasma por donación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presidente y decisión sobre la escisión de Seqirus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Seqirus vale ≈17 USD por acción en la suma de partes; su escisión no cambia el valor por sí sola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bruto de Behring no se recupera (49,6 % en FY26 frente al 57,1 % de FY19)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70,01 USD, −31 %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litro −15 % desde el pico, máquinas nuevas (+10 % de plasma por donación), ahorros de ≈550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Behring por debajo del 50 %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Ig por anticuerpos FcRn en CIDP y miastenia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 la CIDP será ≈22 % de los ingresos de Ig en FY28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70 % de los pacientes de CIDP en EE. UU. están bien controlados con Ig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VYVGART y del anti-C2 de argenx en CIDP; Ig de CSL por debajo de un dígito medio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Medicare parte D) y contención de costes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costó ≈200 M de ventas de albúmina en FY26; 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sep-2026 con EE. UU. sin impacto material en FY27; aranceles de la sección 232 sin efecto en el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Extensión del precio de nación más favorecida a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el precio solo se justifica con una rentabilidad exigida del 7,9 %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91,69 USD (−10 %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1.150 M AUD; precio objetivo medio de los analistas de 128,84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gobierno: consejero delegado interino, tercer voto alto sobre la remuneración, dos rebajas de guía en FY26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recuperación de márgenes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diez consejeros independientes; consejo renovado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sin experiencia en plasma o nueva rebaja de la guía de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y caída de Vifor (genéricos del hierro, VELPHORO, revocación de TAVNEOS en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Vifor pesa 7.512 M en la suma de partes, ≈16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recoge −25 % de ingresos en FY27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Vifor por debajo de 1.780 M en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vacunación de la gripe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Seqirus pesa 8.091 M en la suma de partes, ≈17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adyuvadas y cultivo celular (+5 % cada una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recomendación universal del comité asesor de vacunas de EE. UU.</w:t>
            </w:r>
          </w:p>
        </w:tc>
      </w:tr>
    </w:tbl>
    <w:p>
      <w:pPr>
        <w:spacing w:after="160" w:before="0"/>
      </w:pPr>
    </w:p>
    <w:p>
      <w:pPr>
        <w:pStyle w:val="Heading2"/>
      </w:pPr>
      <w:r>
        <w:t xml:space="preserve">Pre-mortem</w:t>
      </w:r>
    </w:p>
    <w:p>
      <w:pPr>
        <w:spacing w:after="100"/>
      </w:pPr>
      <w:r>
        <w:t xml:space="preserve">Octubre de 2029: la acción ha caído un 40 %, a unos 77 USD (110 AUD). La historia más probable empieza en 2027. El cambio de las máquinas de Terumo a Haemonetics en los centros de EE. UU. se alarga y la recogida de plasma baja dos trimestres; Behring tiene que tirar de inventario caro y su margen bruto se queda en el 49 %. Los ensayos de Horizon 2 empiezan en julio de 2027, pero la aprobación se va a 2029. Mientras, argenx consigue la aprobación del anti-C2 en CIDP y los neurólogos de EE. UU. empiezan a pasar pacientes de Ig a FcRn: la Ig de CSL crece un 3 % en vez de un 7 %. El nuevo consejero delegado, que llegó con el mandato de recuperar el crecimiento, gasta en otra compra. El mercado, que pagaba 14 veces un EBITDA que se suponía en recuperación, paga 10 veces uno estancado, como Grifols. Las señales que lo habrían anticipado: el margen bruto de Behring de cada semestre, los litros recogidos (que CSL no publica) y las ventas trimestrales de VYVGART en CIDP.</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25,2, riesgo medio (14.º de 372 en biotecnología)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2021-04</w:t>
            </w:r>
          </w:p>
        </w:tc>
      </w:tr>
    </w:tbl>
    <w:p>
      <w:pPr>
        <w:spacing w:after="160" w:before="0"/>
      </w:pPr>
    </w:p>
    <w:p>
      <w:pPr>
        <w:pStyle w:val="Heading2"/>
      </w:pPr>
      <w:r>
        <w:t xml:space="preserve">Asuntos materiales</w:t>
      </w:r>
    </w:p>
    <w:p>
      <w:pPr>
        <w:spacing w:after="100"/>
      </w:pPr>
      <w:r>
        <w:t xml:space="preserve">Tres asuntos mueven las cifras. </w:t>
      </w:r>
      <w:r>
        <w:rPr>
          <w:b/>
        </w:rPr>
        <w:t xml:space="preserve">Donantes y plasma</w:t>
      </w:r>
      <w:r>
        <w:t xml:space="preserve">: la compensación a los donantes llevó el coste por litro a su máximo en FY22 y explica buena parte del margen [10]; los centros de plasma pasaron 351 inspecciones regulatorias en FY26 [1]. </w:t>
      </w:r>
      <w:r>
        <w:rPr>
          <w:b/>
        </w:rPr>
        <w:t xml:space="preserve">Precio de los medicamentos</w:t>
      </w:r>
      <w:r>
        <w:t xml:space="preserve">: el acuerdo de nación más favorecida con Medicaid, la parte D de Medicare y la contención de costes de China afectan a ingresos [9, 21]. </w:t>
      </w:r>
      <w:r>
        <w:rPr>
          <w:b/>
        </w:rPr>
        <w:t xml:space="preserve">Emisiones</w:t>
      </w:r>
      <w:r>
        <w:t xml:space="preserve">: alcance 1 y 2 de 238 kt de CO2e en FY26 (286 en FY25 y 348 en FY24), un 28 % menos que en FY21 frente al objetivo del 42 % en FY30 validado por SBTi; alcance 3 de 4,29 Mt [1]. Tres fábricas (Kankakee, Broadmeadows y Tullamarine) están en zonas con estrés hídrico previsto para 2030 [1]. Las últimas calificaciones publicadas por la propia empresa son de 2021-2022 (MSCI A, Sustainalytics 25,2) [36].</w:t>
      </w:r>
    </w:p>
    <w:p>
      <w:pPr>
        <w:pStyle w:val="Heading2"/>
      </w:pPr>
      <w:r>
        <w:t xml:space="preserve">Controversias</w:t>
      </w:r>
    </w:p>
    <w:p>
      <w:pPr>
        <w:spacing w:after="100"/>
      </w:pPr>
      <w:r>
        <w:t xml:space="preserve">TAVNEOS: la EMA recomendó el 26-jun-2026 revocar su autorización en la UE por el manejo de datos del ensayo ADVOCATE, realizado por ChemoCentryx antes de la compra de Vifor; CSL dejó de iniciar pacientes nuevos y deterioró el intangible [1, 24]. Productos falsificados: 23 casos confirmados en FY26 [1]. CSL declara pasivos contingentes por litigios ordinarios sin cuantía material [1]. No se ha encontrado ninguna demanda colectiva de accionistas en Australia tras los recortes de guía de 2025-2026 hasta el 9-oct-2026.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bruto perdido (57,1 % en FY19 frente a 49,6 % en FY26) es coste por litro, cuánto mezcla y precio, y cuánto rendimiento? ¿Qué margen bruto espera en FY28 sin Horizon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 el precio pide un margen EBITDA del 40,4 %.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Haemonetics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pérdida de productividad y qué coste prevé en la recogida de plasma durante el cambio de máquinas, y por qué se abandona Rika después de desplegarla en todos los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afectar al volumen y al coste del plasma de 2027-2028, la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Litros y coste por litro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¿Publicará los litros recogidos y el coste por litro en dólares, no como índice?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no se puede seguir la variable que explica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FcRn en CIDP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pacientes de CIDP en Ig ha perdido frente a VYVGART en EE. UU. y qué cuota espera perder en 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CIDP será ≈22 % de los ingresos de Ig, el negocio más rentable.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Vifor en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asignó a Behring la mayor parte de los 6.892 M de fondo de comercio de Vifor y qué sinergias lo justifican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asignación, el deterioro de FY26 habría sido mayor y el ROIC de la compra sería aún peor.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Seqirus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mercado harían volver a la escisión y qué costes de separación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Seqirus vale ≈17 USD por acción en la suma de partes; su escisión libera valor solo si se cotiza con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los deterioros de FY26 del ROIC con el que se miden los LTI de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voto en contra del 42,30 % en 2025, puede provocar otro voto alto en la junta del 27-oct.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e intangibles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capex total, incluidas licencias y desarrollo capitalizado, prevé para FY27-FY28?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un flujo libre de 3.147 M en FY27, por encima de nuestra proyección, que cuenta los intangibles.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91 (66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126: deterioros u otros resultados entre EBITDA y EBIT; explícalo en el comentario. Explicación: CSL define el EBITDA antes de deterioros: los 125,8 M de deterioros de FY22 quedan entre el EBITDA y el EBIT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7.079: deterioros u otros resultados entre EBITDA y EBIT; explícalo en el comentario. Explicación: Los 7.079 M de deterioros de FY26 (Vifor, sa-mRNA, Lengnau) quedan entre el EBITDA y el EBIT por la definición de la propia CSL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42,4 % real: genera una variación de circulante de -84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nota 11 de riesgo financiero: solo da el rating mínimo de las contrapartes (BBB+); 2) Día del inversor de nov-25: solo «mantener el grado de inversión», sin nota ni agencia; 3) Anuncio de la emisión de bonos de 1.500 M del 7-oct-2026 y presentaciones de FY26 y HY26: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 (Vifor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combinaciones de negocios del informe de FY23: solo contraprestación (11.665 M) y asignación del precio; 2) Cuentas de FY22, nota de la compra: financiación y contraprestación, sin EBITDA de Vifor; 3) Presentaciones de resultados FY23-FY26: sin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HY23-HY26: no citan el consenso; 2) Presentaciones de resultados FY24-FY26: no lo citan; 3) Sin transcripción gratuita de las conferencias ni búsquedas web disponibles para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(coste del plasma por litro en USD, centros totales y litros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y presentación de FY26: solo «continued reduction in CPL»; 2) Día del inversor nov-25: índice nominal sin valores (FY19 = 100), -15 % desde el pico y 330 centros que se mantienen; 3) Presentaciones de FY24 y HY25: despliegue de Rika en 84 y 220 centros, sin litros ni coste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(Seqirus 2015, licencia de clazakizumab a Lilly, Alentis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VarmX y Lilly citados sin importes; 2) Cuentas de FY18 y FY20: sin la compra de Seqirus (FY16, fuera de los informes leídos); 3) Presentaciones de FY26 y HY26: sin importes de Alentis ni de Lilly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Octapharma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octapharma.com/news y annualreport.octapharma.com (la página no lista resultados; conexión rechazada); 2) búsquedas web del informe financiero 2025 en inglés y por sitio (solo notas de 2015-2019); 3) nota de 2019 en Business Wire (403) y ficha de Wikipedia (cifra de 2024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del negocio de plasma de Takeda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del ejercicio cerrado en mar-2026 (un solo segmento; no publica resultado de PDT); 2) nota de resultados del 13-may-2026 (solo ingresos de PDT); 3) búsqueda web de márgenes por unidad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Kedrion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kedrion.com, nota de resultados 2025 (403 con WebFetch y con descargar.mjs); 2) búsqueda web en inglés e italiano (solo EBITDA ajustado); 3) BeBeez (sin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valor del mercado de proteínas plasmáticas (MRB)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de Grifols (solo 2024 y la variación desde 2021); 2) día del inversor de CSL nov-2025 (volumen de Ig, no valor); 3) informes del MRB y la PPTA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vacunación de la gripe en EE. UU. 2025-26 según los CDC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panel FluVaxView de los CDC (las cifras solo están en gráficos interactivos); 2) búsqueda web (cifra provisional de un resumen, no verificable en el documento); 3) estimación de CSL basada en reclamaciones a aseguradoras,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vigentes (MSCI, Sustainalytics, ISS, CDP) a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(no cita calificaciones); 2) página de Sustainalytics (sin la ficha de CSL) y búsqueda web (agregadores sin fecha); 3) informe anual 2022 de CSL (MSCI A jun-2022, Sustainalytics 25,2 abr-2021), usado con su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compra de ZLB (2000) y Aventis Behring (2004) en documentos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historia de csl.com (429 con WebFetch y con descargar.mjs); 2) anuncios de la ASX disponibles (desde 2022); 3) Wikipedia (solo en las notas de referencia), usada para los hitos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FY2022 (rango inicial de la guía de ago-2021)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 FY22 (solo dice «en la parte alta de la guía»); 2) listado de anuncios de la ASX (anuncios_asx.tsv empieza en 2022, sin el comunicado de ago-2021); 3) no se derivó del informe anual de FY22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Sacristan, Ross y Oates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(solo incluye a los KMP: Naylor, Lim, Schmeltz, McKenzie y Linton); 2) Appendix 3Y (solo consejeros); 3) declaración de gobierno corporativo (sin tenencias de directivos no KMP)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las revisiones de BPA y ventas son imágenes, sin texto; 2) Stock Analysis: el histórico de estimaciones está tras el muro de pago; 3) Investing: la ficha de consenso solo cubre el ADR con un analista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de EBITDA a 3 años) con WebFetch: límite de uso de la sesión agotado; 2) MarketScreener con descargar.mjs: «fetch failed» (bloquea fuera del navegador); 3) Stock Analysis: el EBITDA estimado está tras el muro de pago; no se mezcla con otro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(Takeda-Shire, Kedrion-BPL, Grifols-GDS, CSL-Novartis gripe)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búsqueda de texto completo (formularios 425 y 6-K de 2018-2022): sin resultados para Takeda-Shire; 2) 6-K de Grifols de 2019-2022: hallados Biotest y Brookfield, no GDS con múltiplos; 3) WebFetch y búsqueda web agotados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(histórico de múltiplos): WebFetch agotado por el límite de la sesión; 2) Stock Analysis: solo da ratios actuales y anuales LTM, no NTM históricos; 3) Yahoo Finance: sin múltiplos históricos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(Statutory Accounts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https://announcements.asx.com.au/asxpdf/20260818/pdf/072vppn8s55bwq.pdf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(Full Year Statutory Accounts for 30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https://announcements.asx.com.au/asxpdf/20240813/pdf/066k220080v8qn.pdf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https://announcements.asx.com.au/asxpdf/20220817/pdf/45cxmv5k7wpryq.pdf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https://announcements.asx.com.au/asxpdf/20200819/pdf/44lmzytxr1v0bs.pdf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30 June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https://announcements.asx.com.au/asxpdf/20180815/pdf/43xblrh7c0m8s8.pdf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https://announcements.asx.com.au/asxpdf/20260818/pdf/072vps0nphgdnj.pdf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prices US$1.5 billion in Corporate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https://announcements.asx.com.au/asxpdf/20261007/pdf/0751343ljhscjd.pdf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(Statutory Accounts for the Full Year Ended 30 June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https://announcements.asx.com.au/asxpdf/20230815/pdf/05smqml9qqm19d.pdf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https://announcements.asx.com.au/asxpdf/20260818/pdf/072vq7zfyd3zhp.pdf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Investor Day (Capital Markets Day),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https://announcements.asx.com.au/asxpdf/20251105/pdf/06rkhf5sjjzzfj.pdf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https://announcements.asx.com.au/asxpdf/20240813/pdf/066k28fphg4kw0.pdf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Investor Presentation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https://announcements.asx.com.au/asxpdf/20250211/pdf/06fcx0rplcp820.pdf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&amp; Investor Presentation HY23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https://announcements.asx.com.au/asxpdf/20230214/pdf/45lksfng5jfjxc.pdf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HY24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https://announcements.asx.com.au/asxpdf/20240213/pdf/060bbpmhvxnl47.pdf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https://announcements.asx.com.au/asxpdf/20250211/pdf/06fcwyntz8ysvl.pdf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https://announcements.asx.com.au/asxpdf/20260211/pdf/06w5hqvnjn14mw.pdf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CEO 90 Day Review and Financial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https://announcements.asx.com.au/asxpdf/20260511/pdf/06zfvkkjj67msw.pdf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General Meeting: Chair and CEO addresses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https://announcements.asx.com.au/asxpdf/20251028/pdf/06r459cngx8vhc.pdf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 and proposed demerger of CSL Seqirus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https://announcements.asx.com.au/asxpdf/20250819/pdf/06n0jm8m4fd1nd.pdf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Section 232 tariffs on pharmaceuticals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https://announcements.asx.com.au/asxpdf/20260407/pdf/06y61z53hg5vkk.pdf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enters agreements with U.S. on drug prices and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https://announcements.asx.com.au/asxpdf/20260901/pdf/073k99l3x34k34.pdf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to launch clinical trials to evaluate enhanced plasma manufacturing (Horizon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https://announcements.asx.com.au/asxpdf/20260729/pdf/07257sm52ttd3q.pdf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U.S. Plasma Collection Network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https://announcements.asx.com.au/asxpdf/20261008/pdf/0753hvwwh91d7n.pdf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TAVNEOS (avacopan) in the European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https://announcements.asx.com.au/asxpdf/20260629/pdf/0713m82rbl5yrk.pdf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Form 20-F 2025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datos XBRL de las cuentas anuales 2015-2024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https://data.sec.gov/api/xbrl/companyfacts/CIK0001438569.json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Form 20-F del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datos XBRL del 10-K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https://data.sec.gov/api/xbrl/companyfacts/CIK0001368514.json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Annual Report 2025, Investor information (financial record)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https://www.gsk.com/media/3rxjw5di/investor-information-2025.pdf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Quarto anno di crescita a doppia cifra dell'ebitda rettificato per Kedrion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BeBeez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https://bebeez.it/private-equity/quarto-anno-di-crescita-a-doppia-cifra-dellebitda-rettificato-per-kedrion-che-nel-2025-ha-investito-155-mln-euro/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GBP),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https://data-api.ecb.europa.eu/service/data/EXR/D.USD+JPY+GBP.EUR.SP00.A?startPeriod=2025-12-29&amp;endPeriod=2026-04-01&amp;format=csvdata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Vifor Pharma and American Regent announce settlement of Injectafer patent litigation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 Vifor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https://newsroom.csl.com/2021-12-20-Vifor-Pharma-and-American-Regent-announce-settlement-of-Injectafer-R-patent-litigation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reports full year 2025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https://www.sec.gov/Archives/edgar/data/1697862/000169786226000010/a09earningspressreleaseq4.htm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https://en.wikipedia.org/wiki/CSL_Limited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Annual Report 2022, sostenibilidad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https://investors.csl.com/annualreport/2022/64/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and Corporate Governance Statement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https://announcements.asx.com.au/asxpdf/20260818/pdf/072vqb8nxjn1v0.pdf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Meeting and Shareholder Pack 2026 (junta del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https://announcements.asx.com.au/asxpdf/20260917/pdf/0745r5xv26f9y2.pdf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Meeting, junta general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https://announcements.asx.com.au/asxpdf/20251028/pdf/06r50047256stf.pdf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2024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https://announcements.asx.com.au/asxpdf/20241029/pdf/069qq03s1xd7p2.pdf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2023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https://announcements.asx.com.au/asxpdf/20231011/pdf/05vy6d65b7hjwj.pdf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McKenzie retires, Gordon Naylor appointed interim CEO &amp; 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https://announcements.asx.com.au/asxpdf/20260210/pdf/06w50ddsl71vnj.pdf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Financial Officer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https://announcements.asx.com.au/asxpdf/20250930/pdf/06pvjmcbthrmn5.pdf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https://announcements.asx.com.au/asxpdf/20240813/pdf/066k266tvm344v.pdf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https://announcements.asx.com.au/asxpdf/20230815/pdf/05smqymnl5xjfj.pdf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https://announcements.asx.com.au/asxpdf/20220817/pdf/45cxnh0spbcvwq.pdf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7,001 %)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https://announcements.asx.com.au/asxpdf/20260904/pdf/073q3zw3ywfj3p.pdf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(State Street Corporation, 8,13 %)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State 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https://announcements.asx.com.au/asxpdf/20260507/pdf/06zcdmpmtynjqh.pdf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6,000 %)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https://announcements.asx.com.au/asxpdf/20260129/pdf/06vp6ylq12rzy9.pdf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Daniels (compra de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https://announcements.asx.com.au/asxpdf/20251124/pdf/06sd49gtq72bk8.pdf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Watkins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https://announcements.asx.com.au/asxpdf/20260518/pdf/06zq2d479x41gq.pdf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Amended Appendix 3Y - Gordon Naylor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https://announcements.asx.com.au/asxpdf/20260528/pdf/0701yqhv9cxx7w.pdf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Carolyn Hewson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https://announcements.asx.com.au/asxpdf/20260605/pdf/070bmqlk8m3sn1.pdf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McNamee (derechos del plan de acciones de consejeros, 26-ago-2026; mismo día para otros ocho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https://announcements.asx.com.au/asxpdf/20260903/pdf/073pldjfknwhk0.pdf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Gordon Naylor (concesión de RSU)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https://announcements.asx.com.au/asxpdf/20260313/pdf/06xdp31sjggvht.pdf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selling: posiciones cortas agregadas diarias (RR20261005, RR20260601, RR20251006)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https://download.asic.gov.au/short-selling/RR20261005-001-SSDailyAggShortPos.csv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Costa Saroukos y Cameron Price (derechos del plan de consejeros,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https://announcements.asx.com.au/asxpdf/20260223/pdf/06wmkfcnrnrt0g.pdf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Capital Markets Day 2023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https://announcements.asx.com.au/asxpdf/20231016/pdf/05w2vc08gfycck.pdf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 (Statutory Accounts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https://announcements.asx.com.au/asxpdf/20250819/pdf/06n0jk4w16g110.pdf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External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https://announcements.asx.com.au/asxpdf/20231011/pdf/05vy6k3r181h7h.pdf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CSL (búsquedas: class action, CEO search, chair),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(AFR, The Australian, Capital Brief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https://news.google.com/rss/search?q=CSL+class+action&amp;hl=en-AU&amp;gl=AU&amp;ceid=AU:en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CSL.AX, ^AXJO (S&amp;P/ASX 200) e IXJ (iShares Global Healthcare)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https://finance.yahoo.com/quote/CSL.AX/history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F11.1 Exchange Rates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https://www.rba.gov.au/statistics/tables/csv/f11.1-data.csv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Australian Dollar Spot Exchange Rate (DEXUSAL)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F2.1 Capital Market Yields – Government Bonds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https://announcements.asx.com.au/asxpdf/20260826/pdf/0738dm029zlbnb.pdf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 Notification of buy-back (Appendix 3C,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https://announcements.asx.com.au/asxpdf/20260924/pdf/074g0k8jmqqkwm.pdf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2A - Application for quotation of securities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https://announcements.asx.com.au/asxpdf/20260908/pdf/073w0069gcnh35.pdf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(AMGN):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https://stockanalysis.com/stocks/amgn/statistics/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Vertex Pharmaceuticals (VRTX):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(ADMA):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(TYO:4502):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(EPA:SAN):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(CPH:NOVO.B):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https://stockanalysis.com/quote/cph/NOVO.B/statistics/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(LON:GSK):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https://www.sec.gov/Archives/edgar/data/1681689/000104746918000655/a2234467zsc14d9.htm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https://www.sec.gov/Archives/edgar/data/1693415/000119312521247021/d117934dsc14d9.htm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tender offer to acquire 100% of Vifor Pharma Ltd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https://announcements.asx.com.au/asxpdf/20211214/pdf/4544v006jl2b8x.pdf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CSL Swiss Tender Acquisition of Vifor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https://announcements.asx.com.au/asxpdf/20211214/pdf/4544v23nzjf6pd.pdf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Biotest AG investment and GIC investment presentation (17-sep-2021)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https://www.sec.gov/Archives/edgar/data/1438569/000110465921116720/tm2124465d4_6k.htm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closing of the acquisition of Tiancheng (Germany) / Biotest (25-abr-2022)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Inside information on Brookfield indicative valuation (19-nov-2024)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https://www.sec.gov/Archives/edgar/data/1438569/000110465924120384/tm2428869d1_6k.htm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89,3 %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de la ASX (CSL), que cotiza en dólares australianos; las cuentas están en dólares de EE. UU. Precio, rango de 52 semanas y precios objetivo se convierten a 0,6979 USD por AUD del 9-oct-2026 (RBA, tabla F11.1) [63]; los cierres de cada ejercicio, al AUD/USD de FRED del 30 de junio [64]. El precio es el cierre del 9-oct-2026 en Sídney (183,84 AUD), con la sesión ya cerrada [62]. Las acciones (481,13 M) son las emitidas tras las altas de septiembre menos las recompradas hasta el 23-sep, más todos los derechos de empleados [68, 69, 70]; el puente es del 30-jun-2026 y resta el dividendo final pagado el 2-oct y las recompras posteriores [1, 6]. El ejercicio cierra el 30 de junio y se nombra por el año en que termina (FY2026 = jul-25 a jun-26). EBITDA con la definición de CSL (antes de deterioros); los costes de reestructuración de FY22-FY26 se devuelven al EBITDA como no recurrentes [1]. CSL publica semestres, no trimestres; en la tabla de resultados recientes la columna de EBITDA es el EBIT subyacente, el único que publica por semestre [13, 14, 15, 16]. Comparables de un solo proveedor (Stock Analysis) sin EV/EBITDA de los próximos 12 meses; consenso de MarketScreener con el BPA en base de NPAT subyacente [71, 73]. Sin transcripciones gratuitas de las conferencias. Segmentos con la segmentación vigente desde FY22 (Vifor desde FY23).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CSL Limited (CSL)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CSL Behring</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8598</c:v>
                </c:pt>
                <c:pt idx="1">
                  <c:v>9290</c:v>
                </c:pt>
                <c:pt idx="2">
                  <c:v>10608</c:v>
                </c:pt>
                <c:pt idx="3">
                  <c:v>11158</c:v>
                </c:pt>
                <c:pt idx="4">
                  <c:v>11387</c:v>
                </c:pt>
              </c:numCache>
            </c:numRef>
          </c:val>
        </c:ser>
        <c:ser>
          <c:idx val="1"/>
          <c:order val="1"/>
          <c:tx>
            <c:strRef>
              <c:f>Hoja1!$C$1</c:f>
              <c:strCache>
                <c:ptCount val="1"/>
                <c:pt idx="0">
                  <c:v>CSL Vifor</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1989</c:v>
                </c:pt>
                <c:pt idx="2">
                  <c:v>2064</c:v>
                </c:pt>
                <c:pt idx="3">
                  <c:v>2234</c:v>
                </c:pt>
                <c:pt idx="4">
                  <c:v>2379</c:v>
                </c:pt>
              </c:numCache>
            </c:numRef>
          </c:val>
        </c:ser>
        <c:ser>
          <c:idx val="2"/>
          <c:order val="2"/>
          <c:tx>
            <c:strRef>
              <c:f>Hoja1!$D$1</c:f>
              <c:strCache>
                <c:ptCount val="1"/>
                <c:pt idx="0">
                  <c:v>CSL Seqirus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1964</c:v>
                </c:pt>
                <c:pt idx="1">
                  <c:v>2031</c:v>
                </c:pt>
                <c:pt idx="2">
                  <c:v>2128</c:v>
                </c:pt>
                <c:pt idx="3">
                  <c:v>2166</c:v>
                </c:pt>
                <c:pt idx="4">
                  <c:v>2031</c:v>
                </c:pt>
              </c:numCache>
            </c:numRef>
          </c:val>
        </c:ser>
        <c:ser>
          <c:idx val="3"/>
          <c:order val="3"/>
          <c:tx>
            <c:strRef>
              <c:f>Hoja1!$E$1</c:f>
              <c:strCache>
                <c:ptCount val="1"/>
                <c:pt idx="0">
                  <c:v>Costes no asignados (I+D y G&amp;A)</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CSL Behring</c:v>
                </c:pt>
                <c:pt idx="1">
                  <c:v>CSL Vifor</c:v>
                </c:pt>
                <c:pt idx="2">
                  <c:v>CSL Seqirus</c:v>
                </c:pt>
                <c:pt idx="3">
                  <c:v>Costes no asignados (I+D y G&amp;A)</c:v>
                </c:pt>
              </c:strCache>
            </c:strRef>
          </c:cat>
          <c:val>
            <c:numRef>
              <c:f>Hoja1!$B$2:$B$5</c:f>
              <c:numCache>
                <c:formatCode>General</c:formatCode>
                <c:ptCount val="4"/>
                <c:pt idx="0">
                  <c:v>72.1</c:v>
                </c:pt>
                <c:pt idx="1">
                  <c:v>15.1</c:v>
                </c:pt>
                <c:pt idx="2">
                  <c:v>12.9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Alemania</c:v>
                </c:pt>
                <c:pt idx="2">
                  <c:v>Australia</c:v>
                </c:pt>
                <c:pt idx="3">
                  <c:v>China y Hong Kong</c:v>
                </c:pt>
                <c:pt idx="4">
                  <c:v>Reino Unido</c:v>
                </c:pt>
                <c:pt idx="5">
                  <c:v>Suiza</c:v>
                </c:pt>
                <c:pt idx="6">
                  <c:v>Resto del mundo</c:v>
                </c:pt>
              </c:strCache>
            </c:strRef>
          </c:cat>
          <c:val>
            <c:numRef>
              <c:f>Hoja1!$B$2:$B$8</c:f>
              <c:numCache>
                <c:formatCode>0"%"</c:formatCode>
                <c:ptCount val="7"/>
                <c:pt idx="0">
                  <c:v>46.8</c:v>
                </c:pt>
                <c:pt idx="1">
                  <c:v>6.8</c:v>
                </c:pt>
                <c:pt idx="2">
                  <c:v>5.8</c:v>
                </c:pt>
                <c:pt idx="3">
                  <c:v>4.1</c:v>
                </c:pt>
                <c:pt idx="4">
                  <c:v>3.3</c:v>
                </c:pt>
                <c:pt idx="5">
                  <c:v>2.1</c:v>
                </c:pt>
                <c:pt idx="6">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(toneladas de inmunoglobulina, siete mercados principales (EE. UU., Francia, Alemania, Italia, España, Reino Unido y Japón), ejercicio de CSL)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FY2022</c:v>
                </c:pt>
                <c:pt idx="1">
                  <c:v>FY2023</c:v>
                </c:pt>
                <c:pt idx="2">
                  <c:v>FY2024</c:v>
                </c:pt>
                <c:pt idx="3">
                  <c:v>FY2025</c:v>
                </c:pt>
              </c:strCache>
            </c:strRef>
          </c:cat>
          <c:val>
            <c:numRef>
              <c:f>Hoja1!$B$2:$B$5</c:f>
              <c:numCache>
                <c:formatCode>#,##0</c:formatCode>
                <c:ptCount val="4"/>
                <c:pt idx="0">
                  <c:v>152</c:v>
                </c:pt>
                <c:pt idx="1">
                  <c:v>162</c:v>
                </c:pt>
                <c:pt idx="2">
                  <c:v>179</c:v>
                </c:pt>
                <c:pt idx="3">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 (Biopharma)</c:v>
                </c:pt>
                <c:pt idx="2">
                  <c:v>Takeda (plasma, PDT)</c:v>
                </c:pt>
                <c:pt idx="3">
                  <c:v>Octapharma</c:v>
                </c:pt>
                <c:pt idx="4">
                  <c:v>Kedrion Biopharma</c:v>
                </c:pt>
                <c:pt idx="5">
                  <c:v>ADMA Biologics</c:v>
                </c:pt>
                <c:pt idx="6">
                  <c:v>Sanofi (vacunas)</c:v>
                </c:pt>
                <c:pt idx="7">
                  <c:v>GSK (vacunas)</c:v>
                </c:pt>
                <c:pt idx="8">
                  <c:v>argenx (sustituto FcRn)</c:v>
                </c:pt>
              </c:strCache>
            </c:strRef>
          </c:cat>
          <c:val>
            <c:numRef>
              <c:f>Hoja1!$B$2:$B$10</c:f>
              <c:numCache>
                <c:formatCode>0.0"%"</c:formatCode>
                <c:ptCount val="9"/>
                <c:pt idx="0">
                  <c:v>-18</c:v>
                </c:pt>
                <c:pt idx="1">
                  <c:v>21.6</c:v>
                </c:pt>
                <c:pt idx="5">
                  <c:v>37.5</c:v>
                </c:pt>
                <c:pt idx="6">
                  <c:v>14.5</c:v>
                </c:pt>
                <c:pt idx="7">
                  <c:v>24.3</c:v>
                </c:pt>
                <c:pt idx="8">
                  <c:v>24.8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6947</c:v>
                </c:pt>
                <c:pt idx="1">
                  <c:v>7915.3</c:v>
                </c:pt>
                <c:pt idx="2">
                  <c:v>8538.6</c:v>
                </c:pt>
                <c:pt idx="3">
                  <c:v>9150.8</c:v>
                </c:pt>
                <c:pt idx="4">
                  <c:v>10310</c:v>
                </c:pt>
                <c:pt idx="5">
                  <c:v>10561.9</c:v>
                </c:pt>
                <c:pt idx="6">
                  <c:v>13310</c:v>
                </c:pt>
                <c:pt idx="7">
                  <c:v>14800</c:v>
                </c:pt>
                <c:pt idx="8">
                  <c:v>15558</c:v>
                </c:pt>
                <c:pt idx="9">
                  <c:v>15797</c:v>
                </c:pt>
                <c:pt idx="10">
                  <c:v>15750</c:v>
                </c:pt>
                <c:pt idx="11">
                  <c:v>16348</c:v>
                </c:pt>
                <c:pt idx="12">
                  <c:v>17165</c:v>
                </c:pt>
                <c:pt idx="13">
                  <c:v>18024</c:v>
                </c:pt>
                <c:pt idx="14">
                  <c:v>18925</c:v>
                </c:pt>
                <c:pt idx="15">
                  <c:v>19777</c:v>
                </c:pt>
                <c:pt idx="16">
                  <c:v>20568</c:v>
                </c:pt>
                <c:pt idx="17">
                  <c:v>21288</c:v>
                </c:pt>
                <c:pt idx="18">
                  <c:v>21926</c:v>
                </c:pt>
                <c:pt idx="19">
                  <c:v>22584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2048.1</c:v>
                </c:pt>
                <c:pt idx="1">
                  <c:v>2677</c:v>
                </c:pt>
                <c:pt idx="2">
                  <c:v>2879.4</c:v>
                </c:pt>
                <c:pt idx="3">
                  <c:v>3136.3</c:v>
                </c:pt>
                <c:pt idx="4">
                  <c:v>3719.6</c:v>
                </c:pt>
                <c:pt idx="5">
                  <c:v>3635.7</c:v>
                </c:pt>
                <c:pt idx="6">
                  <c:v>4253</c:v>
                </c:pt>
                <c:pt idx="7">
                  <c:v>4834</c:v>
                </c:pt>
                <c:pt idx="8">
                  <c:v>5121</c:v>
                </c:pt>
                <c:pt idx="9">
                  <c:v>5282</c:v>
                </c:pt>
                <c:pt idx="10">
                  <c:v>5071</c:v>
                </c:pt>
                <c:pt idx="11">
                  <c:v>5607</c:v>
                </c:pt>
                <c:pt idx="12">
                  <c:v>5974</c:v>
                </c:pt>
                <c:pt idx="13">
                  <c:v>6308</c:v>
                </c:pt>
                <c:pt idx="14">
                  <c:v>6624</c:v>
                </c:pt>
                <c:pt idx="15">
                  <c:v>6922</c:v>
                </c:pt>
                <c:pt idx="16">
                  <c:v>7199</c:v>
                </c:pt>
                <c:pt idx="17">
                  <c:v>7451</c:v>
                </c:pt>
                <c:pt idx="18">
                  <c:v>7674</c:v>
                </c:pt>
                <c:pt idx="19">
                  <c:v>7904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52.1</c:v>
                </c:pt>
                <c:pt idx="1">
                  <c:v>55.4</c:v>
                </c:pt>
                <c:pt idx="2">
                  <c:v>56</c:v>
                </c:pt>
                <c:pt idx="3">
                  <c:v>57.1</c:v>
                </c:pt>
                <c:pt idx="4">
                  <c:v>56.7</c:v>
                </c:pt>
                <c:pt idx="5">
                  <c:v>54.3</c:v>
                </c:pt>
                <c:pt idx="6">
                  <c:v>51.3</c:v>
                </c:pt>
                <c:pt idx="7">
                  <c:v>51.8</c:v>
                </c:pt>
                <c:pt idx="8">
                  <c:v>51.9</c:v>
                </c:pt>
                <c:pt idx="9">
                  <c:v>51.1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29.5</c:v>
                </c:pt>
                <c:pt idx="1">
                  <c:v>33.8</c:v>
                </c:pt>
                <c:pt idx="2">
                  <c:v>33.7</c:v>
                </c:pt>
                <c:pt idx="3">
                  <c:v>34.3</c:v>
                </c:pt>
                <c:pt idx="4">
                  <c:v>36.1</c:v>
                </c:pt>
                <c:pt idx="5">
                  <c:v>34.4</c:v>
                </c:pt>
                <c:pt idx="6">
                  <c:v>32</c:v>
                </c:pt>
                <c:pt idx="7">
                  <c:v>32.7</c:v>
                </c:pt>
                <c:pt idx="8">
                  <c:v>32.9</c:v>
                </c:pt>
                <c:pt idx="9">
                  <c:v>33.4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25.5</c:v>
                </c:pt>
                <c:pt idx="1">
                  <c:v>30.1</c:v>
                </c:pt>
                <c:pt idx="2">
                  <c:v>29.3</c:v>
                </c:pt>
                <c:pt idx="3">
                  <c:v>29.7</c:v>
                </c:pt>
                <c:pt idx="4">
                  <c:v>30.4</c:v>
                </c:pt>
                <c:pt idx="5">
                  <c:v>28.1</c:v>
                </c:pt>
                <c:pt idx="6">
                  <c:v>25.7</c:v>
                </c:pt>
                <c:pt idx="7">
                  <c:v>26.3</c:v>
                </c:pt>
                <c:pt idx="8">
                  <c:v>26.4</c:v>
                </c:pt>
                <c:pt idx="9">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19.3</c:v>
                </c:pt>
                <c:pt idx="1">
                  <c:v>21.8</c:v>
                </c:pt>
                <c:pt idx="2">
                  <c:v>22.5</c:v>
                </c:pt>
                <c:pt idx="3">
                  <c:v>23</c:v>
                </c:pt>
                <c:pt idx="4">
                  <c:v>23</c:v>
                </c:pt>
                <c:pt idx="5">
                  <c:v>21.3</c:v>
                </c:pt>
                <c:pt idx="6">
                  <c:v>16.5</c:v>
                </c:pt>
                <c:pt idx="7">
                  <c:v>17.9</c:v>
                </c:pt>
                <c:pt idx="8">
                  <c:v>19.3</c:v>
                </c:pt>
                <c:pt idx="9">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18.9</c:v>
                </c:pt>
                <c:pt idx="1">
                  <c:v>35.5</c:v>
                </c:pt>
                <c:pt idx="2">
                  <c:v>12.1</c:v>
                </c:pt>
                <c:pt idx="3">
                  <c:v>10.1</c:v>
                </c:pt>
                <c:pt idx="4">
                  <c:v>5.3</c:v>
                </c:pt>
                <c:pt idx="5">
                  <c:v>4.9</c:v>
                </c:pt>
                <c:pt idx="6">
                  <c:v>-1.8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25</c:v>
                </c:pt>
                <c:pt idx="2">
                  <c:v>11</c:v>
                </c:pt>
                <c:pt idx="4">
                  <c:v>5</c:v>
                </c:pt>
                <c:pt idx="6">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61</c:v>
                </c:pt>
                <c:pt idx="1">
                  <c:v>68</c:v>
                </c:pt>
                <c:pt idx="2">
                  <c:v>78</c:v>
                </c:pt>
                <c:pt idx="3">
                  <c:v>68</c:v>
                </c:pt>
                <c:pt idx="4">
                  <c:v>61</c:v>
                </c:pt>
                <c:pt idx="5">
                  <c:v>57</c:v>
                </c:pt>
                <c:pt idx="6">
                  <c:v>61</c:v>
                </c:pt>
                <c:pt idx="7">
                  <c:v>71</c:v>
                </c:pt>
                <c:pt idx="8">
                  <c:v>74</c:v>
                </c:pt>
                <c:pt idx="9">
                  <c:v>82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282</c:v>
                </c:pt>
                <c:pt idx="1">
                  <c:v>278</c:v>
                </c:pt>
                <c:pt idx="2">
                  <c:v>295</c:v>
                </c:pt>
                <c:pt idx="3">
                  <c:v>326</c:v>
                </c:pt>
                <c:pt idx="4">
                  <c:v>309</c:v>
                </c:pt>
                <c:pt idx="5">
                  <c:v>327</c:v>
                </c:pt>
                <c:pt idx="6">
                  <c:v>308</c:v>
                </c:pt>
                <c:pt idx="7">
                  <c:v>305</c:v>
                </c:pt>
                <c:pt idx="8">
                  <c:v>316</c:v>
                </c:pt>
                <c:pt idx="9">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124</c:v>
                </c:pt>
                <c:pt idx="1">
                  <c:v>130</c:v>
                </c:pt>
                <c:pt idx="2">
                  <c:v>137</c:v>
                </c:pt>
                <c:pt idx="3">
                  <c:v>142</c:v>
                </c:pt>
                <c:pt idx="4">
                  <c:v>171</c:v>
                </c:pt>
                <c:pt idx="5">
                  <c:v>174</c:v>
                </c:pt>
                <c:pt idx="6">
                  <c:v>166</c:v>
                </c:pt>
                <c:pt idx="7">
                  <c:v>171</c:v>
                </c:pt>
                <c:pt idx="8">
                  <c:v>169</c:v>
                </c:pt>
                <c:pt idx="9">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386.0999999999999</c:v>
                </c:pt>
                <c:pt idx="1">
                  <c:v>909.4999999999999</c:v>
                </c:pt>
                <c:pt idx="2">
                  <c:v>359.60000000000014</c:v>
                </c:pt>
                <c:pt idx="3">
                  <c:v>1066.0000000000002</c:v>
                </c:pt>
                <c:pt idx="4">
                  <c:v>1890.3000000000002</c:v>
                </c:pt>
                <c:pt idx="5">
                  <c:v>1328.3999999999999</c:v>
                </c:pt>
                <c:pt idx="6">
                  <c:v>829</c:v>
                </c:pt>
                <c:pt idx="7">
                  <c:v>1407</c:v>
                </c:pt>
                <c:pt idx="8">
                  <c:v>2474</c:v>
                </c:pt>
                <c:pt idx="9">
                  <c:v>2138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1337.4</c:v>
                </c:pt>
                <c:pt idx="1">
                  <c:v>1728.9</c:v>
                </c:pt>
                <c:pt idx="2">
                  <c:v>1918.7</c:v>
                </c:pt>
                <c:pt idx="3">
                  <c:v>2102.5</c:v>
                </c:pt>
                <c:pt idx="4">
                  <c:v>2375</c:v>
                </c:pt>
                <c:pt idx="5">
                  <c:v>2254.7</c:v>
                </c:pt>
                <c:pt idx="6">
                  <c:v>2194</c:v>
                </c:pt>
                <c:pt idx="7">
                  <c:v>2642</c:v>
                </c:pt>
                <c:pt idx="8">
                  <c:v>3002</c:v>
                </c:pt>
                <c:pt idx="9">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22.2</c:v>
                </c:pt>
                <c:pt idx="1">
                  <c:v>25.9</c:v>
                </c:pt>
                <c:pt idx="2">
                  <c:v>24.3</c:v>
                </c:pt>
                <c:pt idx="3">
                  <c:v>21.6</c:v>
                </c:pt>
                <c:pt idx="4">
                  <c:v>21.2</c:v>
                </c:pt>
                <c:pt idx="5">
                  <c:v>18.4</c:v>
                </c:pt>
                <c:pt idx="6">
                  <c:v>13.6</c:v>
                </c:pt>
                <c:pt idx="7">
                  <c:v>10.7</c:v>
                </c:pt>
                <c:pt idx="8">
                  <c:v>11.4</c:v>
                </c:pt>
                <c:pt idx="9">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47.7</c:v>
                </c:pt>
                <c:pt idx="2">
                  <c:v>41.1</c:v>
                </c:pt>
                <c:pt idx="3">
                  <c:v>35.7</c:v>
                </c:pt>
                <c:pt idx="4">
                  <c:v>31.9</c:v>
                </c:pt>
                <c:pt idx="5">
                  <c:v>19.6</c:v>
                </c:pt>
                <c:pt idx="6">
                  <c:v>14.5</c:v>
                </c:pt>
                <c:pt idx="7">
                  <c:v>15.9</c:v>
                </c:pt>
                <c:pt idx="8">
                  <c:v>16.4</c:v>
                </c:pt>
                <c:pt idx="9">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1.53</c:v>
                </c:pt>
                <c:pt idx="1">
                  <c:v>1.33</c:v>
                </c:pt>
                <c:pt idx="2">
                  <c:v>1.39</c:v>
                </c:pt>
                <c:pt idx="3">
                  <c:v>1.53</c:v>
                </c:pt>
                <c:pt idx="4">
                  <c:v>1.07</c:v>
                </c:pt>
                <c:pt idx="5">
                  <c:v>-0.21</c:v>
                </c:pt>
                <c:pt idx="6">
                  <c:v>2.51</c:v>
                </c:pt>
                <c:pt idx="7">
                  <c:v>2.18</c:v>
                </c:pt>
                <c:pt idx="8">
                  <c:v>1.82</c:v>
                </c:pt>
                <c:pt idx="9">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c:v>
                </c:pt>
                <c:pt idx="1">
                  <c:v>FY2028</c:v>
                </c:pt>
                <c:pt idx="2">
                  <c:v>FY2029</c:v>
                </c:pt>
                <c:pt idx="3">
                  <c:v>FY2030</c:v>
                </c:pt>
                <c:pt idx="4">
                  <c:v>FY2031</c:v>
                </c:pt>
                <c:pt idx="5">
                  <c:v>FY2032</c:v>
                </c:pt>
                <c:pt idx="6">
                  <c:v>FY2033-FY2038</c:v>
                </c:pt>
                <c:pt idx="7">
                  <c:v>FY2042+</c:v>
                </c:pt>
              </c:strCache>
            </c:strRef>
          </c:cat>
          <c:val>
            <c:numRef>
              <c:f>Hoja1!$B$2:$B$9</c:f>
              <c:numCache>
                <c:formatCode>#,##0</c:formatCode>
                <c:ptCount val="8"/>
                <c:pt idx="0">
                  <c:v>1000</c:v>
                </c:pt>
                <c:pt idx="1">
                  <c:v>1260</c:v>
                </c:pt>
                <c:pt idx="2">
                  <c:v>730</c:v>
                </c:pt>
                <c:pt idx="3">
                  <c:v>710</c:v>
                </c:pt>
                <c:pt idx="4">
                  <c:v>590</c:v>
                </c:pt>
                <c:pt idx="5">
                  <c:v>1350</c:v>
                </c:pt>
                <c:pt idx="6">
                  <c:v>960</c:v>
                </c:pt>
                <c:pt idx="7">
                  <c:v>2750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539.7</c:v>
                </c:pt>
                <c:pt idx="2">
                  <c:v>0</c:v>
                </c:pt>
                <c:pt idx="3">
                  <c:v>17.8</c:v>
                </c:pt>
                <c:pt idx="4">
                  <c:v>0</c:v>
                </c:pt>
                <c:pt idx="5">
                  <c:v>387.7</c:v>
                </c:pt>
                <c:pt idx="6">
                  <c:v>10534</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601.3</c:v>
                </c:pt>
                <c:pt idx="1">
                  <c:v>672.2</c:v>
                </c:pt>
                <c:pt idx="2">
                  <c:v>806.8</c:v>
                </c:pt>
                <c:pt idx="3">
                  <c:v>883.1</c:v>
                </c:pt>
                <c:pt idx="4">
                  <c:v>958</c:v>
                </c:pt>
                <c:pt idx="5">
                  <c:v>1038.7</c:v>
                </c:pt>
                <c:pt idx="6">
                  <c:v>1085</c:v>
                </c:pt>
                <c:pt idx="7">
                  <c:v>1192</c:v>
                </c:pt>
                <c:pt idx="8">
                  <c:v>1334</c:v>
                </c:pt>
                <c:pt idx="9">
                  <c:v>1412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314.9</c:v>
                </c:pt>
                <c:pt idx="1">
                  <c:v>138.4</c:v>
                </c:pt>
                <c:pt idx="2">
                  <c:v>0</c:v>
                </c:pt>
                <c:pt idx="3">
                  <c:v>0</c:v>
                </c:pt>
                <c:pt idx="4">
                  <c:v>0</c:v>
                </c:pt>
                <c:pt idx="5">
                  <c:v>0</c:v>
                </c:pt>
                <c:pt idx="6">
                  <c:v>0</c:v>
                </c:pt>
                <c:pt idx="7">
                  <c:v>0</c:v>
                </c:pt>
                <c:pt idx="8">
                  <c:v>0</c:v>
                </c:pt>
                <c:pt idx="9">
                  <c:v>724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State Street Corporation y filiales</c:v>
                </c:pt>
                <c:pt idx="1">
                  <c:v>Vanguard Group</c:v>
                </c:pt>
                <c:pt idx="2">
                  <c:v>BlackRock Group</c:v>
                </c:pt>
                <c:pt idx="3">
                  <c:v>Consejeros y altos directivos (KMP)</c:v>
                </c:pt>
                <c:pt idx="4">
                  <c:v>Autocartera</c:v>
                </c:pt>
              </c:strCache>
            </c:strRef>
          </c:cat>
          <c:val>
            <c:numRef>
              <c:f>Hoja1!$B$2:$B$6</c:f>
              <c:numCache>
                <c:formatCode>0.0"%"</c:formatCode>
                <c:ptCount val="5"/>
                <c:pt idx="0">
                  <c:v>8.13</c:v>
                </c:pt>
                <c:pt idx="1">
                  <c:v>7</c:v>
                </c:pt>
                <c:pt idx="2">
                  <c:v>6.96</c:v>
                </c:pt>
                <c:pt idx="3">
                  <c:v>0.07</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c:v>
                </c:pt>
                <c:pt idx="1">
                  <c:v>42.7</c:v>
                </c:pt>
                <c:pt idx="2">
                  <c:v>32.6</c:v>
                </c:pt>
                <c:pt idx="3">
                  <c:v>50.8</c:v>
                </c:pt>
                <c:pt idx="4">
                  <c:v>3.7</c:v>
                </c:pt>
                <c:pt idx="5">
                  <c:v>3.7</c:v>
                </c:pt>
                <c:pt idx="6">
                  <c:v>0.1</c:v>
                </c:pt>
                <c:pt idx="7">
                  <c:v>0.9</c:v>
                </c:pt>
                <c:pt idx="8">
                  <c:v>-0.4</c:v>
                </c:pt>
                <c:pt idx="9">
                  <c:v>-37.5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11.6</c:v>
                </c:pt>
                <c:pt idx="1">
                  <c:v>11.5</c:v>
                </c:pt>
                <c:pt idx="2">
                  <c:v>-2.9</c:v>
                </c:pt>
                <c:pt idx="3">
                  <c:v>23.2</c:v>
                </c:pt>
                <c:pt idx="4">
                  <c:v>1.9</c:v>
                </c:pt>
                <c:pt idx="5">
                  <c:v>16.7</c:v>
                </c:pt>
                <c:pt idx="6">
                  <c:v>-1.3</c:v>
                </c:pt>
                <c:pt idx="7">
                  <c:v>12.2</c:v>
                </c:pt>
                <c:pt idx="8">
                  <c:v>12.6</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25.1</c:v>
                </c:pt>
                <c:pt idx="1">
                  <c:v>25.5</c:v>
                </c:pt>
                <c:pt idx="2">
                  <c:v>25.2</c:v>
                </c:pt>
                <c:pt idx="3">
                  <c:v>30.3</c:v>
                </c:pt>
                <c:pt idx="4">
                  <c:v>27.3</c:v>
                </c:pt>
                <c:pt idx="5">
                  <c:v>23.8</c:v>
                </c:pt>
                <c:pt idx="6">
                  <c:v>24</c:v>
                </c:pt>
                <c:pt idx="7">
                  <c:v>22.4</c:v>
                </c:pt>
                <c:pt idx="8">
                  <c:v>17.2</c:v>
                </c:pt>
                <c:pt idx="9">
                  <c:v>9.3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24.6</c:v>
                </c:pt>
                <c:pt idx="1">
                  <c:v>24.6</c:v>
                </c:pt>
                <c:pt idx="2">
                  <c:v>24.6</c:v>
                </c:pt>
                <c:pt idx="3">
                  <c:v>24.6</c:v>
                </c:pt>
                <c:pt idx="4">
                  <c:v>24.6</c:v>
                </c:pt>
                <c:pt idx="5">
                  <c:v>24.6</c:v>
                </c:pt>
                <c:pt idx="6">
                  <c:v>24.6</c:v>
                </c:pt>
                <c:pt idx="7">
                  <c:v>24.6</c:v>
                </c:pt>
                <c:pt idx="8">
                  <c:v>24.6</c:v>
                </c:pt>
                <c:pt idx="9">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c:v>
                </c:pt>
                <c:pt idx="2">
                  <c:v>Takeda</c:v>
                </c:pt>
                <c:pt idx="3">
                  <c:v>Sanofi</c:v>
                </c:pt>
                <c:pt idx="4">
                  <c:v>Novo Nordisk</c:v>
                </c:pt>
                <c:pt idx="5">
                  <c:v>GSK</c:v>
                </c:pt>
                <c:pt idx="6">
                  <c:v>Amgen</c:v>
                </c:pt>
                <c:pt idx="7">
                  <c:v>Vertex</c:v>
                </c:pt>
                <c:pt idx="8">
                  <c:v>ADMA Biologics</c:v>
                </c:pt>
              </c:strCache>
            </c:strRef>
          </c:cat>
          <c:val>
            <c:numRef>
              <c:f>Hoja1!$B$2:$B$10</c:f>
              <c:numCache>
                <c:formatCode>0.0"x"</c:formatCode>
                <c:ptCount val="9"/>
                <c:pt idx="0">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Vifor Pharma (Suiza; hierro IV y nefrología)</c:v>
                </c:pt>
                <c:pt idx="1">
                  <c:v>Bioverativ (EE. UU.; hemofilia)</c:v>
                </c:pt>
                <c:pt idx="2">
                  <c:v>Biotest (Alemania; plasma)</c:v>
                </c:pt>
                <c:pt idx="3">
                  <c:v>Grifols (España; plasma)</c:v>
                </c:pt>
                <c:pt idx="4">
                  <c:v>Translate Bio (EE. UU.; vacunas ARNm)</c:v>
                </c:pt>
              </c:strCache>
            </c:strRef>
          </c:cat>
          <c:val>
            <c:numRef>
              <c:f>Hoja1!$B$2:$B$6</c:f>
              <c:numCache>
                <c:formatCode>0.0"x"</c:formatCode>
                <c:ptCount val="5"/>
                <c:pt idx="0">
                  <c:v>19.4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2833</c:v>
                </c:pt>
                <c:pt idx="1">
                  <c:v>2936</c:v>
                </c:pt>
                <c:pt idx="2">
                  <c:v>3155</c:v>
                </c:pt>
                <c:pt idx="3">
                  <c:v>3448</c:v>
                </c:pt>
                <c:pt idx="4">
                  <c:v>3755</c:v>
                </c:pt>
                <c:pt idx="5">
                  <c:v>4003</c:v>
                </c:pt>
                <c:pt idx="6">
                  <c:v>4243</c:v>
                </c:pt>
                <c:pt idx="7">
                  <c:v>4453</c:v>
                </c:pt>
                <c:pt idx="8">
                  <c:v>4629</c:v>
                </c:pt>
                <c:pt idx="9">
                  <c:v>4768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24445</c:v>
                </c:pt>
                <c:pt idx="1">
                  <c:v>36729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70.01</c:v>
                </c:pt>
                <c:pt idx="1">
                  <c:v>101.84</c:v>
                </c:pt>
                <c:pt idx="2">
                  <c:v>124.86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