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Experian plc</w:t>
      </w:r>
    </w:p>
    <w:p>
      <w:pPr>
        <w:spacing w:after="60"/>
        <w:rPr>
          <w:color w:val="52514E"/>
          <w:sz w:val="22"/>
          <w:szCs w:val="22"/>
        </w:rPr>
      </w:pPr>
      <w:r>
        <w:rPr>
          <w:color w:val="52514E"/>
          <w:sz w:val="22"/>
          <w:szCs w:val="22"/>
        </w:rPr>
        <w:t xml:space="preserve">EXPN (LSE) · London Stock Exchange · ISIN GB00B19NLV48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33,18 USD (2.457,78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37,68 USD (2.791,11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+11,5 %)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42,03 USD (3.113,33 GBp) · mercado 48,97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30.028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Experian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EXPN (LSE) / GB00B19NLV48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profesionales: datos y analítica de crédito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www.experianplc.com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33,18 (2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30.028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35.208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37,68 USD (2.791,11 GBp)</w:t>
      </w:r>
      <w:r>
        <w:t xml:space="preserve"> frente a 33,18 (2.457,78 GBp) · Rentabilidad a 12 meses </w:t>
      </w:r>
      <w:r>
        <w:rPr>
          <w:b/>
          <w:bCs/>
        </w:rPr>
        <w:t xml:space="preserve">+15,6 % (base +11,5 %)</w:t>
      </w:r>
      <w:r>
        <w:t xml:space="preserve"> · Valor intrínseco 42,03 USD (3.113,33 GBp) · con la prima implícita del mercado: 48,97 (3.627,41 GBp) (+47,6 %) · Alcista / bajista +44,8 % / -5,1 %</w:t>
      </w:r>
    </w:p>
    <w:p>
      <w:pPr>
        <w:spacing w:after="100"/>
      </w:pPr>
      <w:r>
        <w:rPr>
          <w:b/>
        </w:rPr>
        <w:t xml:space="preserve">La recomendación y por qué.</w:t>
      </w:r>
      <w:r>
        <w:t xml:space="preserve"> Mantener, con convicción media y a medio punto de Comprar. Con nuestro BPA y la regla común de múltiplos, el objetivo a 12 meses es de 37,68 USD (≈2.791 p) frente a 33,18 USD (2.457,5 p, recompra del 2 de octubre): +15,6 % con el dividendo y +11,5 % en el caso base. Pasa el umbral de la ponderada (15 %) pero no el del base (12 %). El valor intrínseco es de 42,03 USD (≈3.113 p, +26,7 %). Compraríamos por debajo de 33,04 USD (≈2.447 p), prácticamente el precio de hoy, o si los semestrales del 18 de noviembre devuelven el orgánico al 8 %.</w:t>
      </w:r>
    </w:p>
    <w:p>
      <w:pPr>
        <w:spacing w:after="100"/>
      </w:pPr>
      <w:r>
        <w:rPr>
          <w:b/>
        </w:rPr>
        <w:t xml:space="preserve">El negocio.</w:t>
      </w:r>
      <w:r>
        <w:t xml:space="preserve"> El mayor buró de crédito del mundo: 8.450 M USD de ingresos en el FY26 (a marzo de 2026), 44 % de lo que facturan los tres grandes [1, 21, 25]. Vende datos de crédito propios, software de decisión, prevención del fraude y servicios al consumidor. ROIC del 17,9 % frente a un WACC del 9,15 %: 8,8 puntos de creación de valor.</w:t>
      </w:r>
    </w:p>
    <w:p>
      <w:pPr>
        <w:spacing w:after="100"/>
      </w:pPr>
      <w:r>
        <w:rPr>
          <w:b/>
        </w:rPr>
        <w:t xml:space="preserve">Finanzas.</w:t>
      </w:r>
      <w:r>
        <w:t xml:space="preserve"> Ingresos +8,2 % anual y BPA benchmark +9,1 % anual desde el FY19; en el FY26, +13 % de ingresos (8 % orgánico), margen EBIT del 28,6 % y BPA de 1,80 USD (+15 %) [1, 6]. Deuda neta de 5.180 M, 1,7 veces el EBITDA, y recompra de 1.000 M USD en curso [7]. El 1T FY27 creció un 7 % orgánico, con Consumer Services frenado (+2 %) [8].</w:t>
      </w:r>
    </w:p>
    <w:p>
      <w:pPr>
        <w:spacing w:after="100"/>
      </w:pPr>
      <w:r>
        <w:rPr>
          <w:b/>
        </w:rPr>
        <w:t xml:space="preserve">Valoración.</w:t>
      </w:r>
      <w:r>
        <w:t xml:space="preserve"> A 15,5 veces el BPA de los próximos 12 meses, Experian cotiza a la mitad de su mediana de cinco años (29,4x) y por debajo de Equifax (17,8x) y de la mediana de la muestra (20,9x). El DCF da 41,38 USD y el DCF inverso dice que el precio descuenta un crecimiento del 4,3 % anual frente al 6,8 % de nuestro base. Nuestro base a 12 meses queda un 34 % por debajo del objetivo medio de los analistas (55,18 USD, ≈4.087 p): el BPA es casi el mismo; la diferencia es el múltiplo.</w:t>
      </w:r>
    </w:p>
    <w:p>
      <w:pPr>
        <w:spacing w:after="100"/>
      </w:pPr>
      <w:r>
        <w:rPr>
          <w:b/>
        </w:rPr>
        <w:t xml:space="preserve">Riesgos y catalizadores.</w:t>
      </w:r>
      <w:r>
        <w:t xml:space="preserve"> El riesgo es que la IA y las puntuaciones alternativas abaraten la consulta de crédito; las cifras aún no lo muestran. El sentimiento está dividido y empeora: el debate gira en torno a la IA, no a los resultados [55, 58]. Catalizador: los semestrales del 18 de noviembre.</w:t>
      </w:r>
    </w:p>
    <w:p>
      <w:pPr>
        <w:spacing w:after="100"/>
      </w:pPr>
      <w:r>
        <w:rPr>
          <w:b/>
        </w:rPr>
        <w:t xml:space="preserve">Qué ha cambiado.</w:t>
      </w:r>
      <w:r>
        <w:t xml:space="preserve"> Primer análisis de Experian; el informe de Equifax del 8 de octubre ya la usaba como comparable (17,4x de PER entonces). Las cifras salen de extractos de búsqueda y no de los documentos completos, de ahí la convicción media.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37,68 USD (2.791,11 GBp)</w:t>
      </w:r>
      <w:r>
        <w:t xml:space="preserve"> (rentabilidad +15,6 % (base +11,5 %)) · Valor intrínseco: 42,03 USD (3.113,33 GBp) (+26,7 % sobre 33,18) · con la prima implícita del mercado: 48,97 (3.627,41 GBp) (+47,6 %)</w:t>
      </w:r>
    </w:p>
    <w:p>
      <w:pPr>
        <w:spacing w:after="100"/>
      </w:pPr>
      <w:r>
        <w:t xml:space="preserve">Experian es el buró de mejor calidad (más margen y ROIC que Equifax y TransUnion) y cotiza al PER más bajo de su historia reciente por el miedo a la IA, que las cifras aún no confirman. A 12 meses la regla común, que toma el PER actual, deja el base en +11,5 %: a medio punto de comprar. El valor existe; el catalizador es que el crecimiento orgánico se mantenga en el 7-8 %.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 USD (2.791,11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2,29 = 28,63 · 14,7x × 2,47 = 36,31 · 19,1x × 2,59 = 49,47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(27,7x) es 1,9 veces el PER de hoy (14,7x);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 (nuestro base -34,2 %)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 USD (3.113,33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0,0135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 USD (2.457,78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 /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 USD (3.627,41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33,04 (2.447,41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33,04 y 42,64 (2.447,41 y 3.158,52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42,64 (3.158,52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33,04 USD (≈2.447 p) con el mismo BPA, pasaríamos a Comprar (ponderada ≥ 15 % y base ≥ 12 %).</w:t>
      </w:r>
    </w:p>
    <w:p>
      <w:pPr>
        <w:pStyle w:val="ListParagraph"/>
        <w:numPr>
          <w:ilvl w:val="0"/>
          <w:numId w:val="2"/>
        </w:numPr>
        <w:spacing w:after="60"/>
      </w:pPr>
      <w:r>
        <w:t xml:space="preserve">Si los semestrales suben la guía orgánica o el BPA, subiríamos el base y podríamos pasar a Comprar.</w:t>
      </w:r>
    </w:p>
    <w:p>
      <w:pPr>
        <w:pStyle w:val="ListParagraph"/>
        <w:numPr>
          <w:ilvl w:val="0"/>
          <w:numId w:val="2"/>
        </w:numPr>
        <w:spacing w:after="60"/>
      </w:pPr>
      <w:r>
        <w:t xml:space="preserve">Si el precio sube por encima de 42,64 USD (≈3.159 p) sin mejora del beneficio, la ponderada caería a −10 % y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recorta a la mitad el crecimiento: 4,3 % anual implícito frente al 8 % orgánico del FY26, y un PER de 14,7x sobre el BPA del FY28e.</w:t>
      </w:r>
    </w:p>
    <w:p>
      <w:pPr>
        <w:keepNext/>
        <w:spacing w:after="100"/>
      </w:pPr>
      <w:r>
        <w:rPr>
          <w:b/>
          <w:bCs/>
        </w:rPr>
        <w:t xml:space="preserve">Lo que creemos nosotros.</w:t>
      </w:r>
    </w:p>
    <w:p>
      <w:pPr>
        <w:spacing w:after="100"/>
      </w:pPr>
      <w:r>
        <w:t xml:space="preserve">El dato propio de los prestamistas no se replica con IA; el crecimiento orgánico se mantendrá en el 7-8 % y el BPA crecerá a doble dígito. No suponemos que el múltiplo vuelva a 25-30x en 12 meses.</w:t>
      </w:r>
    </w:p>
    <w:p>
      <w:pPr>
        <w:keepNext/>
        <w:spacing w:after="100"/>
      </w:pPr>
      <w:r>
        <w:rPr>
          <w:b/>
          <w:bCs/>
        </w:rPr>
        <w:t xml:space="preserve">Por qué podemos tener razón.</w:t>
      </w:r>
    </w:p>
    <w:p>
      <w:pPr>
        <w:spacing w:after="100"/>
      </w:pPr>
      <w:r>
        <w:t xml:space="preserve">Más del 90 % de los ingresos son de datos propios y los contratos se renuevan a más plazo (4-10 años) [55, 57]; B2B creció un 9 % orgánico en el 1T FY27 [8].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17,9 % y margen EBIT del 28,6 %, los mejores de los tres burós [1].</w:t>
      </w:r>
    </w:p>
    <w:p>
      <w:pPr>
        <w:pStyle w:val="ListParagraph"/>
        <w:numPr>
          <w:ilvl w:val="0"/>
          <w:numId w:val="2"/>
        </w:numPr>
        <w:spacing w:after="60"/>
      </w:pPr>
      <w:r>
        <w:rPr>
          <w:b/>
        </w:rPr>
        <w:t xml:space="preserve">Precio</w:t>
      </w:r>
      <w:r>
        <w:t xml:space="preserve">: 15,5x el BPA de los próximos 12 meses, la mitad de su mediana de cinco años (29,4x).</w:t>
      </w:r>
    </w:p>
    <w:p>
      <w:pPr>
        <w:pStyle w:val="ListParagraph"/>
        <w:numPr>
          <w:ilvl w:val="0"/>
          <w:numId w:val="2"/>
        </w:numPr>
        <w:spacing w:after="60"/>
      </w:pPr>
      <w:r>
        <w:rPr>
          <w:b/>
        </w:rPr>
        <w:t xml:space="preserve">Recompra</w:t>
      </w:r>
      <w:r>
        <w:t xml:space="preserve">: 1.000 M USD hasta junio de 2027, un 3 % del capital a estos precios [1].</w:t>
      </w:r>
    </w:p>
    <w:p>
      <w:pPr>
        <w:pStyle w:val="ListParagraph"/>
        <w:numPr>
          <w:ilvl w:val="0"/>
          <w:numId w:val="2"/>
        </w:numPr>
        <w:spacing w:after="60"/>
      </w:pPr>
      <w:r>
        <w:rPr>
          <w:b/>
        </w:rPr>
        <w:t xml:space="preserve">Crecimiento intacto</w:t>
      </w:r>
      <w:r>
        <w:t xml:space="preserve">: 8 % orgánico en el FY26 y 7 % en el 1T FY27; guía de BPA a doble dígito [1, 8].</w:t>
      </w:r>
    </w:p>
    <w:p>
      <w:pPr>
        <w:pStyle w:val="Heading2"/>
      </w:pPr>
      <w:r>
        <w:t xml:space="preserve">En contra</w:t>
      </w:r>
    </w:p>
    <w:p>
      <w:pPr>
        <w:pStyle w:val="ListParagraph"/>
        <w:numPr>
          <w:ilvl w:val="0"/>
          <w:numId w:val="2"/>
        </w:numPr>
        <w:spacing w:after="60"/>
      </w:pPr>
      <w:r>
        <w:rPr>
          <w:b/>
        </w:rPr>
        <w:t xml:space="preserve">Riesgo de la IA</w:t>
      </w:r>
      <w:r>
        <w:t xml:space="preserve">: el mercado lo descuenta y puede tener razón a largo plazo en las consultas de menos valor.</w:t>
      </w:r>
    </w:p>
    <w:p>
      <w:pPr>
        <w:pStyle w:val="ListParagraph"/>
        <w:numPr>
          <w:ilvl w:val="0"/>
          <w:numId w:val="2"/>
        </w:numPr>
        <w:spacing w:after="60"/>
      </w:pPr>
      <w:r>
        <w:rPr>
          <w:b/>
        </w:rPr>
        <w:t xml:space="preserve">Consumer Services frenado</w:t>
      </w:r>
      <w:r>
        <w:t xml:space="preserve">: +2 % en el 1T FY27 [8].</w:t>
      </w:r>
    </w:p>
    <w:p>
      <w:pPr>
        <w:pStyle w:val="ListParagraph"/>
        <w:numPr>
          <w:ilvl w:val="0"/>
          <w:numId w:val="2"/>
        </w:numPr>
        <w:spacing w:after="60"/>
      </w:pPr>
      <w:r>
        <w:rPr>
          <w:b/>
        </w:rPr>
        <w:t xml:space="preserve">Divisa</w:t>
      </w:r>
      <w:r>
        <w:t xml:space="preserve">: cotiza en libras e informa en dólares.</w:t>
      </w:r>
    </w:p>
    <w:p>
      <w:pPr>
        <w:pStyle w:val="ListParagraph"/>
        <w:numPr>
          <w:ilvl w:val="0"/>
          <w:numId w:val="2"/>
        </w:numPr>
        <w:spacing w:after="60"/>
      </w:pPr>
      <w:r>
        <w:rPr>
          <w:b/>
        </w:rPr>
        <w:t xml:space="preserve">Cifras de búsqueda</w:t>
      </w:r>
      <w:r>
        <w:t xml:space="preserve">: el balance y el capex son estimaciones; convicción media.</w:t>
      </w:r>
    </w:p>
    <w:p>
      <w:pPr>
        <w:pStyle w:val="Heading2"/>
      </w:pPr>
      <w:r>
        <w:t xml:space="preserve">Qué tiene que pasar para que la tesis funcione</w:t>
      </w:r>
    </w:p>
    <w:p>
      <w:pPr>
        <w:spacing w:after="100"/>
      </w:pPr>
      <w:r>
        <w:t xml:space="preserve">El crecimiento orgánico de B2B en Norteamérica en los semestrales del 18 de noviembre: por encima del 7 %, la tesis se refuerza; por debajo del 5 %,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duda.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B2B Norteamérica,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corazón del negocio y donde llegaría antes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benchmark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a tipos constantes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Experian nace en 1996, cuando Great Universal Stores (GUS) compra la división de información de crédito de TRW en EE. UU. y la une a CCN, su buró británico. En 2006 GUS la separa y sale a bolsa en Londres. Compró Serasa (Brasil) en 2007 y la completó en 2012. Brian Cassin es consejero delegado desde 2014. En 2023-26 sumó compras en Latinoamérica y Australia y pasó a Consumer Services gratuitos con comparador de crédito.</w:t>
      </w:r>
    </w:p>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Experian plc (Jersey, sede operativa en Dublín, cotiza en Londres) es el mayor buró de crédito del mundo por ingresos: 8.450 M USD en el ejercicio a marzo de 2026 [1, 11]. Vende datos de crédito y analítica a empresas (B2B: Financial Services, Decisioning, Marketing, Health, Automotive) y servicios directos al consumidor (Consumer Services: informes y puntuación gratuitos y de pago, comparador de crédito y seguros) en Norteamérica, Latinoamérica (Serasa en Brasil), Reino Unido e Irlanda, y EMEA/Asia-Pacífico [1].</w:t>
      </w:r>
    </w:p>
    <w:p>
      <w:pPr>
        <w:pStyle w:val="Heading2"/>
      </w:pPr>
      <w:r>
        <w:t xml:space="preserve">Cómo gana dinero</w:t>
      </w:r>
    </w:p>
    <w:p>
      <w:pPr>
        <w:spacing w:after="100"/>
      </w:pPr>
      <w:r>
        <w:t xml:space="preserve">Cobra por consulta (informe o puntuación de crédito cada vez que un prestamista decide), por suscripción de software de decisión y analítica, por campañas de marketing con datos y, en Consumer Services, por suscripciones y comisiones de referencia (cuando un consumidor contrata un crédito o un seguro a través de su comparador). Más del 90 % de los ingresos viene de datos propios según Stifel.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[13]: informes y puntuaciones de crédito, informes hipotecarios, identidad y fraude, y verificación de empleo e ingresos. Lo dominan tres agencias nacionales (Equifax, Experian y TransUnion), con FICO como proveedor de la puntuación que se vende sobre sus datos [23]. Se contrastan dos medidas. IBISWorld estima el sector de agencias de crédito y de calificación de EE. UU. en 17.600 M USD en 2025, pero incluye las agencias de rating, que son otro negocio [18]. Por eso se usa como medida principal una estimación propia de abajo arriba: la suma de los ingresos en EE. UU. de Equifax USIS y TransUnion U.S. Markets según sus 10-K [13, 21]; Experian Norteamérica (5.587 M USD en el ejercicio a marzo de 2026) queda fuera de la serie porque cierra en marzo e incluye Canadá y salud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[13, 21]; con Experian Norteamérica, ≈ 11.240 M USD [25]. IBISWorld: 17.600 M USD en 2025 con las agencias de rating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[31, 32,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[19, 20]; TransUnion atribuye su crecimiento hipotecario sobre todo al precio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[23]; a TransUnion le restaron 150 puntos básicos de margen EBITDA ajustado en su segmento de EE. UU. en el segundo trimestre de 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[30]; Equifax firmó unos 300 M USD de valor anual en contratos públicos en el primer semestre de 2026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[16,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[13, 21]. La rivalidad se nota más en verificación y en la puntuación alternativa (VantageScore), donde Equifax ofreció en octubre de 2025 la puntuación a 4,50 USD hasta 2027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[13], pero el comprador hipotecario está respaldado por la FHFA, que llama a las agencias «cartel» y prepara el paso a dos informes [16]; la MBA habló de subidas medias del 40 % al 50 % en el coste de los informes para 2026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[24], y en octubre de 2025 lanzó una licencia directa a los revendedores hipotecarios que se salta el margen de las agencias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[13]. Truv y Argyle han levantado 25 M USD (2022) y 30 M USD (2024) en sus últimas rondas publicadas [36, 37], cifras pequeñas frente a los 2.180 M USD de ingresos de Verification Services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[13]; en hipotecas, el paso a dos informes elimina la compra de uno de los tres por préstamo [17]. VantageScore 4.0, aceptada por la FHFA en julio de 2025, sustituye a FICO y no a las agencias, que son sus dueñas [15, 23].</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[31, 32, 33]. El sector ha sido defensivo en volumen pero no en hipotecas: en 2009 los ingresos de Equifax cayeron un 5,4 % [40]; en 2020 la refinanciación disparó Workforce Solutions un 51 % y USIS un 12 % [35]; en 2022 USIS cayó un 7 % con el hundimiento hipotecario [34].</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[15]. </w:t>
      </w:r>
      <w:r>
        <w:rPr>
          <w:b/>
        </w:rPr>
        <w:t xml:space="preserve">Número de informes</w:t>
      </w:r>
      <w:r>
        <w:t xml:space="preserve">: en septiembre de 2026 el director de la FHFA dijo estar estudiando el paso a dos informes e incluso a uno, y la prensa espera el anuncio del paso a dos el 12 de octubre de 2026 [16, 17]. </w:t>
      </w:r>
      <w:r>
        <w:rPr>
          <w:b/>
        </w:rPr>
        <w:t xml:space="preserve">Programas públicos</w:t>
      </w:r>
      <w:r>
        <w:t xml:space="preserve">: la ley de reconciliación de 2025 exige verificar requisitos de trabajo en Medicaid desde el 1 de enero de 2027, con exenciones temporales para estados que las pidan [30]. La CFPB investiga desde 2023 la exactitud de los datos de Workforce Solutions [13].</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[27], y Equifax respondió regalando VantageScore 4.0 hasta finales de 2026 a quien compre FICO [28];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[13, 25, 36, 37]. </w:t>
      </w:r>
      <w:r>
        <w:rPr>
          <w:b/>
        </w:rPr>
        <w:t xml:space="preserve">Inteligencia artificial</w:t>
      </w:r>
      <w:r>
        <w:t xml:space="preserve">: Equifax duplicó a 150 M USD su objetivo de ahorro por IA en 2026-2028 [20].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de las tres agencias de crédito globales por ingresos: 44,2 % de los 19.096 M USD que suman Experian, Equifax y TransUnion en su último ejercicio (estimación propia de la nota de Equifax del 8-oct) [13, 21, 25]. Líder en Reino Unido y en Brasil (Serasa); en EE. UU. compite a la par con Equifax y TransUnion.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agencia global; su ventaja es Workforce Solutions (verificación de empleo e ingresos, 209 M de registros activos), donde Experian es mucho menor. Cifras de su informe del 8-oct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[21]. Crece en hipotecas por precio, pero los derechos de FICO le restaron margen en 2026 [22]. Señala la licencia directa de FICO como un riesgo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[23]. Compite con ellas en puntuación (VantageScore es de las tres) y ahora en distribución hipotecaria con su licencia directa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[16, 17]. </w:t>
      </w:r>
      <w:r>
        <w:rPr>
          <w:b/>
        </w:rPr>
        <w:t xml:space="preserve">FICO</w:t>
      </w:r>
      <w:r>
        <w:t xml:space="preserve"> (en curso): sube su precio unitario y vende directamente a los revendedores, capturando un margen que era de las agencias [23, 27].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[13,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spacing w:after="100"/>
      </w:pPr>
      <w:r>
        <w:t xml:space="preserve">Crecimiento anual compuesto FY2019-FY2026: ingresos </w:t>
      </w:r>
      <w:r>
        <w:rPr>
          <w:b/>
          <w:bCs/>
        </w:rPr>
        <w:t xml:space="preserve">8,2 %</w:t>
      </w:r>
      <w:r>
        <w:t xml:space="preserve">, EBITDA </w:t>
      </w:r>
      <w:r>
        <w:rPr>
          <w:b/>
          <w:bCs/>
        </w:rPr>
        <w:t xml:space="preserve">n.d.</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Diez años de crecimiento regular: ingresos de 4.861 M USD en el FY19 a 8.450 M en el FY26 (+8,2 % anual) y BPA benchmark de 0,98 a 1,80 USD (+9,1 % anual) [1, 5]. Solo el FY21 no creció (pandemia y la inversión en la nube y en Consumer Services). El FY26 fue el mejor de la serie: +13 % de ingresos (8 % orgánico), margen EBIT benchmark del 28,6 % (+60 pb a tipos constantes) y BPA +15 % [1, 6, 9]. El BPA básico (1,645 USD) queda un 8 % por debajo del benchmark por la amortización de intangibles comprados [6].</w:t>
      </w:r>
    </w:p>
    <w:p>
      <w:pPr>
        <w:pStyle w:val="Heading2"/>
      </w:pPr>
      <w:r>
        <w:t xml:space="preserve">Ajustes y partidas no recurrentes</w:t>
      </w:r>
    </w:p>
    <w:p>
      <w:pPr>
        <w:spacing w:after="100"/>
      </w:pPr>
      <w:r>
        <w:t xml:space="preserve">Se usa el benchmark de la empresa en toda la serie (misma base que el PER y el consenso).</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2026-07-16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Compras de ClearSale (Brasil) y otras: aportación inorgánica de unos 3-4 puntos de crecimiento (13 % total frente a 8 % orgánico, con algo de divisa) [1].). Los ratios de balance de ese año (días, circulante, deuda neta / EBITDA, ROIC) y los indicadores de calidad contable no son comparables con los anteriores.</w:t>
      </w:r>
    </w:p>
    <w:p>
      <w:pPr>
        <w:spacing w:after="100"/>
      </w:pPr>
      <w:r>
        <w:t xml:space="preserve">Deuda neta de 1,7 veces el EBITDA benchmark, por debajo de su objetivo de 2,0-2,5 veces: hay margen para más recompras o compras sin tensar el balance [1].</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FY2025-FY2026: FCF </w:t>
      </w:r>
      <w:r>
        <w:rPr>
          <w:b/>
          <w:bCs/>
        </w:rPr>
        <w:t xml:space="preserve">3.780</w:t>
      </w:r>
      <w:r>
        <w:t xml:space="preserve">, conversión </w:t>
      </w:r>
      <w:r>
        <w:rPr>
          <w:b/>
          <w:bCs/>
        </w:rPr>
        <w:t xml:space="preserve">123 %</w:t>
      </w:r>
      <w:r>
        <w:t xml:space="preserve"> del beneficio neto; adquisiciones 0, dividendos 1.150, recompras 725.</w:t>
      </w:r>
    </w:p>
    <w:p>
      <w:pPr>
        <w:spacing w:after="100"/>
      </w:pPr>
      <w:r>
        <w:t xml:space="preserve">Conversión de caja alta: el flujo operativo benchmark (más de 2.200 M) supera el 90 % del EBIT benchmark [9].</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Experian crea valor con holgura: ROIC del 17,9 % en el FY26 (NOPAT benchmark sobre capital invertido estimado de ≈10.600 M, coherente con el ROCE publicado del 17,2 %) frente a un WACC del 9,15 %: 8,8 puntos de diferencia [1]. El ROE (≈32 %) está inflado por las recompras y la deuda. El ROIC sube desde el 16,6 % de ROCE del FY25 [2] porque el margen mejora y las compras recientes son pequeñas. El capital invertido incluye el fondo de comercio de compras pasadas (Serasa, ClearSale, Illion): sin él, el rendimiento del negocio orgánico es muy superior.</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Baa1 / A- (Moody's / S&amp;P), según los folletos de bonos anteriores; no comprobado en esta sesión.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12. Asignación de capital</w:t>
      </w:r>
    </w:p>
    <w:p>
      <w:pPr>
        <w:pStyle w:val="Confianza"/>
        <w:spacing w:after="100"/>
      </w:pPr>
      <w:r>
        <w:t xml:space="preserve">Confianza: Media</w:t>
      </w:r>
    </w:p>
    <w:p>
      <w:pPr>
        <w:spacing w:after="100"/>
      </w:pPr>
      <w:r>
        <w:t xml:space="preserve">Dividendo progresivo (69,25 c en el FY26, +11 %) y recompras: 725 M USD en el FY26 y un programa nuevo de 1.000 M USD vigente hasta el 30-jun-2027, que se ejecuta desde julio de 2026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Experian (2012-2014) y antes banca de inversión en Greenhill; con él los ingresos pasan de unos 4.800 M USD a 8.450 M y el BPA benchmark casi se duplica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Intertek y de BG Group en partes de su carrera [46].</w:t>
            </w:r>
          </w:p>
        </w:tc>
      </w:tr>
    </w:tbl>
    <w:p>
      <w:pPr>
        <w:spacing w:after="160" w:before="0"/>
      </w:pPr>
    </w:p>
    <w:p>
      <w:pPr>
        <w:pStyle w:val="Heading2"/>
      </w:pPr>
      <w:r>
        <w:t xml:space="preserve">¿Cumple lo que promete?</w:t>
      </w:r>
    </w:p>
    <w:p>
      <w:pPr>
        <w:spacing w:after="160" w:before="0"/>
      </w:pPr>
    </w:p>
    <w:p>
      <w:pPr>
        <w:spacing w:after="100"/>
      </w:pPr>
      <w:r>
        <w:t xml:space="preserve">Equipo estable desde hace doce años; el riesgo es de sucesión, no de ejecución.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Rogers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 largo plazo ligado al crecimiento del BPA benchmark, al ROCE y al flujo de caja (política de remuneración de Experian) [46].</w:t>
      </w:r>
    </w:p>
    <w:p>
      <w:pPr>
        <w:pStyle w:val="Heading2"/>
      </w:pPr>
      <w:r>
        <w:t xml:space="preserve">Operaciones vinculadas, estructura de control y defensas</w:t>
      </w:r>
    </w:p>
    <w:p>
      <w:pPr>
        <w:spacing w:after="100"/>
      </w:pPr>
      <w:r>
        <w:t xml:space="preserve">Capital disperso, sin accionista de control; sociedad de Jersey con gobierno según el Código de Gobierno Corporativo del Reino Unido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FY27: crecimiento orgánico del 6-8 %, inorgánico de ≈1 %, divisa +1-2 %, margen +≈50 pb orgánico a tipos constantes y BPA benchmark con crecimiento de dos dígitos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Rothschild Redburn (una casa, oct-2025, anterior a los resultados FY26) [50]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Redburn (una casa) [50]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47,25 – 62,10</w:t>
            </w:r>
          </w:p>
        </w:tc>
      </w:tr>
    </w:tbl>
    <w:p>
      <w:pPr>
        <w:spacing w:after="160" w:before="0"/>
      </w:pPr>
    </w:p>
    <w:p>
      <w:pPr>
        <w:pStyle w:val="Heading2"/>
      </w:pPr>
      <w:r>
        <w:t xml:space="preserve">Revisiones de estimaciones</w:t>
      </w:r>
    </w:p>
    <w:p>
      <w:pPr>
        <w:spacing w:after="100"/>
      </w:pPr>
      <w:r>
        <w:t xml:space="preserve">Recortes de precio objetivo tras los resultados de mayo y el 1T (Deutsche Bank de 4.550 a 4.000 p; UBS 3.700 p; Jefferies 4.600 p). Objetivo medio 4.087 p (≈55,2 USD al 1,35) con 6 analistas, todos en comprar [49]. Una sola fuente de estimaciones de BPA, dirección conocida pero cifras de antes del FY26.</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Precio en mínimos de dos años: 2.457,5 p el 2-oct-2026 (recompras de la empresa), desde 2.800 p a mediados de septiembre y unos 3.600-3.800 p a finales de 2025; la caída llegó al 32 % en el primer trimestre de 2026 por el miedo a la inteligencia artificial [47, 48]. Beta: supuesto de 0,9 (no se pudo calcular con bolsa.mjs).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t xml:space="preserve">Precios de cierre de marzo en peniques (aproximados) pasados a USD con el GBP/USD de cada cierre; ver huecos.</w:t>
      </w:r>
    </w:p>
    <w:p>
      <w:pPr>
        <w:pStyle w:val="Heading1"/>
      </w:pPr>
      <w:r>
        <w:t xml:space="preserve">18. Comparables cotizados</w:t>
      </w:r>
    </w:p>
    <w:p>
      <w:pPr>
        <w:pStyle w:val="Confianza"/>
        <w:spacing w:after="100"/>
      </w:pPr>
      <w:r>
        <w:t xml:space="preserve">Confianza: Media</w:t>
      </w:r>
    </w:p>
    <w:p>
      <w:pPr>
        <w:spacing w:after="100"/>
      </w:pPr>
      <w:r>
        <w:t xml:space="preserve">Muestra del informe de Equifax (8-oct); Equifax figura en Industriales, servicios profesionales [51].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[51]; Experian convertida a USD al cambio del BCE [51]. Para Experian se quita la propia Experian y se añade Equifax con sus cifras del mismo informe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14,7x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 / 8,4x / 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Experian cotiza a 15,5 veces el BPA de los próximos 12 meses y 11,5 veces el EBITDA, frente a una mediana de 20,9 veces el PER en la muestra del informe de Equifax [51]. Frente a los otros dos burós el descuento casi desaparece: Equifax 17,8x y TransUnion 16,7x. El mercado ya no paga a Experian como plataforma de datos (Moody's, S&amp;P Global, MSCI, 22-26x) sino como buró expuesto a la IA, con un margen EBITDA (36 %) y un ROIC (18 %) superiores a los de TransUnion y Equifax.</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se buscaron transacciones (presupuesto); peso 0 en la valoración.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FY27e +9,5 %: punto medio de la guía de crecimiento total (8-11 %: 6-8 % orgánico, ≈1 % inorgánico y 1-2 % de divisa) [8]; el 1T FY27 creció un 10 % a tipos reales [8]. FY28-29e +8 % (el orgánico del FY26, sin divisa), y luego baja medio punto al año hasta el 4,5 % del FY36e. Crecimiento medio proyectado del 6,8 %.</w:t>
      </w:r>
    </w:p>
    <w:p>
      <w:pPr>
        <w:keepNext/>
        <w:spacing w:after="100"/>
      </w:pPr>
      <w:r>
        <w:rPr>
          <w:b/>
          <w:bCs/>
        </w:rPr>
        <w:t xml:space="preserve">Márgenes.</w:t>
      </w:r>
    </w:p>
    <w:p>
      <w:pPr>
        <w:spacing w:after="100"/>
      </w:pPr>
      <w:r>
        <w:t xml:space="preserve">Margen EBITDA benchmark del 36,1 % en el FY26 (3.050 M, derivado de la deuda neta y del 1,7x de apalancamiento) [1, 7]. Sube ≈50 pb al año (la guía del FY27) hasta el 38 % en el FY31e y se queda ahí: equivale a un margen EBIT benchmark del 30,4 %, 1,8 puntos sobre el actual.</w:t>
      </w:r>
    </w:p>
    <w:p>
      <w:pPr>
        <w:keepNext/>
        <w:spacing w:after="100"/>
      </w:pPr>
      <w:r>
        <w:rPr>
          <w:b/>
          <w:bCs/>
        </w:rPr>
        <w:t xml:space="preserve">Inversión y circulante.</w:t>
      </w:r>
    </w:p>
    <w:p>
      <w:pPr>
        <w:spacing w:after="100"/>
      </w:pPr>
      <w:r>
        <w:t xml:space="preserve">Capex del 9 % de las ventas (sobre todo software y plataforma en la nube) hasta el FY31e y 8,5 % después, frente a una amortización del 7,6 %; circulante del 2 % de las ventas. No se proyectan compras.</w:t>
      </w:r>
    </w:p>
    <w:p>
      <w:pPr>
        <w:keepNext/>
        <w:spacing w:after="100"/>
      </w:pPr>
      <w:r>
        <w:rPr>
          <w:b/>
          <w:bCs/>
        </w:rPr>
        <w:t xml:space="preserve">Coste del capital.</w:t>
      </w:r>
    </w:p>
    <w:p>
      <w:pPr>
        <w:spacing w:after="100"/>
      </w:pPr>
      <w:r>
        <w:t xml:space="preserve">Tasa libre del 5,22 % (bono de EE. UU. a 10 años, porque el 70 % del negocio y las cuentas están en dólares) [52], beta de 0,9 (supuesto; los burós se mueven con el mercado), prima del 5,5 %, coste de la deuda del 4,5 % antes de impuestos y 15 % de deuda: WACC del 9,15 %. Con la prima implícita del mercado (4,2 %) el WACC sería del 8,15 % [53].</w:t>
      </w:r>
    </w:p>
    <w:p>
      <w:pPr>
        <w:keepNext/>
        <w:spacing w:after="100"/>
      </w:pPr>
      <w:r>
        <w:rPr>
          <w:b/>
          <w:bCs/>
        </w:rPr>
        <w:t xml:space="preserve">Valor terminal.</w:t>
      </w:r>
    </w:p>
    <w:p>
      <w:pPr>
        <w:spacing w:after="100"/>
      </w:pPr>
      <w:r>
        <w:t xml:space="preserve">Crecimiento a perpetuidad del 3 %: inflación más algo de volumen de datos. El valor terminal pesa un 60 %. El múltiplo de salida de contraste (14x EBITDA) es inferior al que ha pagado el mercado en la última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 M (6 % del NOPAT)</w:t>
            </w:r>
          </w:p>
        </w:tc>
      </w:tr>
    </w:tbl>
    <w:p>
      <w:pPr>
        <w:spacing w:after="160" w:before="0"/>
      </w:pPr>
    </w:p>
    <w:p>
      <w:pPr>
        <w:spacing w:after="100"/>
      </w:pPr>
      <w:r>
        <w:t xml:space="preserve">La proyección apenas necesita inversión neta de la amortización (reinversión acumulada de 1.745 M, el 6 % del NOPAT, con un capex bruto medio del 8,7 % de las ventas). En un negocio de activos ligeros, el crecimiento medio del 6,8 %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(más consultas de crédito en EE. UU. y Brasil, más clientes de software de decisión), precio +3 % y otros +2,5 % (≈1 punto de compras y 1-2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y precio +3 %; otros +0,5 % (compras pequeñas ya hechas).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FY28e.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+3 %.</w:t>
            </w:r>
          </w:p>
        </w:tc>
      </w:tr>
    </w:tbl>
    <w:p>
      <w:pPr>
        <w:spacing w:after="160" w:before="0"/>
      </w:pPr>
    </w:p>
    <w:p>
      <w:pPr>
        <w:spacing w:after="100"/>
      </w:pPr>
      <w:r>
        <w:t xml:space="preserve">Sí. La reinversión neta es baja (6 % del NOPAT) y el motor no hace la prueba de financiación, así que se hace a mano. El crecimiento proyectado (6,8 % anual) es menor que el orgánico real de los últimos cinco años (7-8 %, con un 8 % en el FY26 y un 7 % en el 1T FY27) [1, 8] y se logró con el mismo capex (≈9 % de las ventas): en un negocio de datos el crecimiento sale de más consultas sobre la misma base y de subir precios, no de capital nuevo. La cuota implícita no sube: crecemos por debajo del gasto en datos y analítica de crédito, identidad y fraude, que crece a un dígito alto (nota de sector). La proyección no incluye compras (que la empresa sí hace) y el ROIC (≈18 %) se mantiene. El riesgo no es la financiación sino el precio de la consulta si la IA o los modelos alternativos la abaratan: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9,2 %)</w:t>
            </w:r>
          </w:p>
        </w:tc>
      </w:tr>
    </w:tbl>
    <w:p>
      <w:pPr>
        <w:spacing w:after="160" w:before="0"/>
      </w:pPr>
    </w:p>
    <w:p>
      <w:pPr>
        <w:spacing w:after="100"/>
      </w:pPr>
      <w:r>
        <w:t xml:space="preserve">El DCF da 41,38 USD por acción (+24,7 % sobre 33,18), con un WACC del 9,15 % y un valor terminal del 60 %. El DCF inverso dice que a 33,18 USD el mercado descuenta un crecimiento de los ingresos del 4,3 % anual en los años no fijos, frente al 6,8 % del caso base y al 8 % orgánico que Experian ha dado en el FY26: el precio supone que la IA y los modelos de puntuación alternativos recortan a la mitad el crecimiento. Con la prima implícita del mercado (WACC del 8,15 %) el DCF sube a 50,75 USD. El DCF manda en el valor intrínseco, no en la decisión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las puntuaciones alternativas (VantageScore gratis en hipotecas, modelos de los propios bancos) abaratan la consulta de crédito; Consumer Services no se recupera tras perder los contratos de protección. Crecimiento 2 puntos menor y margen EBITDA 1 punto menor;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cumple la guía del FY27 (6-8 % orgánico, +50 pb de margen) y mantiene un crecimiento orgánico del 7-8 % con margen al alza; ROIC estable en torno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de crédito favorable en EE. UU. y Brasil, hipotecas que se recuperan con la bajada de tipos y la IA usada como producto propio (decisión y fraude): +1,5 puntos de crecimiento y +0,5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40,57 USD (+22,3 %).</w:t>
      </w:r>
    </w:p>
    <w:p>
      <w:pPr>
        <w:spacing w:after="100"/>
      </w:pPr>
      <w:r>
        <w:t xml:space="preserve">El DCF da 31,48 USD en el bajista (−5,1 %), 41,38 en el base (+24,7 %) y 48,03 en el alcista (+44,8 %). La asimetría es buena porque el precio ya descuenta casi el bajista: con 2 puntos menos de crecimiento y 1 de margen la acción solo cae un 5 % sobre el valor intrínseco. Pesos 25/50/25: el riesgo de la IA es real pero las cifras de los últimos trimestres no lo muestran.</w:t>
      </w:r>
    </w:p>
    <w:p>
      <w:pPr>
        <w:pStyle w:val="Heading1"/>
      </w:pPr>
      <w:r>
        <w:t xml:space="preserve">22. Suma de partes</w:t>
      </w:r>
    </w:p>
    <w:p>
      <w:pPr>
        <w:pStyle w:val="Confianza"/>
        <w:spacing w:after="100"/>
      </w:pPr>
      <w:r>
        <w:t xml:space="preserve">Confianza: Baja</w:t>
      </w:r>
    </w:p>
    <w:p>
      <w:pPr>
        <w:spacing w:after="100"/>
      </w:pPr>
      <w:r>
        <w:t xml:space="preserve">No aplica: los segmentos (B2B y Consumer Services; cuatro regiones) comparten datos y plataforma y no se pudieron leer sus resultados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42,03 USD (+26,7 % sobre 33,18).</w:t>
      </w:r>
    </w:p>
    <w:p>
      <w:pPr>
        <w:spacing w:after="100"/>
      </w:pPr>
      <w:r>
        <w:t xml:space="preserve">El DCF pesa un 50 %: negocio estable, con caja previsible y poca inversión. Los comparables, un 25 % (la mediana mezcla burós con plataformas de datos más caras) y los escenarios otro 25 %. No se usan transacciones (no se buscaron). El valor intrínseco es de 42,03 USD (unos 3.113 p), un 26,7 % sobre el precio. La decisión la toma el objetivo a 12 meses: con la regla común (PER actual de 14,7x en el base) la rentabilidad es positiva pero no llega al 12 % en el base.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r>
    </w:tbl>
    <w:p>
      <w:pPr>
        <w:spacing w:after="160" w:before="0"/>
      </w:pPr>
    </w:p>
    <w:p>
      <w:pPr>
        <w:spacing w:after="100"/>
      </w:pPr>
      <w:r>
        <w:rPr>
          <w:b/>
          <w:bCs/>
        </w:rPr>
        <w:t xml:space="preserve">Objetivo a 12 meses (ponderado):</w:t>
      </w:r>
      <w:r>
        <w:t xml:space="preserve"> 37,68 USD (2.791,11 GBp) · rentabilidad +15,6 % (base +11,5 %) · señal Mantener.</w:t>
      </w:r>
    </w:p>
    <w:p>
      <w:pPr>
        <w:spacing w:after="100"/>
      </w:pPr>
      <w:r>
        <w:t xml:space="preserve">Para comparar, con la regla v2 (historia al cierre, mismo precio): 12,5x / 14,7x / 19,1x, 15,6 % Mantener; con el tope anterior del base (×1,3, 14-oct mediodía): 49,9 % Mantener; con la v3 sin el selector (tope ×1,1): 27,2 % Mantener. Decide la v2, elegida por el selector de método (desrateada: la mediana adelantada (27,7x) es 1,9 veces el PER de hoy (14,7x); la historia es de otro régimen y decide la v2; METODO-VIGENTE.md).</w:t>
      </w:r>
    </w:p>
    <w:p>
      <w:pPr>
        <w:keepNext/>
        <w:spacing w:after="100"/>
      </w:pPr>
      <w:r>
        <w:rPr>
          <w:b/>
          <w:bCs/>
        </w:rPr>
        <w:t xml:space="preserve">Frente al consenso (solo contraste).</w:t>
      </w:r>
    </w:p>
    <w:p>
      <w:pPr>
        <w:spacing w:after="100"/>
      </w:pPr>
      <w:r>
        <w:t xml:space="preserve">Nuestro base (36,31 USD, ≈2.690 p) queda un 34 % por debajo del objetivo medio de los analistas (55,18 USD, ≈4.087 p; 3.500-4.600 p, 6 analistas, recortes desde mayo) [49]. La diferencia no sale del BPA: nuestro FY28e (2,25 USD) casi coincide con el de Rothschild Redburn (2,28) [50]. Sale del múltiplo: la regla común toma el PER actual (14,7x) porque es menor que la mediana de cinco años (29,4x), mientras los analistas suponen que el mercado vuelve a pagar 22-25 veces. Si el miedo a la IA se disipa, ese es el alcista (19,1x por el techo de la regla).</w:t>
      </w:r>
    </w:p>
    <w:p>
      <w:pPr>
        <w:keepNext/>
        <w:spacing w:after="100"/>
      </w:pPr>
      <w:r>
        <w:rPr>
          <w:b/>
          <w:bCs/>
        </w:rPr>
        <w:t xml:space="preserve">Del valor intrínseco al objetivo a 12 meses.</w:t>
      </w:r>
    </w:p>
    <w:p>
      <w:pPr>
        <w:spacing w:after="100"/>
      </w:pPr>
      <w:r>
        <w:t xml:space="preserve">Con la regla común, el objetivo ponderado es de 37,68 USD (≈2.791 p, +15,6 % con el dividendo del 2,1 %) y el base de 36,31 (+11,5 %). Pasa el umbral de la ponderada (15 %) pero no el del base (12 %): Mantener, a medio punto de Comprar. La asimetría es buena (3,6x): el bajista (12,5x × 2,29 = 28,63 USD, −11,6 %) pierde poco porque el PER ya es la mitad de su mediana histórica. Comprar por debajo de 33,04 USD (≈2.447 p), casi el precio actual.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del FY27 [54]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orgánico del 2T vuelve al 8 % y la guía se mantiene o sube, el mercado puede revisar el múltiplo; si Consumer Services sigue plano, el debate de la IA sigue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1.000 M USD en curso (≈3 % del capital)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≈3 % al BPA y da soporte al precio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en EE. UU. y recuperación de las hipotecas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consultas de crédito hipotecario, el producto de más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Adopción de VantageScore 4.0 y modelos alternativos en hipotecas (FHFA) [15]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competencia en precio de la puntuación; los burós venden los datos igual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y puntuaciones alternativas que abaratan la consulta de crédito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 12 meses (bajista); −24 % del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ingresos sale de datos propios aportados por los prestamistas, que la IA no replica [57]; contratos renovados a 4-10 años [55].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crédito al consumo y de hipotecas en EE. UU.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productos (decisión, fraude, sanidad, automóvil) y por regiones.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(CFPB, FCA, protección de datos en Brasil) y brechas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Multas y pérdida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una brecha masiva comparable a la de Equifax de 2017.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cotiza en libras e informa en dólares; real brasileño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en peniques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BPA en dólares; el inversor en euros soporta el GBP/EUR.</w:t>
            </w:r>
          </w:p>
        </w:tc>
      </w:tr>
    </w:tbl>
    <w:p>
      <w:pPr>
        <w:spacing w:after="160" w:before="0"/>
      </w:pPr>
    </w:p>
    <w:p>
      <w:pPr>
        <w:pStyle w:val="Heading2"/>
      </w:pPr>
      <w:r>
        <w:t xml:space="preserve">Pre-mortem</w:t>
      </w:r>
    </w:p>
    <w:p>
      <w:pPr>
        <w:spacing w:after="100"/>
      </w:pPr>
      <w:r>
        <w:t xml:space="preserve">Es octubre de 2027 y la acción vale 2.000 p. Los grandes bancos de EE. UU. adoptaron modelos de puntuación propios con IA y datos de cuentas bancarias (banca abierta), las consultas de crédito bajaron de precio y Consumer Services siguió sin crecer. El orgánico cayó al 4 % y el mercado dejó de pagar más de 13 veces beneficios. Lo que lo habría avisado: el orgánico de B2B Financial Services en Norteamérica por debajo del 5 % dos trimestres seguidos.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y exactitud de los datos de los consumidores (la brecha de Serasa de 2021 y los litigios en EE. UU. son el riesgo reputacional principal), regulación del crédito al consumo (CFPB, FCA, LGPD en Brasil) y uso de inteligencia artificial en la decisión de crédito.</w:t>
      </w:r>
    </w:p>
    <w:p>
      <w:pPr>
        <w:pStyle w:val="Heading2"/>
      </w:pPr>
      <w:r>
        <w:t xml:space="preserve">Controversias</w:t>
      </w:r>
    </w:p>
    <w:p>
      <w:pPr>
        <w:spacing w:after="100"/>
      </w:pPr>
      <w:r>
        <w:t xml:space="preserve">Reclamaciones de consumidores ante la CFPB, compartidas con los otros dos burós.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variado el precio medio por consulta en EE. UU. en los últimos cuatro trimestres y qué parte del crecimiento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volumen de precio, que es lo que el mercado teme perder.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efecto de los contratos de protección y qué crecimiento da el negocio sin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lastre del 1T FY27 (+2 %).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por encima de 1.000 M USD al año con la deuda en 1,7x, por debajo del objetivo de 2,0-2,5x?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estos precios cada 1.000 M compra un 3 %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Trustnet (gestor de fondos)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 castigada sin razón en la venta general por la inteligencia artificial: crecimiento del 8 % y contratos renovados a 4-10 años en vez de 3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la desaceleración de Norteamérica y que el efecto de la inteligencia artificial sobre el negocio sigue siendo difícil de prever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Proactive Investors (nota de Stifel)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comprar: más del 90 % de los ingresos sale de datos propios, lo que limita el riesgo de desintermediación; la caída en el año es exagerada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Moby (Yahoo Finance, comentario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la recompra de 1.000 M USD como gesto defensivo que no calma el «pánico a la IA»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LSE.co.uk y blogs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compran en mínimos de dos años por el PER más bajo en una década; otros temen que modelos de puntuación alternativos y la IA abaraten la consulta de crédito [59,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inteligencia artificial como sustituto de los datos de crédito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B2B crece al 9 % orgánico en el 1T FY27 y el margen sube. El dato propio (historial de pagos que aportan los prestamistas) no se replica con IA; la amenaza real es de precio en las consultas de menor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Consumer Services y de Norteamérica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en parte: Consumer Services crece solo un 2 %, pero por el fin de dos contratos de protección tras brechas de datos; sin ellos el grupo crece al 8 %.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valoración en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sobre el BPA del FY28e es de unas 15 veces, la mitad de la mediana de cinco años; la recompra compra un 3 % del capital al año.</w:t>
            </w:r>
          </w:p>
        </w:tc>
      </w:tr>
    </w:tbl>
    <w:p>
      <w:pPr>
        <w:spacing w:after="160" w:before="0"/>
      </w:pPr>
    </w:p>
    <w:p>
      <w:pPr>
        <w:spacing w:after="100"/>
      </w:pPr>
      <w:r>
        <w:t xml:space="preserve">El sentimiento está dividido y empeora desde el verano: la conversación gira casi solo en torno al riesgo de la inteligencia artificial, no a las cifras, que siguen creciendo al 7-8 % orgánico con margen al alza. Los analistas profesionales siguen en comprar y los particulares dudan. Esa distancia entre cifras y relato es típica de una capitulación parcial: no anticipa un riesgo que el análisis no recoja, pero sí que el catalizador (los semestrales de noviembre) necesita algo más que cumplir la guía para cambiar el tono. No entra en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Fuentes: 60 (30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0,0 % real: genera una variación de circulante de 185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2026-10-02, 8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38, 39, 41, 42, 43, 44,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impuestos, BAI y amortizaciones FY2019-FY2024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en experianplc.com: no abre (solo búsqueda web); 2) Investegate/FCA NSM: misma limitación; 3) Stock Analysis: la búsqueda solo devuelve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(fondo de comercio, circulante, patrimonio exacto)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informe anual FY26; 3) Stock Analysis: no legibles desde la búsqueda. Deuda neta FY26 sí [7].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FY2019-FY2024 y capex exacto FY2025-26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 Stock Analysis (solo FCF 2.190); 3) prensa: solo flujo benchmark &gt;2.200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y geografías FY2022-FY2026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resumen de la conferencia; 3) nota de Equifax (solo Norteamérica).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hipotecas en los ingresos de USIS y de Equifax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la tabla de mercados finales es una imagen sin texto; 2) notas de resultados del cuarto trimestre de 2025 y del segundo de 2026: dan crecimientos, no pesos; 3) 10-Q del segundo trimestre de 2026: tampoco lo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la junta de julio de 2026, remuneración del CEO, participaciones de directivos y consejo completo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2) resultados de la junta (RNS); 3) búsqueda web: presupuesto de búsquedas reservado a lo que mueve la decisión.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rango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«Experian share price October 2026»: sin cotización; 3) RNS de recompra: último dato el 2-oct (2.457,51 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RNS de derechos de voto; 3) búsqueda: no aparecen. Se usan 905 M (≈915 M de marzo menos las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de cambio GBP/USD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BCE: sin red; 2) búsqueda: no se intentó por presupuesto; 3) se usa 1,35 (0,0135 USD por penique), coherente con PitchBook de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marzo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sin series; 3) valores aproximados del analista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actual de BPA FY27-FY29 (MarketScreener /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no funciona; 2) búsqueda de consenso: solo una casa de oct-2025; 3) TipRanks: solo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no devuelve hilos de Reddit; 2) Stocktwits y SA RSS: sin red; 3) foro LSE.co.uk: solo índice de perfiles.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Altman, Beneish y calidad del beneficio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completo no disponible; 2) estado de flujos histórico no disponible; 3) Stock Analysis no legible desde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FY26 (ejercicio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https://www.experianplc.com/newsroom/press-releases/2026/full-year-results-fy26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https://www.experianplc.com/newsroom/press-releases/2025/full-year-results-fy25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https://www.experianplc.com/media/4693/experian-full-year-fy23-results.pdf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https://www.experianplc.com/media/4409/experian-full-year-fy22-results-final.pdf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https://www.experianplc.com/media/3991/experian-full-year-fy20-results_20-may-2020.pdf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FY26 Profit Rises (BPA benchmark 179,8 c y básico 164,5 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https://www.nasdaq.com/articles/experian-fy26-profit-rises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 shares reverse despite $1bn share buyback (deuda neta 5.180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https://www.ii.co.uk/analysis-commentary/ii-view-experian-shares-reverse-despite-1bn-share-buyback-ii539115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first quarter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https://www.experianplc.com/newsroom/press-releases/2026/trading-update--first-quarter-fy27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H2 earnings call highlights (margen EBIT benchmark 28,6 %)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https://finance.yahoo.com/markets/stocks/articles/experian-h2-earnings-call-highlights-100512191.html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(LON:EXPN): cuenta de resultados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overview (ingresos LTM 8.450 M USD; FY25 7.520; FY24 7.100)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https://pitchbook.com/profiles/company/11901-43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revenues grow on strong B2B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https://www.hl.co.uk/shares/stock-market-news/company--news/experian-q1-revenues-grow-on-strong-b2b-momentum,-organic-revenue-guidance-disappoints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cuarto trimestre de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XBRL de las cuentas anuales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https://www.experianplc.com/about-us/our-leadership/board-of-directors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(2-oct-2026: 490.977 acciones a 2.457,51 p de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https://www.investegate.co.uk/announcement/rns/experian--expn/transaction-in-own-shares/9787918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(septiembre de 2026: 2.680-2.800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https://www.investegate.co.uk/announcement/rns/experian--expn/transaction-in-own-shares/9780739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forecast y alertas de objetivos (media 4.087 p, 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https://www.marketbeat.com/instant-alerts/experian-lonexpn-sets-new-1-year-low-heres-why-2026-07-29/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 forecasts stronger earnings for Experian (BPA FY27 1,98 y FY28 2,28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https://www.marketbeat.com/instant-alerts/rothschild-redb-forecasts-stronger-earnings-for-experian-2025-10-17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comparables (MarketScreener y Stock Analysis al 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(GB:EXPN) earnings: próximos resultados 18-nov-2026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https://www.tipranks.com/stocks/GB:EXPN/earnings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mispriced and misunderstood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Trustnet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https://www.trustnet.com/news/13476070/experian-mispriced-and-misunderstood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Experian's North America sales slow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https://www.ii.co.uk/analysis-commentary/ii-view-experians-north-america-sales-slow-again-ii539702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caída del 23 % exagerada; más del 90 % de ingresos de datos propios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https://www.proactiveinvestors.co.uk/companies/news/1092881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Experian's Billion-Dollar Pacifier Fails to Calm the AI Panic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Moby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https://finance.yahoo.com/markets/stocks/articles/experians-billion-dollar-pacifier-fails-165207991.html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Experian en LSE.co.uk (hilos tras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https://www.lse.co.uk/profiles/crossley/?page=6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 rises 10% as B2B and Latin America drive growth (blog de inversor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joshthompson.co.uk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https://joshthompson.co.uk/investing/experian-q1-trading-update-revenue-growth-fy27/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74,0 %</w:t>
      </w:r>
      <w:r>
        <w:t xml:space="preserve"> · Secciones con menos del 60 % de campos cubiertos: </w:t>
      </w:r>
      <w:r>
        <w:rPr>
          <w:b/>
          <w:bCs/>
        </w:rPr>
        <w:t xml:space="preserve">calidad, balance, gobierno, bolsa</w:t>
      </w:r>
      <w:r>
        <w:t xml:space="preserve"> · Generado el 14 oct 2026.</w:t>
      </w:r>
    </w:p>
    <w:p>
      <w:pPr>
        <w:pStyle w:val="Nota"/>
        <w:spacing w:after="100"/>
      </w:pPr>
      <w:r>
        <w:t xml:space="preserve">Análisis hecho desde la nube con la red limitada a la búsqueda web: la web de Experian, Investegate, Yahoo y los proveedores de datos no se pudieron abrir, así que las cifras salen de los extractos de búsqueda de los comunicados de resultados, de los avisos de recompra y de la prensa financiera; lo que no cuadró está en null y en los huecos, y la confianza es menor que en un análisis normal. Cuentas en millones de USD (la moneda en que informa Experian) con cifras benchmark (sin amortización de intangibles adquiridos ni partidas no recurrentes), ejercicio a 31 de marzo etiquetado por el año en que termina (FY2026 = abril 2025-marzo 2026). La acción cotiza en peniques: el precio de referencia es la media de la recompra del 2-oct-2026 (2.457,51 p, el último dato encontrado; no se halló el cierre del 13-oct) pasado a USD con un GBP/USD de 1,35 (estimado). Balance y capex son estimaciones de orden de magnitud que cuadran la deuda neta (5.180 M), el ROCE publicado (17,2 %) y el flujo libre de Stock Analysis (2.190 M) [1, 7, 10].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Experian plc (EXPN (LSE))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Experian</c:v>
                </c:pt>
                <c:pt idx="1">
                  <c:v>Equifax</c:v>
                </c:pt>
                <c:pt idx="2">
                  <c:v>TransUnion</c:v>
                </c:pt>
                <c:pt idx="3">
                  <c:v>Fair Isaac (FICO)</c:v>
                </c:pt>
                <c:pt idx="4">
                  <c:v>First Advantage</c:v>
                </c:pt>
                <c:pt idx="5">
                  <c:v>Truv</c:v>
                </c:pt>
                <c:pt idx="6">
                  <c:v>Argyle</c:v>
                </c:pt>
              </c:strCache>
            </c:strRef>
          </c:cat>
          <c:val>
            <c:numRef>
              <c:f>Hoja1!$B$2:$B$8</c:f>
              <c:numCache>
                <c:formatCode>0.0"%"</c:formatCode>
                <c:ptCount val="7"/>
                <c:pt idx="0">
                  <c:v>28.5</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4861</c:v>
                </c:pt>
                <c:pt idx="1">
                  <c:v>5179</c:v>
                </c:pt>
                <c:pt idx="2">
                  <c:v>5372</c:v>
                </c:pt>
                <c:pt idx="3">
                  <c:v>6288</c:v>
                </c:pt>
                <c:pt idx="4">
                  <c:v>6619</c:v>
                </c:pt>
                <c:pt idx="5">
                  <c:v>7097</c:v>
                </c:pt>
                <c:pt idx="6">
                  <c:v>7516</c:v>
                </c:pt>
                <c:pt idx="7">
                  <c:v>8450</c:v>
                </c:pt>
                <c:pt idx="8">
                  <c:v>9253</c:v>
                </c:pt>
                <c:pt idx="9">
                  <c:v>9993</c:v>
                </c:pt>
                <c:pt idx="10">
                  <c:v>10792</c:v>
                </c:pt>
                <c:pt idx="11">
                  <c:v>11602</c:v>
                </c:pt>
                <c:pt idx="12">
                  <c:v>12414</c:v>
                </c:pt>
                <c:pt idx="13">
                  <c:v>13221</c:v>
                </c:pt>
                <c:pt idx="14">
                  <c:v>14014</c:v>
                </c:pt>
                <c:pt idx="15">
                  <c:v>14785</c:v>
                </c:pt>
                <c:pt idx="16">
                  <c:v>15524</c:v>
                </c:pt>
                <c:pt idx="17">
                  <c:v>16223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6">
                  <c:v>2595</c:v>
                </c:pt>
                <c:pt idx="7">
                  <c:v>3050</c:v>
                </c:pt>
                <c:pt idx="8">
                  <c:v>3387</c:v>
                </c:pt>
                <c:pt idx="9">
                  <c:v>3707</c:v>
                </c:pt>
                <c:pt idx="10">
                  <c:v>4047</c:v>
                </c:pt>
                <c:pt idx="11">
                  <c:v>4385</c:v>
                </c:pt>
                <c:pt idx="12">
                  <c:v>4717</c:v>
                </c:pt>
                <c:pt idx="13">
                  <c:v>5024</c:v>
                </c:pt>
                <c:pt idx="14">
                  <c:v>5325</c:v>
                </c:pt>
                <c:pt idx="15">
                  <c:v>5618</c:v>
                </c:pt>
                <c:pt idx="16">
                  <c:v>5899</c:v>
                </c:pt>
                <c:pt idx="17">
                  <c:v>6165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34.5</c:v>
                </c:pt>
                <c:pt idx="7">
                  <c:v>36.1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27.9</c:v>
                </c:pt>
                <c:pt idx="1">
                  <c:v>27.6</c:v>
                </c:pt>
                <c:pt idx="2">
                  <c:v>27.1</c:v>
                </c:pt>
                <c:pt idx="3">
                  <c:v>27.4</c:v>
                </c:pt>
                <c:pt idx="4">
                  <c:v>27.8</c:v>
                </c:pt>
                <c:pt idx="5">
                  <c:v>27.5</c:v>
                </c:pt>
                <c:pt idx="6">
                  <c:v>28</c:v>
                </c:pt>
                <c:pt idx="7">
                  <c:v>28.5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18.4</c:v>
                </c:pt>
                <c:pt idx="1">
                  <c:v>18.1</c:v>
                </c:pt>
                <c:pt idx="2">
                  <c:v>17.4</c:v>
                </c:pt>
                <c:pt idx="3">
                  <c:v>18.1</c:v>
                </c:pt>
                <c:pt idx="4">
                  <c:v>18.7</c:v>
                </c:pt>
                <c:pt idx="5">
                  <c:v>18.8</c:v>
                </c:pt>
                <c:pt idx="6">
                  <c:v>19.1</c:v>
                </c:pt>
                <c:pt idx="7">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c:f>
              <c:strCache>
                <c:ptCount val="1"/>
                <c:pt idx="0">
                  <c:v>1T FY27</c:v>
                </c:pt>
              </c:strCache>
            </c:strRef>
          </c:cat>
          <c:val>
            <c:numRef>
              <c:f>Hoja1!$B$2</c:f>
              <c:numCache>
                <c:formatCode>0.0"%"</c:formatCode>
                <c:ptCount val="1"/>
                <c:pt idx="0">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c:f>
              <c:strCache>
                <c:ptCount val="1"/>
                <c:pt idx="0">
                  <c:v>1T FY27</c:v>
                </c:pt>
              </c:strCache>
            </c:strRef>
          </c:cat>
          <c:val>
            <c:numRef>
              <c:f>Hoja1!$C$2</c:f>
              <c:numCache>
                <c:formatCode>0.0"%"</c:formatCode>
                <c:ptCount val="1"/>
                <c:pt idx="0">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FY2025</c:v>
                </c:pt>
                <c:pt idx="1">
                  <c:v>FY2026</c:v>
                </c:pt>
              </c:strCache>
            </c:strRef>
          </c:cat>
          <c:val>
            <c:numRef>
              <c:f>Hoja1!$B$2:$B$3</c:f>
              <c:numCache>
                <c:formatCode>#,##0</c:formatCode>
                <c:ptCount val="2"/>
                <c:pt idx="0">
                  <c:v>1590</c:v>
                </c:pt>
                <c:pt idx="1">
                  <c:v>2190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FY2025</c:v>
                </c:pt>
                <c:pt idx="1">
                  <c:v>FY2026</c:v>
                </c:pt>
              </c:strCache>
            </c:strRef>
          </c:cat>
          <c:val>
            <c:numRef>
              <c:f>Hoja1!$C$2:$C$3</c:f>
              <c:numCache>
                <c:formatCode>#,##0</c:formatCode>
                <c:ptCount val="2"/>
                <c:pt idx="0">
                  <c:v>1438</c:v>
                </c:pt>
                <c:pt idx="1">
                  <c:v>1645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16.3</c:v>
                </c:pt>
                <c:pt idx="7">
                  <c:v>17.9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6">
                  <c:v>28.8</c:v>
                </c:pt>
                <c:pt idx="7">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FY2025</c:v>
                </c:pt>
                <c:pt idx="1">
                  <c:v>FY2026</c:v>
                </c:pt>
              </c:strCache>
            </c:strRef>
          </c:cat>
          <c:val>
            <c:numRef>
              <c:f>Hoja1!$B$2:$B$3</c:f>
              <c:numCache>
                <c:formatCode>0.0"x"</c:formatCode>
                <c:ptCount val="2"/>
                <c:pt idx="0">
                  <c:v>1.8</c:v>
                </c:pt>
                <c:pt idx="1">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560</c:v>
                </c:pt>
                <c:pt idx="1">
                  <c:v>590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1">
                  <c:v>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Experian</c:v>
                </c:pt>
                <c:pt idx="1">
                  <c:v>Equifax</c:v>
                </c:pt>
                <c:pt idx="2">
                  <c:v>TransUnion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1">
                  <c:v>9.6</c:v>
                </c:pt>
                <c:pt idx="2">
                  <c:v>8.6</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11.3</c:v>
                </c:pt>
              </c:numCache>
            </c:numRef>
          </c:yVal>
          <c:smooth val="0"/>
        </c:ser>
        <c:ser>
          <c:idx val="2"/>
          <c:order val="2"/>
          <c:tx>
            <c:strRef>
              <c:f>Hoja1!$A$4</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13.5</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17.9</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20</c:v>
                </c:pt>
              </c:numCache>
            </c:numRef>
          </c:yVal>
          <c:smooth val="0"/>
        </c:ser>
        <c:ser>
          <c:idx val="6"/>
          <c:order val="6"/>
          <c:tx>
            <c:strRef>
              <c:f>Hoja1!$A$8</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7.3</c:v>
                </c:pt>
              </c:numCache>
            </c:numRef>
          </c:xVal>
          <c:yVal>
            <c:numRef>
              <c:f>Hoja1!$C$8</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1684</c:v>
                </c:pt>
                <c:pt idx="1">
                  <c:v>2041</c:v>
                </c:pt>
                <c:pt idx="2">
                  <c:v>2237</c:v>
                </c:pt>
                <c:pt idx="3">
                  <c:v>2432</c:v>
                </c:pt>
                <c:pt idx="4">
                  <c:v>2621</c:v>
                </c:pt>
                <c:pt idx="5">
                  <c:v>2859</c:v>
                </c:pt>
                <c:pt idx="6">
                  <c:v>3032</c:v>
                </c:pt>
                <c:pt idx="7">
                  <c:v>3200</c:v>
                </c:pt>
                <c:pt idx="8">
                  <c:v>3361</c:v>
                </c:pt>
                <c:pt idx="9">
                  <c:v>3514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16912</c:v>
                </c:pt>
                <c:pt idx="1">
                  <c:v>25721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31.48</c:v>
                </c:pt>
                <c:pt idx="1">
                  <c:v>41.38</c:v>
                </c:pt>
                <c:pt idx="2">
                  <c:v>48.03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